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/>
        <w:jc w:val="center"/>
      </w:pPr>
      <w:r>
        <w:rPr>
          <w:rFonts w:ascii="Arial" w:hAnsi="Arial"/>
          <w:b/>
          <w:i w:val="0"/>
          <w:color w:val="5F5F69"/>
          <w:sz w:val="22"/>
        </w:rPr>
        <w:t>ХАКАТОН «ЛИДЕРЫ ЦИФРОВОЙ ТРАНСФОРМАЦИИ» 2026 · КЕЙС №8</w:t>
        <w:br/>
        <w:t>ДЕПАРТАМЕНТ ЖКХ ГОРОДА МОСКВЫ / АО «МОСКОЛЛЕКТОР»</w:t>
      </w:r>
    </w:p>
    <w:p>
      <w:pPr>
        <w:spacing w:before="520" w:after="200"/>
        <w:jc w:val="center"/>
      </w:pPr>
      <w:r>
        <w:rPr>
          <w:rFonts w:ascii="Arial" w:hAnsi="Arial"/>
          <w:b/>
          <w:i w:val="0"/>
          <w:color w:val="1C1D22"/>
          <w:sz w:val="44"/>
        </w:rPr>
        <w:t>ПОЯСНИТЕЛЬНАЯ ЗАПИСКА</w:t>
        <w:br/>
        <w:t>«МОСКОЛЛЕКТОР.НЕЙРОКОНТУР»</w:t>
      </w:r>
    </w:p>
    <w:p>
      <w:pPr>
        <w:spacing w:after="440"/>
        <w:jc w:val="center"/>
      </w:pPr>
      <w:r>
        <w:rPr>
          <w:rFonts w:ascii="Arial" w:hAnsi="Arial"/>
          <w:b w:val="0"/>
          <w:i/>
          <w:color w:val="5F5F69"/>
          <w:sz w:val="22"/>
        </w:rPr>
        <w:t>Сервис прогнозирования инцидентов и управления ремонтными работами инженерных коллекторов Москвы.</w:t>
        <w:br/>
        <w:t>Редакция для финального этапа (октябрь 2026).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4658"/>
        <w:gridCol w:w="4658"/>
      </w:tblGrid>
      <w:tr>
        <w:trPr>
          <w:cantSplit/>
          <w:tblHeader/>
        </w:trPr>
        <w:tc>
          <w:tcPr>
            <w:tcW w:type="dxa" w:w="244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8"/>
              </w:rPr>
              <w:t>Параметр</w:t>
            </w:r>
          </w:p>
        </w:tc>
        <w:tc>
          <w:tcPr>
            <w:tcW w:type="dxa" w:w="676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8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8"/>
              </w:rPr>
              <w:t>Заказчик задачи</w:t>
            </w:r>
          </w:p>
        </w:tc>
        <w:tc>
          <w:tcPr>
            <w:tcW w:type="dxa" w:w="67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8"/>
              </w:rPr>
              <w:t>АО «Москоллектор», Департамент жилищно-коммунального хозяйства города Москвы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8"/>
              </w:rPr>
              <w:t>Команда</w:t>
            </w:r>
          </w:p>
        </w:tc>
        <w:tc>
          <w:tcPr>
            <w:tcW w:type="dxa" w:w="67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8"/>
              </w:rPr>
              <w:t>Vector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8"/>
              </w:rPr>
              <w:t>Объект автоматизации</w:t>
            </w:r>
          </w:p>
        </w:tc>
        <w:tc>
          <w:tcPr>
            <w:tcW w:type="dxa" w:w="67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8"/>
              </w:rPr>
              <w:t>Коллекторы Москвы (825 км); в данных организаторов — 11 485 каналов СМВУ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8"/>
              </w:rPr>
              <w:t>Что делает решение</w:t>
            </w:r>
          </w:p>
        </w:tc>
        <w:tc>
          <w:tcPr>
            <w:tcW w:type="dxa" w:w="67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8"/>
              </w:rPr>
              <w:t>Ранжирует каналы по риску инцидента на горизонте 24–72 ч; ловит быстрые опасные события (газ, перегрев, пожар, затопление, дребезг, потеря связи); ведёт журнал решений диспетчера; готовит черновики заявок ТО/ППР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8"/>
              </w:rPr>
              <w:t>Стек</w:t>
            </w:r>
          </w:p>
        </w:tc>
        <w:tc>
          <w:tcPr>
            <w:tcW w:type="dxa" w:w="67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8"/>
              </w:rPr>
              <w:t>Python 3.10, FastAPI, LightGBM, scikit-learn, Pydantic v2; React 18, TypeScript, Vite, Leaflet; Docker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8"/>
              </w:rPr>
              <w:t>Состояние</w:t>
            </w:r>
          </w:p>
        </w:tc>
        <w:tc>
          <w:tcPr>
            <w:tcW w:type="dxa" w:w="67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8"/>
              </w:rPr>
              <w:t>Рабочий прототип: REST API, веб-интерфейс двух ролей, 108 автотестов; подключения к СМВУ и CMMS заказчика нет (интеграция описана в п. 9)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8"/>
              </w:rPr>
              <w:t>Исходный код и стенд</w:t>
            </w:r>
          </w:p>
        </w:tc>
        <w:tc>
          <w:tcPr>
            <w:tcW w:type="dxa" w:w="67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8"/>
              </w:rPr>
              <w:t>SourceCraft (основной репозиторий), GitHub (зеркало), стенд на Render; ссылки — в README.md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rPr>
          <w:cantSplit/>
        </w:trPr>
        <w:tc>
          <w:tcPr>
            <w:tcW w:type="dxa" w:w="9216"/>
            <w:shd w:val="clear" w:color="auto" w:fill="F6F4EE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left w:val="single" w:sz="24" w:space="0" w:color="E5412D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C81E3C"/>
                <w:sz w:val="18"/>
              </w:rPr>
              <w:t xml:space="preserve">[КАК ЧИТАТЬ ЦИФРЫ] </w:t>
            </w:r>
            <w:r>
              <w:rPr>
                <w:rFonts w:ascii="Arial" w:hAnsi="Arial"/>
                <w:b w:val="0"/>
                <w:i w:val="0"/>
                <w:color w:val="1C1D22"/>
                <w:sz w:val="18"/>
              </w:rPr>
              <w:t>Все результаты проверки прогноза получены на журнале СМВУ за 2026 год, предоставленном организаторами. Актов ремонтов (1С:ТОИР / CMMS) в данных нет, поэтому «событие» — это разметка по журналу (неисправность, сбой связи, сброс часов, опасное значение), а не подтверждённая авария. Результаты Сценарного полигона получены на синтетических данных и проверяют логику, а не качество на реальных авариях.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1. Назначение и подход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Задача из технического задания: заранее предупреждать диспетчера о риске инцидента в коллекторах, показывать вероятность, горизонт, локацию и причины, фиксировать решение диспетчера в журнале и готовить рекомендации и заявки на обслуживание. Интеграция с внутренними системами заказчика допускается только в режиме «только чтение».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Мы разделили задачу на два слоя, потому что у них разная скорость и разный способ проверки: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554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55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5F5F69"/>
          <w:sz w:val="17"/>
        </w:rPr>
        <w:t>Рис. 1. Два слоя решения и общий список диспетчера</w:t>
      </w:r>
    </w:p>
    <w:p>
      <w:pPr>
        <w:pStyle w:val="ListBullet"/>
        <w:spacing w:after="40" w:line="264" w:lineRule="auto"/>
      </w:pPr>
      <w:r>
        <w:rPr>
          <w:rFonts w:ascii="Arial" w:hAnsi="Arial"/>
          <w:b/>
          <w:i w:val="0"/>
          <w:color w:val="1C1D22"/>
          <w:sz w:val="20"/>
        </w:rPr>
        <w:t xml:space="preserve">Слой 1 — быстрый контур: </w:t>
      </w:r>
      <w:r>
        <w:rPr>
          <w:rFonts w:ascii="Arial" w:hAnsi="Arial"/>
          <w:b w:val="0"/>
          <w:i w:val="0"/>
          <w:color w:val="1C1D22"/>
          <w:sz w:val="20"/>
        </w:rPr>
        <w:t>правила по порогам и скорости роста значений ловят газ, перегрев, пожар, затопление, дребезг контактов и потерю связи за секунды и минуты. Проверяются на Сценарном полигоне (п. 5); на реальных данных такие события в журнале практически не встречаются.</w:t>
      </w:r>
    </w:p>
    <w:p>
      <w:pPr>
        <w:pStyle w:val="ListBullet"/>
        <w:spacing w:after="40" w:line="264" w:lineRule="auto"/>
      </w:pPr>
      <w:r>
        <w:rPr>
          <w:rFonts w:ascii="Arial" w:hAnsi="Arial"/>
          <w:b/>
          <w:i w:val="0"/>
          <w:color w:val="1C1D22"/>
          <w:sz w:val="20"/>
        </w:rPr>
        <w:t xml:space="preserve">Слой 2 — прогноз деградации: </w:t>
      </w:r>
      <w:r>
        <w:rPr>
          <w:rFonts w:ascii="Arial" w:hAnsi="Arial"/>
          <w:b w:val="0"/>
          <w:i w:val="0"/>
          <w:color w:val="1C1D22"/>
          <w:sz w:val="20"/>
        </w:rPr>
        <w:t>модель LightGBM оценивает по истории канала, насколько вероятна неисправность или опасное значение в окне 24–72 часа. Проверяется бэктестом на реальном журнале (п. 4).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Что реализовано и что остаётся на пилот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3106"/>
        <w:gridCol w:w="3106"/>
        <w:gridCol w:w="3106"/>
      </w:tblGrid>
      <w:tr>
        <w:trPr>
          <w:cantSplit/>
          <w:tblHeader/>
        </w:trPr>
        <w:tc>
          <w:tcPr>
            <w:tcW w:type="dxa" w:w="4176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Возможность</w:t>
            </w:r>
          </w:p>
        </w:tc>
        <w:tc>
          <w:tcPr>
            <w:tcW w:type="dxa" w:w="244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В прототипе</w:t>
            </w:r>
          </w:p>
        </w:tc>
        <w:tc>
          <w:tcPr>
            <w:tcW w:type="dxa" w:w="259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На пилоте у заказчика</w:t>
            </w:r>
          </w:p>
        </w:tc>
      </w:tr>
      <w:tr>
        <w:trPr>
          <w:cantSplit/>
        </w:trPr>
        <w:tc>
          <w:tcPr>
            <w:tcW w:type="dxa" w:w="417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Прогноз риска по каналам на 24–72 ч, объяснение факторов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да, на журнале организаторов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подключение потока СМВУ, дообучение на актах ТОИР</w:t>
            </w:r>
          </w:p>
        </w:tc>
      </w:tr>
      <w:tr>
        <w:trPr>
          <w:cantSplit/>
        </w:trPr>
        <w:tc>
          <w:tcPr>
            <w:tcW w:type="dxa" w:w="417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Быстрый контур: газ, температура, пожар, затопление, дребезг, потеря связи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да, на синтетических сценариях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настройка порогов по паспортам оборудования</w:t>
            </w:r>
          </w:p>
        </w:tc>
      </w:tr>
      <w:tr>
        <w:trPr>
          <w:cantSplit/>
        </w:trPr>
        <w:tc>
          <w:tcPr>
            <w:tcW w:type="dxa" w:w="417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Журнал решений диспетчера с цепочкой SHA-256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да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перенос в СУБД заказчика (PostgreSQL)</w:t>
            </w:r>
          </w:p>
        </w:tc>
      </w:tr>
      <w:tr>
        <w:trPr>
          <w:cantSplit/>
        </w:trPr>
        <w:tc>
          <w:tcPr>
            <w:tcW w:type="dxa" w:w="417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Заявки ТО/ППР (черновики)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да, JSON-хранилище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выгрузка в CMMS / 1С:ТОИР</w:t>
            </w:r>
          </w:p>
        </w:tc>
      </w:tr>
      <w:tr>
        <w:trPr>
          <w:cantSplit/>
        </w:trPr>
        <w:tc>
          <w:tcPr>
            <w:tcW w:type="dxa" w:w="417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Две роли: техник («Поле») и диспетчер («Сводка», «Обстановка»)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да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вход через каталог пользователей (LDAP/AD)</w:t>
            </w:r>
          </w:p>
        </w:tc>
      </w:tr>
      <w:tr>
        <w:trPr>
          <w:cantSplit/>
        </w:trPr>
        <w:tc>
          <w:tcPr>
            <w:tcW w:type="dxa" w:w="417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Режим «только чтение» к данным заказчика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да (прототип читает файлы)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read-only учётная запись СМВУ</w:t>
            </w:r>
          </w:p>
        </w:tc>
      </w:tr>
      <w:tr>
        <w:trPr>
          <w:cantSplit/>
        </w:trPr>
        <w:tc>
          <w:tcPr>
            <w:tcW w:type="dxa" w:w="417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Подключение к СМВУ / ОДС / CMMS в реальном времени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нет (описано в п. 9)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основная работа пилота</w:t>
            </w:r>
          </w:p>
        </w:tc>
      </w:tr>
      <w:tr>
        <w:trPr>
          <w:cantSplit/>
        </w:trPr>
        <w:tc>
          <w:tcPr>
            <w:tcW w:type="dxa" w:w="417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Еженедельное дообучение модели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проверено бэктестом; в демо стоит январская модель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автоматизировать по расписанию</w:t>
            </w:r>
          </w:p>
        </w:tc>
      </w:tr>
    </w:tbl>
    <w:p>
      <w:pPr>
        <w:spacing w:after="40"/>
      </w:pP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2. Функциональная и компонентная архитектура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429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2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 w:val="0"/>
          <w:i/>
          <w:color w:val="5F5F69"/>
          <w:sz w:val="17"/>
        </w:rPr>
        <w:t>Рис. 2. Компоненты решения и потоки данных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Решение — отдельный сервис (REST API + веб-интерфейс), который можно развернуть самостоятельно или встроить как компонент в существующую систему. Исходный код открыт, не обфусцирован; сложные места снабжены комментариями.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3106"/>
        <w:gridCol w:w="3106"/>
        <w:gridCol w:w="3106"/>
      </w:tblGrid>
      <w:tr>
        <w:trPr>
          <w:cantSplit/>
          <w:tblHeader/>
        </w:trPr>
        <w:tc>
          <w:tcPr>
            <w:tcW w:type="dxa" w:w="2016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Компонент</w:t>
            </w:r>
          </w:p>
        </w:tc>
        <w:tc>
          <w:tcPr>
            <w:tcW w:type="dxa" w:w="331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Где в репозитории</w:t>
            </w:r>
          </w:p>
        </w:tc>
        <w:tc>
          <w:tcPr>
            <w:tcW w:type="dxa" w:w="388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01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Признаки</w:t>
            </w:r>
          </w:p>
        </w:tc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backend/ml/features.py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21 признак по каналу за 24 ч и 7 дней, правило разметки события</w:t>
            </w:r>
          </w:p>
        </w:tc>
      </w:tr>
      <w:tr>
        <w:trPr>
          <w:cantSplit/>
        </w:trPr>
        <w:tc>
          <w:tcPr>
            <w:tcW w:type="dxa" w:w="201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Обучение и метрики</w:t>
            </w:r>
          </w:p>
        </w:tc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backend/ml/train_validated_model.py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обучение LightGBM, калибровка, сравнение с логистической регрессией и случайным лесом</w:t>
            </w:r>
          </w:p>
        </w:tc>
      </w:tr>
      <w:tr>
        <w:trPr>
          <w:cantSplit/>
        </w:trPr>
        <w:tc>
          <w:tcPr>
            <w:tcW w:type="dxa" w:w="201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Бэктест</w:t>
            </w:r>
          </w:p>
        </w:tc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scripts/rolling_backtest.py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21 недельная проверка вперёд по времени, отчёт backend/models/rolling_backtest_report.json</w:t>
            </w:r>
          </w:p>
        </w:tc>
      </w:tr>
      <w:tr>
        <w:trPr>
          <w:cantSplit/>
        </w:trPr>
        <w:tc>
          <w:tcPr>
            <w:tcW w:type="dxa" w:w="201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API</w:t>
            </w:r>
          </w:p>
        </w:tc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backend/app/api/*.py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predictions, alarms, tickets, objects, settings, stats, simulation, scenarios, synthetic</w:t>
            </w:r>
          </w:p>
        </w:tc>
      </w:tr>
      <w:tr>
        <w:trPr>
          <w:cantSplit/>
        </w:trPr>
        <w:tc>
          <w:tcPr>
            <w:tcW w:type="dxa" w:w="201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Сервисы</w:t>
            </w:r>
          </w:p>
        </w:tc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backend/app/services/*.py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ml_service (скоринг, журнал решений, PIN), data_service (реестры), scenario_engine (быстрый контур и полигон)</w:t>
            </w:r>
          </w:p>
        </w:tc>
      </w:tr>
      <w:tr>
        <w:trPr>
          <w:cantSplit/>
        </w:trPr>
        <w:tc>
          <w:tcPr>
            <w:tcW w:type="dxa" w:w="201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Интерфейс</w:t>
            </w:r>
          </w:p>
        </w:tc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frontend/src/*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shell (вход и роли), field (техник), summary и situation (диспетчер), scenarios, components</w:t>
            </w:r>
          </w:p>
        </w:tc>
      </w:tr>
      <w:tr>
        <w:trPr>
          <w:cantSplit/>
        </w:trPr>
        <w:tc>
          <w:tcPr>
            <w:tcW w:type="dxa" w:w="201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Тесты</w:t>
            </w:r>
          </w:p>
        </w:tc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tests/*.py</w:t>
            </w:r>
          </w:p>
        </w:tc>
        <w:tc>
          <w:tcPr>
            <w:tcW w:type="dxa" w:w="388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108 автотестов: API, калибровка, бэктест, синтетический пайплайн, Сценарный полигон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Программные интерфейсы (REST)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Полная схема — OpenAPI: страница /docs работающего сервиса и файл /api/openapi.json. Основные группы: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4658"/>
        <w:gridCol w:w="4658"/>
      </w:tblGrid>
      <w:tr>
        <w:trPr>
          <w:cantSplit/>
          <w:tblHeader/>
        </w:trPr>
        <w:tc>
          <w:tcPr>
            <w:tcW w:type="dxa" w:w="432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Метод и путь</w:t>
            </w:r>
          </w:p>
        </w:tc>
        <w:tc>
          <w:tcPr>
            <w:tcW w:type="dxa" w:w="4896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GET /api/predictions · GET /api/predictions/{channel_id}</w:t>
            </w:r>
          </w:p>
        </w:tc>
        <w:tc>
          <w:tcPr>
            <w:tcW w:type="dxa" w:w="48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список и карточка прогноза по каналам (вероятность, уровень, факторы, рекомендуемое действие)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POST /api/predictions/score</w:t>
            </w:r>
          </w:p>
        </w:tc>
        <w:tc>
          <w:tcPr>
            <w:tcW w:type="dxa" w:w="48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онлайн-оценка вектора признаков датчика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GET /api/predictions/backtest · /metrics · /benchmark · /reconciliation</w:t>
            </w:r>
          </w:p>
        </w:tc>
        <w:tc>
          <w:tcPr>
            <w:tcW w:type="dxa" w:w="48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отчёты проверки: недельный бэктест, метрики модели, замеры скорости, сверка с эталоном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POST /api/alarms/classify · POST /api/alarms/confirm · GET /api/alarms/confirmed</w:t>
            </w:r>
          </w:p>
        </w:tc>
        <w:tc>
          <w:tcPr>
            <w:tcW w:type="dxa" w:w="48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разбор сигнала (настоящая тревога или ложная), решение диспетчера с причиной, журнал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POST /api/alarms/session · GET /api/alarms/audit/verify</w:t>
            </w:r>
          </w:p>
        </w:tc>
        <w:tc>
          <w:tcPr>
            <w:tcW w:type="dxa" w:w="48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вход диспетчера по табельному номеру и PIN; проверка целостности журнала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GET /api/tickets · POST /api/tickets/generate · PATCH /api/tickets/{id}/status</w:t>
            </w:r>
          </w:p>
        </w:tc>
        <w:tc>
          <w:tcPr>
            <w:tcW w:type="dxa" w:w="48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заявки ТО/ППР: список, черновик, смена статуса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GET /api/objects · /api/objects/{id} · /api/objects/geojson/network</w:t>
            </w:r>
          </w:p>
        </w:tc>
        <w:tc>
          <w:tcPr>
            <w:tcW w:type="dxa" w:w="48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объекты, карточка, схема сети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GET и POST /api/settings · POST /api/settings/reset</w:t>
            </w:r>
          </w:p>
        </w:tc>
        <w:tc>
          <w:tcPr>
            <w:tcW w:type="dxa" w:w="48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настраиваемые параметры (п. 7)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GET /api/scenarios/catalog · POST /api/scenarios/run · POST /api/scenarios/series</w:t>
            </w:r>
          </w:p>
        </w:tc>
        <w:tc>
          <w:tcPr>
            <w:tcW w:type="dxa" w:w="48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Сценарный полигон: каталог, прогон, ряд канала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GET /api/alarms/recent · /dispatchers · POST /api/simulation/step · /api/synthetic/evaluate</w:t>
            </w:r>
          </w:p>
        </w:tc>
        <w:tc>
          <w:tcPr>
            <w:tcW w:type="dxa" w:w="48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последние события, справочник диспетчеров, шаг имитации, проверка на синтетическом наборе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GET /api/stats/summary · GET /api/health · GET /api/info</w:t>
            </w:r>
          </w:p>
        </w:tc>
        <w:tc>
          <w:tcPr>
            <w:tcW w:type="dxa" w:w="48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сводка, проверка живости, сведения о сервисе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Входные данные проверяются схемами Pydantic до любых изменений состояния: неверное значение даёт ответ 422, неизвестный канал — 404, в журнал и заявки при этом ничего не пишется.</w:t>
      </w: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3. Данные и методы обработки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Исходные данные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Журнал срабатываний СМВУ за январь–июнь 2026 года (около 30,7 млн записей: идентификатор канала, тип, значение, время), реестр каналов с тегом в дереве объектов и реестр типов каналов. Журнал в репозиторий не входит (1,5 ГБ, файл организаторов); его контрольная сумма SHA-256 записана в docs/DATA_PROVENANCE_AND_REPRODUCIBILITY.md. Кэш признаков в репозитории позволяет воспроизвести все метрики без исходного журнала.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Что считается событием (разметка)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В данных нет актов ремонтов, поэтому событие размечено правилом по журналу (backend/ml/features.py, is_failure_value): состояния «неисправен», «отключено устройство», «ошибка связи», «сбой питания», «обрыв датчика», «короткое замыкание», «нет данных» и др.; сброс часов контроллера на 01.01.1970; значение метана ≥ 5 %; температура ≥ 45 °C или ≤ −10 °C; напряжение питания вне 9–30 В. Метка канала = 1, если в окне +24…+72 часа от момента прогноза есть хотя бы одна такая строка.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rPr>
          <w:cantSplit/>
        </w:trPr>
        <w:tc>
          <w:tcPr>
            <w:tcW w:type="dxa" w:w="9216"/>
            <w:shd w:val="clear" w:color="auto" w:fill="F6F4EE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left w:val="single" w:sz="24" w:space="0" w:color="E5412D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C81E3C"/>
                <w:sz w:val="18"/>
              </w:rPr>
              <w:t xml:space="preserve">[ОГРАНИЧЕНИЕ] </w:t>
            </w:r>
            <w:r>
              <w:rPr>
                <w:rFonts w:ascii="Arial" w:hAnsi="Arial"/>
                <w:b w:val="0"/>
                <w:i w:val="0"/>
                <w:color w:val="1C1D22"/>
                <w:sz w:val="18"/>
              </w:rPr>
              <w:t>Это разметка по журналу, а не подтверждённые отказы оборудования. Все метрики в записке описывают совпадение с этой разметкой и не являются оценкой вероятности физической аварии, предотвращённых ремонтов или бухгалтерской экономии.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Подготовка данных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Сброс часов на 1970 год считается признаком деградации питания контроллера, а не ошибкой данных: такие строки не удаляются, а учитываются отдельным признаком.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Дребезг контактов (быстрые переключения одного дискретного канала) учитывается как признак и отдельно фиксируется быстрым контуром; автоматически сигнал не гасится.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Для обучения и проверки признаки строятся только по данным до момента прогноза, окно метки лежит строго после него.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Признаки и модель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4658"/>
        <w:gridCol w:w="4658"/>
      </w:tblGrid>
      <w:tr>
        <w:trPr>
          <w:cantSplit/>
          <w:tblHeader/>
        </w:trPr>
        <w:tc>
          <w:tcPr>
            <w:tcW w:type="dxa" w:w="288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Группа</w:t>
            </w:r>
          </w:p>
        </w:tc>
        <w:tc>
          <w:tcPr>
            <w:tcW w:type="dxa" w:w="6336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Признаки (21)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Активность канала</w:t>
            </w:r>
          </w:p>
        </w:tc>
        <w:tc>
          <w:tcPr>
            <w:tcW w:type="dxa" w:w="633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cnt_24h, cnt_7d, acc_events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Тревоги</w:t>
            </w:r>
          </w:p>
        </w:tc>
        <w:tc>
          <w:tcPr>
            <w:tcW w:type="dxa" w:w="633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alarms_24h, alarms_7d, alarm_ratio, acc_alarms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Дребезг и разнообразие состояний</w:t>
            </w:r>
          </w:p>
        </w:tc>
        <w:tc>
          <w:tcPr>
            <w:tcW w:type="dxa" w:w="633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chatter_cnt, chatter_ratio, unique_states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Связь и питание</w:t>
            </w:r>
          </w:p>
        </w:tc>
        <w:tc>
          <w:tcPr>
            <w:tcW w:type="dxa" w:w="633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silence_hours (молчание канала), battery_glitches, date_corruptions (сбросы часов)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Значения</w:t>
            </w:r>
          </w:p>
        </w:tc>
        <w:tc>
          <w:tcPr>
            <w:tcW w:type="dxa" w:w="633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num_mean, num_std, num_max, gas_spikes, temp_spikes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Контекст</w:t>
            </w:r>
          </w:p>
        </w:tc>
        <w:tc>
          <w:tcPr>
            <w:tcW w:type="dxa" w:w="633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sensor_type_code, system_type_code, obj_level (уровень объекта в иерархии)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Модель — градиентный бустинг LightGBM; вероятность калибруется бета-калибровкой, подобранной только на валидационной выборке. Порог очереди диспетчера настраивается (по умолчанию 0,42 по безразмерному баллу модели, это не вероятность). Для сравнения обучены логистическая регрессия и случайный лес. Обучение: backend/ml/train_validated_model.py, воспроизведение: scripts/reproduce_metrics.py.</w:t>
      </w: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4. Проверка прогноза на реальных данных (бэктест)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Проверка идёт «вперёд по времени», как в реальной работе: каждую неделю модель видит только прошлое и предсказывает окно +24…+72 часа после момента прогноза (00:00 дня отсечки, раз в неделю). Выполнено 21 еженедельных проверок (с 2026-02-04 по 2026-06-24), по 11 485 каналам в каждой. Воспроизведение: python scripts/rolling_backtest.py; отчёт — backend/models/rolling_backtest_report.json.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Что сравнивается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4658"/>
        <w:gridCol w:w="4658"/>
      </w:tblGrid>
      <w:tr>
        <w:trPr>
          <w:cantSplit/>
          <w:tblHeader/>
        </w:trPr>
        <w:tc>
          <w:tcPr>
            <w:tcW w:type="dxa" w:w="244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Вариант</w:t>
            </w:r>
          </w:p>
        </w:tc>
        <w:tc>
          <w:tcPr>
            <w:tcW w:type="dxa" w:w="676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Что это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deployed (в демо)</w:t>
            </w:r>
          </w:p>
        </w:tc>
        <w:tc>
          <w:tcPr>
            <w:tcW w:type="dxa" w:w="67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модель, которая стоит в прототипе: обучена один раз на январских данных и дальше не переобучалась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lgbm_weekly</w:t>
            </w:r>
          </w:p>
        </w:tc>
        <w:tc>
          <w:tcPr>
            <w:tcW w:type="dxa" w:w="67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та же архитектура LightGBM, но переобучаемая каждую неделю на всей накопленной истории (как будет на пилоте)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logreg_weekly</w:t>
            </w:r>
          </w:p>
        </w:tc>
        <w:tc>
          <w:tcPr>
            <w:tcW w:type="dxa" w:w="67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логистическая регрессия, переобучаемая еженедельно (простая линейная база)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persistence (правило)</w:t>
            </w:r>
          </w:p>
        </w:tc>
        <w:tc>
          <w:tcPr>
            <w:tcW w:type="dxa" w:w="67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«канал, у которого были неисправности за последние 7 дней, будет неисправен и дальше» — простое правило без обучения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Все варианты проверены на одних и тех же неделях и каналах. Метрики — по каждой неделе отдельно, ниже приведена медиана по 21 неделям.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Результаты: все каналы реестра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1553"/>
        <w:gridCol w:w="1553"/>
        <w:gridCol w:w="1553"/>
        <w:gridCol w:w="1553"/>
        <w:gridCol w:w="1553"/>
        <w:gridCol w:w="1553"/>
      </w:tblGrid>
      <w:tr>
        <w:trPr>
          <w:cantSplit/>
          <w:tblHeader/>
        </w:trPr>
        <w:tc>
          <w:tcPr>
            <w:tcW w:type="dxa" w:w="2736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Вариант</w:t>
            </w:r>
          </w:p>
        </w:tc>
        <w:tc>
          <w:tcPr>
            <w:tcW w:type="dxa" w:w="115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ROC-AUC</w:t>
            </w:r>
          </w:p>
        </w:tc>
        <w:tc>
          <w:tcPr>
            <w:tcW w:type="dxa" w:w="115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PR-AUC</w:t>
            </w:r>
          </w:p>
        </w:tc>
        <w:tc>
          <w:tcPr>
            <w:tcW w:type="dxa" w:w="144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Точность в топ-50</w:t>
            </w:r>
          </w:p>
        </w:tc>
        <w:tc>
          <w:tcPr>
            <w:tcW w:type="dxa" w:w="1296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в топ-100</w:t>
            </w:r>
          </w:p>
        </w:tc>
        <w:tc>
          <w:tcPr>
            <w:tcW w:type="dxa" w:w="1296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в топ-200</w:t>
            </w:r>
          </w:p>
        </w:tc>
      </w:tr>
      <w:tr>
        <w:trPr>
          <w:cantSplit/>
        </w:trPr>
        <w:tc>
          <w:tcPr>
            <w:tcW w:type="dxa" w:w="273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deployed (в демо)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0,648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0,142</w:t>
            </w:r>
          </w:p>
        </w:tc>
        <w:tc>
          <w:tcPr>
            <w:tcW w:type="dxa" w:w="144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0,34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0,22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0,12</w:t>
            </w:r>
          </w:p>
        </w:tc>
      </w:tr>
      <w:tr>
        <w:trPr>
          <w:cantSplit/>
        </w:trPr>
        <w:tc>
          <w:tcPr>
            <w:tcW w:type="dxa" w:w="273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lgbm_weekly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0,845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0,274</w:t>
            </w:r>
          </w:p>
        </w:tc>
        <w:tc>
          <w:tcPr>
            <w:tcW w:type="dxa" w:w="144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0,56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0,38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0,24</w:t>
            </w:r>
          </w:p>
        </w:tc>
      </w:tr>
      <w:tr>
        <w:trPr>
          <w:cantSplit/>
        </w:trPr>
        <w:tc>
          <w:tcPr>
            <w:tcW w:type="dxa" w:w="273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logreg_weekly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0,792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0,197</w:t>
            </w:r>
          </w:p>
        </w:tc>
        <w:tc>
          <w:tcPr>
            <w:tcW w:type="dxa" w:w="144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0,48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0,29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0,20</w:t>
            </w:r>
          </w:p>
        </w:tc>
      </w:tr>
      <w:tr>
        <w:trPr>
          <w:cantSplit/>
        </w:trPr>
        <w:tc>
          <w:tcPr>
            <w:tcW w:type="dxa" w:w="273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правило persistence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0,704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0,181</w:t>
            </w:r>
          </w:p>
        </w:tc>
        <w:tc>
          <w:tcPr>
            <w:tcW w:type="dxa" w:w="144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0,48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0,38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0,28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Читать так: если диспетчер проверяет 100 каналов с наибольшим риском, то в среднем 22 % из них действительно окажутся с событием (демо-модель) или 38 % (модель с еженедельным переобучением). Доля событий среди всех каналов (базовая частота) — менее 1 %.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Сколько недель из 21 модель лучше правила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3106"/>
        <w:gridCol w:w="3106"/>
        <w:gridCol w:w="3106"/>
      </w:tblGrid>
      <w:tr>
        <w:trPr>
          <w:cantSplit/>
          <w:tblHeader/>
        </w:trPr>
        <w:tc>
          <w:tcPr>
            <w:tcW w:type="dxa" w:w="432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Показатель</w:t>
            </w:r>
          </w:p>
        </w:tc>
        <w:tc>
          <w:tcPr>
            <w:tcW w:type="dxa" w:w="244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deployed vs правило</w:t>
            </w:r>
          </w:p>
        </w:tc>
        <w:tc>
          <w:tcPr>
            <w:tcW w:type="dxa" w:w="244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lgbm_weekly vs правило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ROC-AUC (выиграла / проиграла / равно)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5 / 16 / 0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18 / 3 / 0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PR-AUC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6 / 15 / 0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18 / 3 / 0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Точность в топ-100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2 / 18 / 1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8 / 12 / 1</w:t>
            </w:r>
          </w:p>
        </w:tc>
      </w:tr>
      <w:tr>
        <w:trPr>
          <w:cantSplit/>
        </w:trPr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Точность в топ-200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 / 20 / 0</w:t>
            </w:r>
          </w:p>
        </w:tc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12 / 9 / 0</w:t>
            </w:r>
          </w:p>
        </w:tc>
      </w:tr>
    </w:tbl>
    <w:p>
      <w:pPr>
        <w:spacing w:after="40"/>
      </w:pP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Результаты: каналы без неисправностей за предыдущие 7 дней («новые инциденты»)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Правило persistence не видит такие каналы вообще — для него это слепая зона. Именно здесь модели нужна, чтобы дать то, чего правило дать не может.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2329"/>
        <w:gridCol w:w="2329"/>
        <w:gridCol w:w="2329"/>
        <w:gridCol w:w="2329"/>
      </w:tblGrid>
      <w:tr>
        <w:trPr>
          <w:cantSplit/>
          <w:tblHeader/>
        </w:trPr>
        <w:tc>
          <w:tcPr>
            <w:tcW w:type="dxa" w:w="316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Вариант</w:t>
            </w:r>
          </w:p>
        </w:tc>
        <w:tc>
          <w:tcPr>
            <w:tcW w:type="dxa" w:w="172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ROC-AUC</w:t>
            </w:r>
          </w:p>
        </w:tc>
        <w:tc>
          <w:tcPr>
            <w:tcW w:type="dxa" w:w="172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PR-AUC</w:t>
            </w:r>
          </w:p>
        </w:tc>
        <w:tc>
          <w:tcPr>
            <w:tcW w:type="dxa" w:w="259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Точность в топ-100</w:t>
            </w:r>
          </w:p>
        </w:tc>
      </w:tr>
      <w:tr>
        <w:trPr>
          <w:cantSplit/>
        </w:trPr>
        <w:tc>
          <w:tcPr>
            <w:tcW w:type="dxa" w:w="31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deployed (в демо)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0,578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0,022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0,05</w:t>
            </w:r>
          </w:p>
        </w:tc>
      </w:tr>
      <w:tr>
        <w:trPr>
          <w:cantSplit/>
        </w:trPr>
        <w:tc>
          <w:tcPr>
            <w:tcW w:type="dxa" w:w="31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lgbm_weekly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0,757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0,049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0,06</w:t>
            </w:r>
          </w:p>
        </w:tc>
      </w:tr>
      <w:tr>
        <w:trPr>
          <w:cantSplit/>
        </w:trPr>
        <w:tc>
          <w:tcPr>
            <w:tcW w:type="dxa" w:w="31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logreg_weekly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0,662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0,016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0,01</w:t>
            </w:r>
          </w:p>
        </w:tc>
      </w:tr>
      <w:tr>
        <w:trPr>
          <w:cantSplit/>
        </w:trPr>
        <w:tc>
          <w:tcPr>
            <w:tcW w:type="dxa" w:w="316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правило persistence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0,500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0,010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0,00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/>
          <w:color w:val="1C1D22"/>
          <w:sz w:val="18"/>
        </w:rPr>
        <w:t>Для правила ROC-AUC = 0,5 по построению (оно не отличает один такой канал от другого).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rPr>
          <w:cantSplit/>
        </w:trPr>
        <w:tc>
          <w:tcPr>
            <w:tcW w:type="dxa" w:w="9216"/>
            <w:shd w:val="clear" w:color="auto" w:fill="F6F4EE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left w:val="single" w:sz="24" w:space="0" w:color="E5412D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C81E3C"/>
                <w:sz w:val="18"/>
              </w:rPr>
              <w:t xml:space="preserve">[ЧТО ЭТО ЗНАЧИТ] </w:t>
            </w:r>
            <w:r>
              <w:rPr>
                <w:rFonts w:ascii="Arial" w:hAnsi="Arial"/>
                <w:b w:val="0"/>
                <w:i w:val="0"/>
                <w:color w:val="1C1D22"/>
                <w:sz w:val="18"/>
              </w:rPr>
              <w:t>Честный вывод. Модель, стоящая в демо (обучена в январе и не переобучалась), слабее простого правила: правило лучше или равно в большинстве недель по ROC-AUC и по точности в топе. Модель с еженедельным переобучением заметно лучше по ROC-AUC и PR-AUC, на топ-100 примерно равна правилу, на топ-200 уступает. Практическая ценность модели — в каналах, где правило слепо: события в таких каналах составляют 59 % всех событий за период (2 393 из 4 027), именно они определяют, сколько проблем выявляется заранее. Поэтому на пилоте мы закладываем еженедельное переобучение и сравнение с правилом на актах ТОИР, а не обещаем цифры демо.</w:t>
            </w:r>
          </w:p>
        </w:tc>
      </w:tr>
    </w:tbl>
    <w:p>
      <w:pPr>
        <w:spacing w:after="40"/>
      </w:pP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5. Сценарный полигон: проверка быстрого контура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На реальных данных быстрых опасных событий почти нет, поэтому быстрый контур проверяется на синтетическом полигоне: 185 каналов, эмулируются сутки (шаг 60 с) и месяц (шаг 300 с) с планово заложенными авариями. Спецификация с порогами и протоколом зафиксирована до первого прогона: docs/SCENARIOS_SPEC.md. Результаты ниже — на отложенных наборах (seed 2000–2019), которые прогнаны один раз после заморозки логики; файл docs/SCENARIOS_HELDOUT_RESULTS.json содержит версии кода и контрольные суммы.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rPr>
          <w:cantSplit/>
        </w:trPr>
        <w:tc>
          <w:tcPr>
            <w:tcW w:type="dxa" w:w="9216"/>
            <w:shd w:val="clear" w:color="auto" w:fill="F6F4EE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left w:val="single" w:sz="24" w:space="0" w:color="E5412D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C81E3C"/>
                <w:sz w:val="18"/>
              </w:rPr>
              <w:t xml:space="preserve">[ВАЖНО] </w:t>
            </w:r>
            <w:r>
              <w:rPr>
                <w:rFonts w:ascii="Arial" w:hAnsi="Arial"/>
                <w:b w:val="0"/>
                <w:i w:val="0"/>
                <w:color w:val="1C1D22"/>
                <w:sz w:val="18"/>
              </w:rPr>
              <w:t>Данные синтетические. Полигон проверяет, что логика срабатывает правильно и не создаёт лишнего шума. Это не оценка качества на реальных авариях Москоллектора.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1553"/>
        <w:gridCol w:w="1553"/>
        <w:gridCol w:w="1553"/>
        <w:gridCol w:w="1553"/>
        <w:gridCol w:w="1553"/>
        <w:gridCol w:w="1553"/>
      </w:tblGrid>
      <w:tr>
        <w:trPr>
          <w:cantSplit/>
          <w:tblHeader/>
        </w:trPr>
        <w:tc>
          <w:tcPr>
            <w:tcW w:type="dxa" w:w="2304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6"/>
              </w:rPr>
              <w:t>Сценарий</w:t>
            </w:r>
          </w:p>
        </w:tc>
        <w:tc>
          <w:tcPr>
            <w:tcW w:type="dxa" w:w="144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6"/>
              </w:rPr>
              <w:t>Быстрый контур: найдено</w:t>
            </w:r>
          </w:p>
        </w:tc>
        <w:tc>
          <w:tcPr>
            <w:tcW w:type="dxa" w:w="1296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6"/>
              </w:rPr>
              <w:t>Показатель</w:t>
            </w:r>
          </w:p>
        </w:tc>
        <w:tc>
          <w:tcPr>
            <w:tcW w:type="dxa" w:w="115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6"/>
              </w:rPr>
              <w:t>Медиана</w:t>
            </w:r>
          </w:p>
        </w:tc>
        <w:tc>
          <w:tcPr>
            <w:tcW w:type="dxa" w:w="1584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6"/>
              </w:rPr>
              <w:t>Статич. порог: найдено</w:t>
            </w:r>
          </w:p>
        </w:tc>
        <w:tc>
          <w:tcPr>
            <w:tcW w:type="dxa" w:w="1296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6"/>
              </w:rPr>
              <w:t>Медиана</w:t>
            </w:r>
          </w:p>
        </w:tc>
      </w:tr>
      <w:tr>
        <w:trPr>
          <w:cantSplit/>
        </w:trPr>
        <w:tc>
          <w:tcPr>
            <w:tcW w:type="dxa" w:w="230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S1 Медленная утечка газа</w:t>
            </w:r>
          </w:p>
        </w:tc>
        <w:tc>
          <w:tcPr>
            <w:tcW w:type="dxa" w:w="144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80 / 80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опережение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6,9 мин</w:t>
            </w:r>
          </w:p>
        </w:tc>
        <w:tc>
          <w:tcPr>
            <w:tcW w:type="dxa" w:w="158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80 / 80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-0,5 мин</w:t>
            </w:r>
          </w:p>
        </w:tc>
      </w:tr>
      <w:tr>
        <w:trPr>
          <w:cantSplit/>
        </w:trPr>
        <w:tc>
          <w:tcPr>
            <w:tcW w:type="dxa" w:w="230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S2 Быстрая утечка газа</w:t>
            </w:r>
          </w:p>
        </w:tc>
        <w:tc>
          <w:tcPr>
            <w:tcW w:type="dxa" w:w="144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60 / 60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задержка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62,2 с</w:t>
            </w:r>
          </w:p>
        </w:tc>
        <w:tc>
          <w:tcPr>
            <w:tcW w:type="dxa" w:w="158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60 / 60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62,2 с</w:t>
            </w:r>
          </w:p>
        </w:tc>
      </w:tr>
      <w:tr>
        <w:trPr>
          <w:cantSplit/>
        </w:trPr>
        <w:tc>
          <w:tcPr>
            <w:tcW w:type="dxa" w:w="230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S3 Перегрев трубопровода</w:t>
            </w:r>
          </w:p>
        </w:tc>
        <w:tc>
          <w:tcPr>
            <w:tcW w:type="dxa" w:w="144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80 / 80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опережение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37,2 мин</w:t>
            </w:r>
          </w:p>
        </w:tc>
        <w:tc>
          <w:tcPr>
            <w:tcW w:type="dxa" w:w="158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80 / 80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-0,4 мин</w:t>
            </w:r>
          </w:p>
        </w:tc>
      </w:tr>
      <w:tr>
        <w:trPr>
          <w:cantSplit/>
        </w:trPr>
        <w:tc>
          <w:tcPr>
            <w:tcW w:type="dxa" w:w="230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S4 Пожар (тепловой датчик)</w:t>
            </w:r>
          </w:p>
        </w:tc>
        <w:tc>
          <w:tcPr>
            <w:tcW w:type="dxa" w:w="144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60 / 60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задержка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0,0 с</w:t>
            </w:r>
          </w:p>
        </w:tc>
        <w:tc>
          <w:tcPr>
            <w:tcW w:type="dxa" w:w="158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60 / 60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0,0 с</w:t>
            </w:r>
          </w:p>
        </w:tc>
      </w:tr>
      <w:tr>
        <w:trPr>
          <w:cantSplit/>
        </w:trPr>
        <w:tc>
          <w:tcPr>
            <w:tcW w:type="dxa" w:w="230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S5 Затопление</w:t>
            </w:r>
          </w:p>
        </w:tc>
        <w:tc>
          <w:tcPr>
            <w:tcW w:type="dxa" w:w="144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60 / 60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задержка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0,0 с</w:t>
            </w:r>
          </w:p>
        </w:tc>
        <w:tc>
          <w:tcPr>
            <w:tcW w:type="dxa" w:w="158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60 / 60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0,0 с</w:t>
            </w:r>
          </w:p>
        </w:tc>
      </w:tr>
      <w:tr>
        <w:trPr>
          <w:cantSplit/>
        </w:trPr>
        <w:tc>
          <w:tcPr>
            <w:tcW w:type="dxa" w:w="230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S6 Дребезг контакта</w:t>
            </w:r>
          </w:p>
        </w:tc>
        <w:tc>
          <w:tcPr>
            <w:tcW w:type="dxa" w:w="144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200 / 200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задержка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17,2 с</w:t>
            </w:r>
          </w:p>
        </w:tc>
        <w:tc>
          <w:tcPr>
            <w:tcW w:type="dxa" w:w="158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200 / 200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2,9 с</w:t>
            </w:r>
          </w:p>
        </w:tc>
      </w:tr>
      <w:tr>
        <w:trPr>
          <w:cantSplit/>
        </w:trPr>
        <w:tc>
          <w:tcPr>
            <w:tcW w:type="dxa" w:w="230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S7 Потеря связи</w:t>
            </w:r>
          </w:p>
        </w:tc>
        <w:tc>
          <w:tcPr>
            <w:tcW w:type="dxa" w:w="144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80 / 80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задержка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928,2 с</w:t>
            </w:r>
          </w:p>
        </w:tc>
        <w:tc>
          <w:tcPr>
            <w:tcW w:type="dxa" w:w="158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0 / 80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не обнаружено</w:t>
            </w:r>
          </w:p>
        </w:tc>
      </w:tr>
      <w:tr>
        <w:trPr>
          <w:cantSplit/>
        </w:trPr>
        <w:tc>
          <w:tcPr>
            <w:tcW w:type="dxa" w:w="230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S8 Колебание газа у уставки</w:t>
            </w:r>
          </w:p>
        </w:tc>
        <w:tc>
          <w:tcPr>
            <w:tcW w:type="dxa" w:w="144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60 / 60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задержка</w:t>
            </w:r>
          </w:p>
        </w:tc>
        <w:tc>
          <w:tcPr>
            <w:tcW w:type="dxa" w:w="115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75,3 с</w:t>
            </w:r>
          </w:p>
        </w:tc>
        <w:tc>
          <w:tcPr>
            <w:tcW w:type="dxa" w:w="158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60 / 60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6"/>
              </w:rPr>
              <w:t>75,3 с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/>
          <w:color w:val="1C1D22"/>
          <w:sz w:val="18"/>
        </w:rPr>
        <w:t>«Опережение» — на сколько минут раньше фиксированного порога 1 % метана (или 45 °C) мы сообщаем диспетчеру; положительное значение — раньше. «Задержка» — сколько секунд проходит от начала события до оповещения. Медианы по 20 наборам.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Сводка по детекторам (20 наборов × сутки)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2329"/>
        <w:gridCol w:w="2329"/>
        <w:gridCol w:w="2329"/>
        <w:gridCol w:w="2329"/>
      </w:tblGrid>
      <w:tr>
        <w:trPr>
          <w:cantSplit/>
          <w:tblHeader/>
        </w:trPr>
        <w:tc>
          <w:tcPr>
            <w:tcW w:type="dxa" w:w="331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Показатель</w:t>
            </w:r>
          </w:p>
        </w:tc>
        <w:tc>
          <w:tcPr>
            <w:tcW w:type="dxa" w:w="187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Быстрый контур</w:t>
            </w:r>
          </w:p>
        </w:tc>
        <w:tc>
          <w:tcPr>
            <w:tcW w:type="dxa" w:w="2304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Статический порог + дедупликация</w:t>
            </w:r>
          </w:p>
        </w:tc>
        <w:tc>
          <w:tcPr>
            <w:tcW w:type="dxa" w:w="172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Наивный порог</w:t>
            </w:r>
          </w:p>
        </w:tc>
      </w:tr>
      <w:tr>
        <w:trPr>
          <w:cantSplit/>
        </w:trPr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События найдены</w:t>
            </w:r>
          </w:p>
        </w:tc>
        <w:tc>
          <w:tcPr>
            <w:tcW w:type="dxa" w:w="18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680 из 680</w:t>
            </w:r>
          </w:p>
        </w:tc>
        <w:tc>
          <w:tcPr>
            <w:tcW w:type="dxa" w:w="230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600 из 680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600 из 680</w:t>
            </w:r>
          </w:p>
        </w:tc>
      </w:tr>
      <w:tr>
        <w:trPr>
          <w:cantSplit/>
        </w:trPr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Ложные тревоги (всего)</w:t>
            </w:r>
          </w:p>
        </w:tc>
        <w:tc>
          <w:tcPr>
            <w:tcW w:type="dxa" w:w="18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</w:t>
            </w:r>
          </w:p>
        </w:tc>
        <w:tc>
          <w:tcPr>
            <w:tcW w:type="dxa" w:w="230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80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80</w:t>
            </w:r>
          </w:p>
        </w:tc>
      </w:tr>
      <w:tr>
        <w:trPr>
          <w:cantSplit/>
        </w:trPr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Оповещений в сутки (в среднем)</w:t>
            </w:r>
          </w:p>
        </w:tc>
        <w:tc>
          <w:tcPr>
            <w:tcW w:type="dxa" w:w="18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146</w:t>
            </w:r>
          </w:p>
        </w:tc>
        <w:tc>
          <w:tcPr>
            <w:tcW w:type="dxa" w:w="230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535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1414</w:t>
            </w:r>
          </w:p>
        </w:tc>
      </w:tr>
      <w:tr>
        <w:trPr>
          <w:cantSplit/>
        </w:trPr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Инцидентов в списке диспетчера (в среднем)</w:t>
            </w:r>
          </w:p>
        </w:tc>
        <w:tc>
          <w:tcPr>
            <w:tcW w:type="dxa" w:w="18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67</w:t>
            </w:r>
          </w:p>
        </w:tc>
        <w:tc>
          <w:tcPr>
            <w:tcW w:type="dxa" w:w="230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502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1414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Нагрузка на диспетчера: наивный порог даёт в 21,1 раза больше оповещений, чем быстрый контур; статический порог с дедупликацией — в 7,5 раза больше инцидентов в списке.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Колебание у уставки (замечание экспертов)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Сценарий S8 моделирует газ, который «гуляет» около порога 1 %: статический порог без гистерезиса превращает его в десятки оповещений. Быстрый контур выдаёт 3 оповещения на событие (газовое предупреждение, рост газа и пометка «колебание у уставки») и помечает инцидент как колебание у уставки (100 % случаев); наивный порог даёт 15 оповещений на событие.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Ограничения полигона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Статические базовые варианты получают ложные тревоги от заранее заложенных «нормальных» отклонений (отрицательные контрольные случаи): их 80 — следствие построения теста, а не независимое измерение.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Для S7 (потеря связи) у статических вариантов нет правила вовсе — преимущество быстрого контура 680 из 680 против 600 из 680 по сути определяется этим сценарием.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В режиме «месяц» шаг замеров 5 минут: опережение по S1 отрицательное (-2,6 мин по seed 42), пометка «колебание у уставки» ставится только в 12,5 % случаев. Для пилота нужна частота опроса газа не реже 1 раза в минуту.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Пороги не подбирались по результатам отложенных наборов; пороги получены из требований заказчика и экспертов и из допущений команды (п. 7).</w:t>
      </w: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6. Скорость работы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3106"/>
        <w:gridCol w:w="3106"/>
        <w:gridCol w:w="3106"/>
      </w:tblGrid>
      <w:tr>
        <w:trPr>
          <w:cantSplit/>
          <w:tblHeader/>
        </w:trPr>
        <w:tc>
          <w:tcPr>
            <w:tcW w:type="dxa" w:w="331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Замер</w:t>
            </w:r>
          </w:p>
        </w:tc>
        <w:tc>
          <w:tcPr>
            <w:tcW w:type="dxa" w:w="288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Результат</w:t>
            </w:r>
          </w:p>
        </w:tc>
        <w:tc>
          <w:tcPr>
            <w:tcW w:type="dxa" w:w="3024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Что измерено</w:t>
            </w:r>
          </w:p>
        </w:tc>
      </w:tr>
      <w:tr>
        <w:trPr>
          <w:cantSplit/>
        </w:trPr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Пакетная оценка всех 11 485 каналов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62,9 мс (p95 70,7 мс)</w:t>
            </w:r>
          </w:p>
        </w:tc>
        <w:tc>
          <w:tcPr>
            <w:tcW w:type="dxa" w:w="302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только расчёт модели на подготовленных признаках</w:t>
            </w:r>
          </w:p>
        </w:tc>
      </w:tr>
      <w:tr>
        <w:trPr>
          <w:cantSplit/>
        </w:trPr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Оценка одного канала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1,50 мс (p95 2,58 мс)</w:t>
            </w:r>
          </w:p>
        </w:tc>
        <w:tc>
          <w:tcPr>
            <w:tcW w:type="dxa" w:w="302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только расчёт модели на подготовленных признаках</w:t>
            </w:r>
          </w:p>
        </w:tc>
      </w:tr>
      <w:tr>
        <w:trPr>
          <w:cantSplit/>
        </w:trPr>
        <w:tc>
          <w:tcPr>
            <w:tcW w:type="dxa" w:w="331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HTTP-нагрузка: 500 запросов, 20 параллельных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111,3 запросов/с, медиана 172 мс, p95 252 мс</w:t>
            </w:r>
          </w:p>
        </w:tc>
        <w:tc>
          <w:tcPr>
            <w:tcW w:type="dxa" w:w="302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полный путь запроса к API через локальную сеть, без ошибок (100 %)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Требование ТЗ — не более 300 секунд на обработку. Замер пакетной оценки не включает чтение потока СМВУ и построение признаков из «сырых» записей: время построения признаков зависит от способа подключения к потоку и подлежит измерению на пилоте (этап «теневой режим»).</w:t>
      </w: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7. Пороги и настраиваемые параметры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Все пороги вынесены в настройки и перечислены в спецификации; в таблице указан источник каждого значения: [З] — задано заказчиком или экспертами, [К] — значение, уже стоявшее в коде, [Д] — допущение команды (будет уточняться на пилоте).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3106"/>
        <w:gridCol w:w="3106"/>
        <w:gridCol w:w="3106"/>
      </w:tblGrid>
      <w:tr>
        <w:trPr>
          <w:cantSplit/>
          <w:tblHeader/>
        </w:trPr>
        <w:tc>
          <w:tcPr>
            <w:tcW w:type="dxa" w:w="360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Параметр</w:t>
            </w:r>
          </w:p>
        </w:tc>
        <w:tc>
          <w:tcPr>
            <w:tcW w:type="dxa" w:w="432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Значение</w:t>
            </w:r>
          </w:p>
        </w:tc>
        <w:tc>
          <w:tcPr>
            <w:tcW w:type="dxa" w:w="1296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Источник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Метан: предупреждение / тревога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1,0 % / 5,0 % объёмных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[З]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Рост метана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≥ 0,3 % за 3 замера и наклон ≥ 0,05 %/мин на окне max(5 мин; 3 шага)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[Д]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Температура: предупреждение / тревога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40 / 45 °C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[К]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Быстрый рост температуры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≥ 28 °C и наклон ≥ 0,2 °C/мин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[Д]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Дребезг контакта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≥ 5 переключений за 90 с; закрытие через 15 мин без новых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[К]/[Д]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Колебание у уставки газа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≥ 4 пересечения 1,0 % за 15 мин; сброс через 30 мин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[Д] по замечанию экспертов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Потеря связи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нет замеров дольше max(15 мин; 3 шага)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[Д]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Пожар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сработка теплового датчика — немедленно, с эскалацией по росту температуры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[З]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Затопление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датчик в тревоге — немедленно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[З]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Напоминание о неподтверждённой тревоге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каждые 30 мин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[Д]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Порог очереди диспетчера (модель)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0,42 по баллу модели (не вероятность)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[К]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Подтверждение диспетчером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обязательно (require_dispatcher_confirmation = true)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[З]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Автоподавление дребезга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выключено (auto_suppress_chatter = false)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[З]</w:t>
            </w:r>
          </w:p>
        </w:tc>
      </w:tr>
      <w:tr>
        <w:trPr>
          <w:cantSplit/>
        </w:trPr>
        <w:tc>
          <w:tcPr>
            <w:tcW w:type="dxa" w:w="360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Стоимости для расчёта эффекта</w:t>
            </w:r>
          </w:p>
        </w:tc>
        <w:tc>
          <w:tcPr>
            <w:tcW w:type="dxa" w:w="432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аварийный выезд 18 500 ₽; плановый осмотр 3 200 ₽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[Д] нормативные ставки, уточняются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Параметры меняются через экран «Настройки» или POST /api/settings и возвращаются к значениям по умолчанию через POST /api/settings/reset. Прогон Сценарного полигона использует зафиксированный снимок настроек и не зависит от того, что изменено на экране.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Тревога подтверждается или отклоняется диспетчером с указанием причины. Дребезг не гасится автоматически: его решает человек. Это сознательный выбор: ложное гашение при реальной аварии опаснее лишнего оповещения.</w:t>
      </w: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8. Безопасность и журнал решений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Решения диспетчера (подтверждение/отклонение тревоги, причина, время, табельный номер) записываются в журнал confirmed_alarms.json; каждая запись содержит SHA-256 от своих полей (канал, решение, табельный номер, время, примечание) и хэша предыдущей записи. Проверка целостности — GET /api/alarms/audit/verify: любое изменение или удаление записи в середине цепочки обнаруживается.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Вход диспетчера — табельный номер и PIN (в интерфейсе хранятся только в памяти вкладки); в хранилище лежит лишь хэш PIN (PBKDF2-SHA256), сравнение выполняется за постоянное время. Демонстрационные учётные данные (ДИСП-0001 / PIN из переменной окружения LCT_DEMO_DISPATCHER_PIN) предназначены только для стенда; на пилоте заменяются каталогом пользователей заказчика (LDAP/AD).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Все входные данные проверяются схемами Pydantic; ответ 422 на неверные значения, запись в журнал и заявки при этом не выполняется.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Прототип работает в режиме «только чтение» по отношению к данным заказчика: изменяются только собственные журналы решений и заявок прототипа.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Контейнер запускается под непривилегированным пользователем (uid 1000), прокси-заголовки принимаются штатно.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Требования КИИ (187-ФЗ, приказы ФСТЭК № 235 и № 239), сетевая изоляция технологического сегмента через диод данных/DMZ, двухфакторная аутентификация и передача событий в SIEM описаны в docs/DATA_REQUEST_AND_PILOT_METHODOLOGY.md, раздел 5; в прототипе они не реализованы.</w:t>
      </w: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9. Интеграция с системами заказчика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В прототипе источником данных служат файлы организаторов. Для пилота предлагаются однонаправленные адаптеры «только чтение»; конкретный вариант выбирается заказчиком: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3106"/>
        <w:gridCol w:w="3106"/>
        <w:gridCol w:w="3106"/>
      </w:tblGrid>
      <w:tr>
        <w:trPr>
          <w:cantSplit/>
          <w:tblHeader/>
        </w:trPr>
        <w:tc>
          <w:tcPr>
            <w:tcW w:type="dxa" w:w="244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Способ</w:t>
            </w:r>
          </w:p>
        </w:tc>
        <w:tc>
          <w:tcPr>
            <w:tcW w:type="dxa" w:w="460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Что подключается</w:t>
            </w:r>
          </w:p>
        </w:tc>
        <w:tc>
          <w:tcPr>
            <w:tcW w:type="dxa" w:w="216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Статус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REST (HTTP/JSON)</w:t>
            </w:r>
          </w:p>
        </w:tc>
        <w:tc>
          <w:tcPr>
            <w:tcW w:type="dxa" w:w="460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получение прогнозов и тревог внешними системами; приём замеров POST /api/predictions/score</w:t>
            </w:r>
          </w:p>
        </w:tc>
        <w:tc>
          <w:tcPr>
            <w:tcW w:type="dxa" w:w="216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реализовано в прототипе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Kafka / MQTT / RabbitMQ</w:t>
            </w:r>
          </w:p>
        </w:tc>
        <w:tc>
          <w:tcPr>
            <w:tcW w:type="dxa" w:w="460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подписка на поток замеров СМВУ (read-only), запись результатов в отдельный топик</w:t>
            </w:r>
          </w:p>
        </w:tc>
        <w:tc>
          <w:tcPr>
            <w:tcW w:type="dxa" w:w="216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описано, адаптер на пилоте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SOAP / ESB предприятия</w:t>
            </w:r>
          </w:p>
        </w:tc>
        <w:tc>
          <w:tcPr>
            <w:tcW w:type="dxa" w:w="460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обмен с корпоративной шиной, выгрузка заявок в CMMS / 1С:ТОИР</w:t>
            </w:r>
          </w:p>
        </w:tc>
        <w:tc>
          <w:tcPr>
            <w:tcW w:type="dxa" w:w="216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описано, адаптер на пилоте</w:t>
            </w:r>
          </w:p>
        </w:tc>
      </w:tr>
      <w:tr>
        <w:trPr>
          <w:cantSplit/>
        </w:trPr>
        <w:tc>
          <w:tcPr>
            <w:tcW w:type="dxa" w:w="244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Файловый обмен (CSV)</w:t>
            </w:r>
          </w:p>
        </w:tc>
        <w:tc>
          <w:tcPr>
            <w:tcW w:type="dxa" w:w="460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выгрузка журнала СМВУ и актов ТОИР для обучения</w:t>
            </w:r>
          </w:p>
        </w:tc>
        <w:tc>
          <w:tcPr>
            <w:tcW w:type="dxa" w:w="216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используется в прототипе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Ни один из адаптеров к внешним системам в прототипе не подключён и не проверялся на живых данных заказчика.</w:t>
      </w: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10. Экономика: условие окупаемости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Реальных данных об актах ремонтов и стоимости инцидентов у нас нет, поэтому мы не обещаем сумму экономии. Вместо этого показываем, при какой точности прогноза плановый осмотр окупается, и сравниваем с измеренной точностью.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Допущения: аварийный выезд стоит 18 500 ₽, плановый осмотр — 3 200 ₽ (нормативные ставки, уточняются заказчиком). Если осмотр канала из очереди прогноза заранее устраняет проблему, то он окупается, когда доля подтверждённых проблем в очереди не ниже 3 200 / 18 500 = 17,3 %.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2329"/>
        <w:gridCol w:w="2329"/>
        <w:gridCol w:w="2329"/>
        <w:gridCol w:w="2329"/>
      </w:tblGrid>
      <w:tr>
        <w:trPr>
          <w:cantSplit/>
          <w:tblHeader/>
        </w:trPr>
        <w:tc>
          <w:tcPr>
            <w:tcW w:type="dxa" w:w="259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Вариант</w:t>
            </w:r>
          </w:p>
        </w:tc>
        <w:tc>
          <w:tcPr>
            <w:tcW w:type="dxa" w:w="216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Точность в топ-100 (медиана)</w:t>
            </w:r>
          </w:p>
        </w:tc>
        <w:tc>
          <w:tcPr>
            <w:tcW w:type="dxa" w:w="187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Относительно 17,3 %</w:t>
            </w:r>
          </w:p>
        </w:tc>
        <w:tc>
          <w:tcPr>
            <w:tcW w:type="dxa" w:w="259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Какую долю найденных проблем нужно успевать устранять до аварии</w:t>
            </w:r>
          </w:p>
        </w:tc>
      </w:tr>
      <w:tr>
        <w:trPr>
          <w:cantSplit/>
        </w:trPr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deployed (в демо)</w:t>
            </w:r>
          </w:p>
        </w:tc>
        <w:tc>
          <w:tcPr>
            <w:tcW w:type="dxa" w:w="216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22 %</w:t>
            </w:r>
          </w:p>
        </w:tc>
        <w:tc>
          <w:tcPr>
            <w:tcW w:type="dxa" w:w="18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выше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79 %</w:t>
            </w:r>
          </w:p>
        </w:tc>
      </w:tr>
      <w:tr>
        <w:trPr>
          <w:cantSplit/>
        </w:trPr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lgbm_weekly</w:t>
            </w:r>
          </w:p>
        </w:tc>
        <w:tc>
          <w:tcPr>
            <w:tcW w:type="dxa" w:w="216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38 %</w:t>
            </w:r>
          </w:p>
        </w:tc>
        <w:tc>
          <w:tcPr>
            <w:tcW w:type="dxa" w:w="18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выше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46 %</w:t>
            </w:r>
          </w:p>
        </w:tc>
      </w:tr>
      <w:tr>
        <w:trPr>
          <w:cantSplit/>
        </w:trPr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правило persistence</w:t>
            </w:r>
          </w:p>
        </w:tc>
        <w:tc>
          <w:tcPr>
            <w:tcW w:type="dxa" w:w="216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38 %</w:t>
            </w:r>
          </w:p>
        </w:tc>
        <w:tc>
          <w:tcPr>
            <w:tcW w:type="dxa" w:w="18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выше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46 %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Последний столбец: если не каждая найденная проблема превращается в предотвращённую аварию, окупаемость требует, чтобы доля устранённых заранее была не ниже указанной (формула: 3 200 / (18 500 × точность)). Это условие, а не прогноз экономии: доля предотвращаемых проблем определяется только на пилоте.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rPr>
          <w:cantSplit/>
        </w:trPr>
        <w:tc>
          <w:tcPr>
            <w:tcW w:type="dxa" w:w="9216"/>
            <w:shd w:val="clear" w:color="auto" w:fill="F6F4EE"/>
            <w:tcMar>
              <w:top w:w="100" w:type="dxa"/>
              <w:left w:w="160" w:type="dxa"/>
              <w:bottom w:w="100" w:type="dxa"/>
              <w:right w:w="160" w:type="dxa"/>
            </w:tcMar>
            <w:tcBorders>
              <w:left w:val="single" w:sz="24" w:space="0" w:color="E5412D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C81E3C"/>
                <w:sz w:val="18"/>
              </w:rPr>
              <w:t xml:space="preserve">[ОГРАНИЧЕНИЕ] </w:t>
            </w:r>
            <w:r>
              <w:rPr>
                <w:rFonts w:ascii="Arial" w:hAnsi="Arial"/>
                <w:b w:val="0"/>
                <w:i w:val="0"/>
                <w:color w:val="1C1D22"/>
                <w:sz w:val="18"/>
              </w:rPr>
              <w:t>Метки основаны на журнале СМВУ, а не на актах ремонтов, поэтому «найденная проблема» — это совпадение с разметкой. Прежние сценарные оценки экономии в млн рублей в год в этой редакции не используются.</w:t>
            </w:r>
          </w:p>
        </w:tc>
      </w:tr>
    </w:tbl>
    <w:p>
      <w:pPr>
        <w:spacing w:after="40"/>
      </w:pP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11. Установка и запуск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Docker (рекомендуется)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Требуется Docker с Compose. В корне репозитория:</w:t>
      </w:r>
    </w:p>
    <w:p>
      <w:pPr>
        <w:keepNext/>
        <w:spacing w:after="0"/>
        <w:ind w:left="216"/>
        <w:jc w:val="left"/>
        <w:shd w:val="clear" w:color="auto" w:fill="F1F2F6"/>
      </w:pPr>
      <w:r>
        <w:rPr>
          <w:rFonts w:ascii="DejaVu Sans Mono" w:hAnsi="DejaVu Sans Mono"/>
          <w:color w:val="1C1D22"/>
          <w:sz w:val="17"/>
        </w:rPr>
        <w:t>docker compose up --build</w:t>
      </w:r>
    </w:p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Интерфейс — http://localhost:8000, документация API — http://localhost:8000/docs. Данные журналов хранятся в каталоге backend/data репозитория (монтируется в контейнер). Проверка живости: GET /api/health.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Без Docker</w:t>
      </w: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Python 3.10+, Node.js 20+:</w:t>
      </w:r>
    </w:p>
    <w:p>
      <w:pPr>
        <w:keepNext/>
        <w:spacing w:after="0"/>
        <w:ind w:left="216"/>
        <w:jc w:val="left"/>
        <w:shd w:val="clear" w:color="auto" w:fill="F1F2F6"/>
      </w:pPr>
      <w:r>
        <w:rPr>
          <w:rFonts w:ascii="DejaVu Sans Mono" w:hAnsi="DejaVu Sans Mono"/>
          <w:color w:val="1C1D22"/>
          <w:sz w:val="17"/>
        </w:rPr>
        <w:t>pip install -r requirements.txt</w:t>
      </w:r>
    </w:p>
    <w:p>
      <w:pPr>
        <w:keepNext/>
        <w:spacing w:after="0"/>
        <w:ind w:left="216"/>
        <w:jc w:val="left"/>
        <w:shd w:val="clear" w:color="auto" w:fill="F1F2F6"/>
      </w:pPr>
      <w:r>
        <w:rPr>
          <w:rFonts w:ascii="DejaVu Sans Mono" w:hAnsi="DejaVu Sans Mono"/>
          <w:color w:val="1C1D22"/>
          <w:sz w:val="17"/>
        </w:rPr>
        <w:t>cd frontend &amp;&amp; npm ci &amp;&amp; npm run build &amp;&amp; cd ..</w:t>
      </w:r>
    </w:p>
    <w:p>
      <w:pPr>
        <w:keepNext/>
        <w:spacing w:after="0"/>
        <w:ind w:left="216"/>
        <w:jc w:val="left"/>
        <w:shd w:val="clear" w:color="auto" w:fill="F1F2F6"/>
      </w:pPr>
      <w:r>
        <w:rPr>
          <w:rFonts w:ascii="DejaVu Sans Mono" w:hAnsi="DejaVu Sans Mono"/>
          <w:color w:val="1C1D22"/>
          <w:sz w:val="17"/>
        </w:rPr>
        <w:t>python -m uvicorn backend.app.main:app --host 0.0.0.0 --port 8000</w:t>
      </w:r>
    </w:p>
    <w:p>
      <w:pPr>
        <w:spacing w:after="40"/>
      </w:pP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Проверка и воспроизведение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4658"/>
        <w:gridCol w:w="4658"/>
      </w:tblGrid>
      <w:tr>
        <w:trPr>
          <w:cantSplit/>
          <w:tblHeader/>
        </w:trPr>
        <w:tc>
          <w:tcPr>
            <w:tcW w:type="dxa" w:w="3744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Команда</w:t>
            </w:r>
          </w:p>
        </w:tc>
        <w:tc>
          <w:tcPr>
            <w:tcW w:type="dxa" w:w="547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374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python -m pytest tests/ -q</w:t>
            </w:r>
          </w:p>
        </w:tc>
        <w:tc>
          <w:tcPr>
            <w:tcW w:type="dxa" w:w="54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108 автотестов (API, калибровка, бэктест, Сценарный полигон)</w:t>
            </w:r>
          </w:p>
        </w:tc>
      </w:tr>
      <w:tr>
        <w:trPr>
          <w:cantSplit/>
        </w:trPr>
        <w:tc>
          <w:tcPr>
            <w:tcW w:type="dxa" w:w="374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python scripts/reproduce_metrics.py</w:t>
            </w:r>
          </w:p>
        </w:tc>
        <w:tc>
          <w:tcPr>
            <w:tcW w:type="dxa" w:w="54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пересчёт метрик модели из кэша признаков</w:t>
            </w:r>
          </w:p>
        </w:tc>
      </w:tr>
      <w:tr>
        <w:trPr>
          <w:cantSplit/>
        </w:trPr>
        <w:tc>
          <w:tcPr>
            <w:tcW w:type="dxa" w:w="374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python scripts/rolling_backtest.py</w:t>
            </w:r>
          </w:p>
        </w:tc>
        <w:tc>
          <w:tcPr>
            <w:tcW w:type="dxa" w:w="54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пересчёт недельного бэктеста (с ключом --extract — из исходного журнала)</w:t>
            </w:r>
          </w:p>
        </w:tc>
      </w:tr>
      <w:tr>
        <w:trPr>
          <w:cantSplit/>
        </w:trPr>
        <w:tc>
          <w:tcPr>
            <w:tcW w:type="dxa" w:w="3744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python tools/heldout_eval.py</w:t>
            </w:r>
          </w:p>
        </w:tc>
        <w:tc>
          <w:tcPr>
            <w:tcW w:type="dxa" w:w="54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прогон отложенных наборов Сценарного полигона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Для воспроизведения метрик исходный журнал (1,5 ГБ) не нужен: используется кэш признаков; контрольные суммы данных и порядок воспроизведения — в docs/DATA_PROVENANCE_AND_REPRODUCIBILITY.md.</w:t>
      </w: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12. Используемые библиотеки</w:t>
      </w:r>
    </w:p>
    <w:p>
      <w:pPr>
        <w:keepNext/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Серверная часть (requirements.txt), версии зафиксированы: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2329"/>
        <w:gridCol w:w="2329"/>
        <w:gridCol w:w="2329"/>
        <w:gridCol w:w="2329"/>
      </w:tblGrid>
      <w:tr>
        <w:trPr>
          <w:cantSplit/>
          <w:tblHeader/>
        </w:trPr>
        <w:tc>
          <w:tcPr>
            <w:tcW w:type="dxa" w:w="288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Библиотека</w:t>
            </w:r>
          </w:p>
        </w:tc>
        <w:tc>
          <w:tcPr>
            <w:tcW w:type="dxa" w:w="172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Версия</w:t>
            </w:r>
          </w:p>
        </w:tc>
        <w:tc>
          <w:tcPr>
            <w:tcW w:type="dxa" w:w="288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Библиотека</w:t>
            </w:r>
          </w:p>
        </w:tc>
        <w:tc>
          <w:tcPr>
            <w:tcW w:type="dxa" w:w="172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Версия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fastapi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0.141.1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numpy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2.2.6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uvicorn[standard]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0.53.0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pandas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2.3.3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pydantic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2.13.4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joblib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1.6.0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lightgbm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4.7.0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pytest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9.1.1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scikit-learn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1.7.2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httpx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0.28.1</w:t>
            </w:r>
          </w:p>
        </w:tc>
      </w:tr>
    </w:tbl>
    <w:p>
      <w:pPr>
        <w:spacing w:after="40"/>
      </w:pPr>
    </w:p>
    <w:p>
      <w:pPr>
        <w:keepNext/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Интерфейс (frontend/package.json):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2329"/>
        <w:gridCol w:w="2329"/>
        <w:gridCol w:w="2329"/>
        <w:gridCol w:w="2329"/>
      </w:tblGrid>
      <w:tr>
        <w:trPr>
          <w:cantSplit/>
          <w:tblHeader/>
        </w:trPr>
        <w:tc>
          <w:tcPr>
            <w:tcW w:type="dxa" w:w="288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Пакет</w:t>
            </w:r>
          </w:p>
        </w:tc>
        <w:tc>
          <w:tcPr>
            <w:tcW w:type="dxa" w:w="172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Версия</w:t>
            </w:r>
          </w:p>
        </w:tc>
        <w:tc>
          <w:tcPr>
            <w:tcW w:type="dxa" w:w="2880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Пакет</w:t>
            </w:r>
          </w:p>
        </w:tc>
        <w:tc>
          <w:tcPr>
            <w:tcW w:type="dxa" w:w="1728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Версия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@tailwindcss/postcss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^4.3.3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lucide-react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^1.16.0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@types/leaflet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^1.9.12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postcss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^8.5.28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@types/react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^18.3.3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react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^18.3.1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@types/react-dom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^18.3.0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react-dom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^18.3.1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@vitejs/plugin-react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^4.3.4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tailwindcss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^4.3.3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autoprefixer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^10.6.1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typescript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^5.5.3</w:t>
            </w:r>
          </w:p>
        </w:tc>
      </w:tr>
      <w:tr>
        <w:trPr>
          <w:cantSplit/>
        </w:trPr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leaflet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^1.9.4</w:t>
            </w:r>
          </w:p>
        </w:tc>
        <w:tc>
          <w:tcPr>
            <w:tcW w:type="dxa" w:w="2880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vite</w:t>
            </w:r>
          </w:p>
        </w:tc>
        <w:tc>
          <w:tcPr>
            <w:tcW w:type="dxa" w:w="1728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^6.4.3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Все компоненты — открытое программное обеспечение; исходный код проекта открыт и не обфусцирован.</w:t>
      </w:r>
    </w:p>
    <w:p>
      <w:pPr>
        <w:keepNext/>
        <w:spacing w:before="320" w:after="120"/>
        <w:pBdr>
          <w:bottom w:val="single" w:sz="8" w:space="2" w:color="2233FF"/>
        </w:pBdr>
      </w:pPr>
      <w:r>
        <w:rPr>
          <w:rFonts w:ascii="Arial" w:hAnsi="Arial"/>
          <w:b/>
          <w:i w:val="0"/>
          <w:color w:val="1C1D22"/>
          <w:sz w:val="30"/>
        </w:rPr>
        <w:t>13. Ограничения и план пилота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Ограничения текущей версии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Метки — по журналу СМВУ, а не по актам ремонтов. Метрики показывают совпадение с этой разметкой.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Модель в демо обучена в январе и не переобучалась; она слабее простого правила (п. 4). Еженедельное переобучение проверено бэктестом, но в демо не включено.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Быстрый контур проверен на синтетических данных; на реальных аварийных записях Москоллектора не проверялся.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Не подключены СМВУ, ОДС, CMMS в реальном времени; хранилища — JSON-файлы (на пилоте — PostgreSQL).</w:t>
      </w:r>
    </w:p>
    <w:p>
      <w:pPr>
        <w:pStyle w:val="ListBullet"/>
        <w:spacing w:after="40" w:line="264" w:lineRule="auto"/>
      </w:pPr>
      <w:r>
        <w:rPr>
          <w:rFonts w:ascii="Arial" w:hAnsi="Arial"/>
          <w:b w:val="0"/>
          <w:i w:val="0"/>
          <w:color w:val="1C1D22"/>
          <w:sz w:val="20"/>
        </w:rPr>
        <w:t>Расчёты скорости не включают построение признаков из сырого потока.</w:t>
      </w:r>
    </w:p>
    <w:p>
      <w:pPr>
        <w:keepNext/>
        <w:spacing w:before="200" w:after="60"/>
      </w:pPr>
      <w:r>
        <w:rPr>
          <w:rFonts w:ascii="Arial" w:hAnsi="Arial"/>
          <w:b/>
          <w:i w:val="0"/>
          <w:color w:val="2233FF"/>
          <w:sz w:val="23"/>
        </w:rPr>
        <w:t>План опытно-промышленной эксплуатации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9CBD3"/>
          <w:left w:val="single" w:sz="4" w:space="0" w:color="C9CBD3"/>
          <w:bottom w:val="single" w:sz="4" w:space="0" w:color="C9CBD3"/>
          <w:right w:val="single" w:sz="4" w:space="0" w:color="C9CBD3"/>
          <w:insideH w:val="single" w:sz="4" w:space="0" w:color="C9CBD3"/>
          <w:insideV w:val="single" w:sz="4" w:space="0" w:color="C9CBD3"/>
        </w:tblBorders>
      </w:tblPr>
      <w:tblGrid>
        <w:gridCol w:w="2329"/>
        <w:gridCol w:w="2329"/>
        <w:gridCol w:w="2329"/>
        <w:gridCol w:w="2329"/>
      </w:tblGrid>
      <w:tr>
        <w:trPr>
          <w:cantSplit/>
          <w:tblHeader/>
        </w:trPr>
        <w:tc>
          <w:tcPr>
            <w:tcW w:type="dxa" w:w="187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Этап</w:t>
            </w:r>
          </w:p>
        </w:tc>
        <w:tc>
          <w:tcPr>
            <w:tcW w:type="dxa" w:w="1296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Срок</w:t>
            </w:r>
          </w:p>
        </w:tc>
        <w:tc>
          <w:tcPr>
            <w:tcW w:type="dxa" w:w="3456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Что делаем</w:t>
            </w:r>
          </w:p>
        </w:tc>
        <w:tc>
          <w:tcPr>
            <w:tcW w:type="dxa" w:w="2592"/>
            <w:shd w:val="clear" w:color="auto" w:fill="E9EBF5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Критерий перехода</w:t>
            </w:r>
          </w:p>
        </w:tc>
      </w:tr>
      <w:tr>
        <w:trPr>
          <w:cantSplit/>
        </w:trPr>
        <w:tc>
          <w:tcPr>
            <w:tcW w:type="dxa" w:w="18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0. Ретро-валидация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2–4 недели</w:t>
            </w:r>
          </w:p>
        </w:tc>
        <w:tc>
          <w:tcPr>
            <w:tcW w:type="dxa" w:w="345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получаем журнал ОДС и акты ТОИР за 12–24 месяца, переобучаем и проверяем на реальных исходах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ROC-AUC ≥ 0,78 на отложенной выборке; точность ≥ 18 % при полноте ≥ 65 %; отсутствие утечек данных</w:t>
            </w:r>
          </w:p>
        </w:tc>
      </w:tr>
      <w:tr>
        <w:trPr>
          <w:cantSplit/>
        </w:trPr>
        <w:tc>
          <w:tcPr>
            <w:tcW w:type="dxa" w:w="18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1. Теневой режим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1–2 месяца</w:t>
            </w:r>
          </w:p>
        </w:tc>
        <w:tc>
          <w:tcPr>
            <w:tcW w:type="dxa" w:w="345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читаем поток СМВУ, пишем прогнозы в отдельный журнал, диспетчеры работают как обычно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keepNext/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p95 задержки &lt; 1 с; доступность ≥ 99,9 %; опережение сигнала СМВУ не менее 4 часов в ≥ 50 % случаев</w:t>
            </w:r>
          </w:p>
        </w:tc>
      </w:tr>
      <w:tr>
        <w:trPr>
          <w:cantSplit/>
        </w:trPr>
        <w:tc>
          <w:tcPr>
            <w:tcW w:type="dxa" w:w="187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D22"/>
                <w:sz w:val="17"/>
              </w:rPr>
              <w:t>2. Советчик диспетчера</w:t>
            </w:r>
          </w:p>
        </w:tc>
        <w:tc>
          <w:tcPr>
            <w:tcW w:type="dxa" w:w="129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3–6 месяцев</w:t>
            </w:r>
          </w:p>
        </w:tc>
        <w:tc>
          <w:tcPr>
            <w:tcW w:type="dxa" w:w="3456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рекомендательная карточка на рабочем месте ОДС, решение остаётся за диспетчером</w:t>
            </w:r>
          </w:p>
        </w:tc>
        <w:tc>
          <w:tcPr>
            <w:tcW w:type="dxa" w:w="2592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D22"/>
                <w:sz w:val="17"/>
              </w:rPr>
              <w:t>снижение доли ложных выездов (кластерная оценка, методика — docs/DATA_REQUEST_AND_PILOT_METHODOLOGY.md)</w:t>
            </w:r>
          </w:p>
        </w:tc>
      </w:tr>
    </w:tbl>
    <w:p>
      <w:pPr>
        <w:spacing w:after="40"/>
      </w:pPr>
    </w:p>
    <w:p>
      <w:pPr>
        <w:spacing w:after="120" w:line="276" w:lineRule="auto"/>
        <w:jc w:val="left"/>
      </w:pPr>
      <w:r>
        <w:rPr>
          <w:rFonts w:ascii="Arial" w:hAnsi="Arial"/>
          <w:b w:val="0"/>
          <w:i w:val="0"/>
          <w:color w:val="1C1D22"/>
          <w:sz w:val="20"/>
        </w:rPr>
        <w:t>Требуемые от заказчика данные (журнал ОДС, акты ТОИР, тарифы, паспорта каналов) перечислены в той же методике, раздел 2.</w:t>
      </w:r>
    </w:p>
    <w:sectPr w:rsidR="00FC693F" w:rsidRPr="0006063C" w:rsidSect="00034616"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