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香港瑞升（越南）纺织品有限公司</w:t>
        <w:br/>
        <w:t>来 样 分 析 登 记 表</w:t>
      </w:r>
    </w:p>
    <w:p>
      <w:pPr>
        <w:ind w:right="400"/>
        <w:jc w:val="right"/>
      </w:pPr>
      <w:r>
        <w:rPr>
          <w:b/>
          <w:sz w:val="20"/>
        </w:rPr>
        <w:t xml:space="preserve">登记号：s s sa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06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客户名称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订单号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面料名称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颜色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要求克重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实际克重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123123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要求成分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实测成分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织造设备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机号（GN）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特殊加工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门幅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213213</w:t>
            </w:r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纱支分析</w:t>
            </w:r>
          </w:p>
        </w:tc>
        <w:tc>
          <w:tcPr>
            <w:tcW w:type="dxa" w:w="7560"/>
            <w:gridSpan w:val="14"/>
            <w:vMerge w:val="restart"/>
            <w:vAlign w:val="center"/>
          </w:tcPr>
          <w:p>
            <w:pPr>
              <w:jc w:val="center"/>
            </w:pPr>
            <w:r>
              <w:t>213123</w:t>
            </w:r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7560"/>
            <w:gridSpan w:val="14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纱长50C</w:t>
            </w:r>
          </w:p>
        </w:tc>
        <w:tc>
          <w:tcPr>
            <w:tcW w:type="dxa" w:w="7560"/>
            <w:gridSpan w:val="14"/>
            <w:vMerge w:val="restart"/>
            <w:vAlign w:val="center"/>
          </w:tcPr>
          <w:p>
            <w:pPr>
              <w:jc w:val="center"/>
            </w:pPr>
            <w:r>
              <w:t>123213</w:t>
            </w:r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7560"/>
            <w:gridSpan w:val="14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纱比%</w:t>
            </w:r>
          </w:p>
        </w:tc>
        <w:tc>
          <w:tcPr>
            <w:tcW w:type="dxa" w:w="7560"/>
            <w:gridSpan w:val="14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7560"/>
            <w:gridSpan w:val="14"/>
            <w:vMerge/>
          </w:tcPr>
          <w:p/>
        </w:tc>
      </w:tr>
      <w:tr>
        <w:tc>
          <w:tcPr>
            <w:tcW w:type="dxa" w:w="8640"/>
            <w:gridSpan w:val="16"/>
            <w:vMerge w:val="restart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