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Spec</w:t>
      </w:r>
    </w:p>
    <w:p>
      <w:pPr>
        <w:pStyle w:val="Heading1"/>
      </w:pPr>
      <w:r>
        <w:t>Goals</w:t>
      </w:r>
    </w:p>
    <w:p>
      <w:r>
        <w:t>Convert common office and web formats to Markdown without calling an LLM.</w:t>
      </w:r>
    </w:p>
    <w:p>
      <w:pPr>
        <w:pStyle w:val="Heading2"/>
      </w:pPr>
      <w:r>
        <w:t>Formats</w:t>
      </w:r>
    </w:p>
    <w:p>
      <w:pPr>
        <w:pStyle w:val="ListBullet"/>
      </w:pPr>
      <w:r>
        <w:t>docx, pptx, xlsx, html, pdf, epub, csv, json, xml</w:t>
      </w:r>
    </w:p>
    <w:p>
      <w:pPr>
        <w:pStyle w:val="ListBullet"/>
      </w:pPr>
      <w:r>
        <w:t>Keep assets external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Priority</w:t>
            </w:r>
          </w:p>
        </w:tc>
      </w:tr>
      <w:tr>
        <w:tc>
          <w:tcPr>
            <w:tcW w:type="dxa" w:w="4320"/>
          </w:tcPr>
          <w:p>
            <w:r>
              <w:t>docx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scanned pdf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</w:tbl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