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</w:pPr>
      <w:bookmarkStart w:id="0" w:name="_____"/>
      <w:bookmarkEnd w:id="0"/>
      <w:r>
        <w:rPr>
          <w:rFonts w:hint="eastAsia"/>
        </w:rPr>
        <w:t>CADD408</w:t>
      </w:r>
    </w:p>
    <w:p>
      <w:pPr>
        <w:pStyle w:val="18"/>
        <w:rPr>
          <w:rFonts w:hint="eastAsia" w:eastAsia="黑体"/>
          <w:lang w:val="en-US" w:eastAsia="zh-CN"/>
        </w:rPr>
      </w:pPr>
      <w:r>
        <w:rPr>
          <w:rFonts w:hint="eastAsia"/>
        </w:rPr>
        <w:t>数据</w:t>
      </w:r>
      <w:r>
        <w:rPr>
          <w:rFonts w:hint="eastAsia"/>
          <w:lang w:val="en-US" w:eastAsia="zh-CN"/>
        </w:rPr>
        <w:t>清洗</w:t>
      </w: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</w:pPr>
      <w:r>
        <w:fldChar w:fldCharType="begin"/>
      </w:r>
      <w:r>
        <w:instrText xml:space="preserve"> TIME \@ "yyyy'</w:instrText>
      </w:r>
      <w:r>
        <w:rPr>
          <w:rFonts w:hint="eastAsia"/>
        </w:rPr>
        <w:instrText xml:space="preserve">年</w:instrText>
      </w:r>
      <w:r>
        <w:instrText xml:space="preserve">'M'</w:instrText>
      </w:r>
      <w:r>
        <w:rPr>
          <w:rFonts w:hint="eastAsia"/>
        </w:rPr>
        <w:instrText xml:space="preserve">月</w:instrText>
      </w:r>
      <w:r>
        <w:instrText xml:space="preserve">'d'</w:instrText>
      </w:r>
      <w:r>
        <w:rPr>
          <w:rFonts w:hint="eastAsia"/>
        </w:rPr>
        <w:instrText xml:space="preserve">日</w:instrText>
      </w:r>
      <w:r>
        <w:instrText xml:space="preserve">'" </w:instrText>
      </w:r>
      <w:r>
        <w:fldChar w:fldCharType="separate"/>
      </w:r>
      <w:r>
        <w:t>2023年4月13日</w:t>
      </w:r>
      <w:r>
        <w:fldChar w:fldCharType="end"/>
      </w:r>
    </w:p>
    <w:p>
      <w:pPr>
        <w:spacing w:after="156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0"/>
        <w:spacing w:after="156"/>
      </w:pPr>
      <w:r>
        <w:rPr>
          <w:rFonts w:hint="eastAsia"/>
        </w:rPr>
        <w:t>文档属性</w:t>
      </w:r>
    </w:p>
    <w:tbl>
      <w:tblPr>
        <w:tblStyle w:val="11"/>
        <w:tblW w:w="8388" w:type="dxa"/>
        <w:tblInd w:w="0" w:type="dxa"/>
        <w:tblBorders>
          <w:top w:val="single" w:color="008000" w:sz="12" w:space="0"/>
          <w:left w:val="single" w:color="008000" w:sz="12" w:space="0"/>
          <w:bottom w:val="single" w:color="008000" w:sz="12" w:space="0"/>
          <w:right w:val="single" w:color="008000" w:sz="12" w:space="0"/>
          <w:insideH w:val="single" w:color="008000" w:sz="2" w:space="0"/>
          <w:insideV w:val="single" w:color="008000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5940"/>
      </w:tblGrid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bottom w:val="single" w:color="008000" w:sz="6" w:space="0"/>
            </w:tcBorders>
            <w:shd w:val="clear" w:color="auto" w:fill="E6E6E6"/>
          </w:tcPr>
          <w:p>
            <w:pPr>
              <w:pStyle w:val="21"/>
            </w:pPr>
            <w:r>
              <w:rPr>
                <w:rFonts w:hint="eastAsia"/>
              </w:rPr>
              <w:t>属性</w:t>
            </w:r>
          </w:p>
        </w:tc>
        <w:tc>
          <w:tcPr>
            <w:tcW w:w="5940" w:type="dxa"/>
            <w:tcBorders>
              <w:bottom w:val="single" w:color="008000" w:sz="6" w:space="0"/>
            </w:tcBorders>
            <w:shd w:val="clear" w:color="auto" w:fill="E6E6E6"/>
          </w:tcPr>
          <w:p>
            <w:pPr>
              <w:pStyle w:val="21"/>
            </w:pPr>
            <w:r>
              <w:rPr>
                <w:rFonts w:hint="eastAsia"/>
              </w:rPr>
              <w:t>内容</w:t>
            </w: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文档主题</w:t>
            </w:r>
          </w:p>
        </w:tc>
        <w:tc>
          <w:tcPr>
            <w:tcW w:w="5940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数据查询简介</w:t>
            </w: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文档副标题</w:t>
            </w:r>
          </w:p>
        </w:tc>
        <w:tc>
          <w:tcPr>
            <w:tcW w:w="5940" w:type="dxa"/>
            <w:shd w:val="clear" w:color="auto" w:fill="auto"/>
          </w:tcPr>
          <w:p>
            <w:pPr>
              <w:pStyle w:val="22"/>
            </w:pP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5940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0.4</w:t>
            </w: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文档日期</w:t>
            </w:r>
          </w:p>
        </w:tc>
        <w:tc>
          <w:tcPr>
            <w:tcW w:w="5940" w:type="dxa"/>
            <w:shd w:val="clear" w:color="auto" w:fill="auto"/>
          </w:tcPr>
          <w:p>
            <w:pPr>
              <w:pStyle w:val="22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  <w:lang w:val="en-US" w:eastAsia="zh-CN"/>
              </w:rPr>
              <w:t>3</w:t>
            </w:r>
            <w:r>
              <w:t>.</w:t>
            </w:r>
            <w:r>
              <w:rPr>
                <w:rFonts w:hint="eastAsia"/>
                <w:lang w:val="en-US" w:eastAsia="zh-CN"/>
              </w:rPr>
              <w:t>04</w:t>
            </w:r>
            <w:r>
              <w:t>.</w:t>
            </w:r>
            <w:r>
              <w:rPr>
                <w:rFonts w:hint="eastAsia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文档状态</w:t>
            </w:r>
          </w:p>
        </w:tc>
        <w:tc>
          <w:tcPr>
            <w:tcW w:w="5940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草案</w:t>
            </w: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作者</w:t>
            </w:r>
          </w:p>
        </w:tc>
        <w:tc>
          <w:tcPr>
            <w:tcW w:w="5940" w:type="dxa"/>
            <w:shd w:val="clear" w:color="auto" w:fill="auto"/>
          </w:tcPr>
          <w:p>
            <w:pPr>
              <w:pStyle w:val="22"/>
            </w:pPr>
            <w:r>
              <w:rPr>
                <w:rFonts w:hint="eastAsia"/>
              </w:rPr>
              <w:t>李果</w:t>
            </w:r>
          </w:p>
        </w:tc>
      </w:tr>
    </w:tbl>
    <w:p>
      <w:pPr>
        <w:pStyle w:val="7"/>
        <w:spacing w:after="156"/>
        <w:ind w:firstLine="480"/>
      </w:pPr>
    </w:p>
    <w:p>
      <w:pPr>
        <w:pStyle w:val="20"/>
        <w:spacing w:after="156"/>
      </w:pPr>
      <w:r>
        <w:rPr>
          <w:rFonts w:hint="eastAsia"/>
        </w:rPr>
        <w:t>文档变更</w:t>
      </w:r>
    </w:p>
    <w:tbl>
      <w:tblPr>
        <w:tblStyle w:val="11"/>
        <w:tblW w:w="8388" w:type="dxa"/>
        <w:tblInd w:w="0" w:type="dxa"/>
        <w:tblBorders>
          <w:top w:val="single" w:color="008000" w:sz="12" w:space="0"/>
          <w:left w:val="single" w:color="008000" w:sz="12" w:space="0"/>
          <w:bottom w:val="single" w:color="008000" w:sz="12" w:space="0"/>
          <w:right w:val="single" w:color="008000" w:sz="12" w:space="0"/>
          <w:insideH w:val="single" w:color="008000" w:sz="2" w:space="0"/>
          <w:insideV w:val="single" w:color="008000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01"/>
        <w:gridCol w:w="1080"/>
        <w:gridCol w:w="4860"/>
      </w:tblGrid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dxa"/>
            <w:tcBorders>
              <w:bottom w:val="single" w:color="008000" w:sz="6" w:space="0"/>
            </w:tcBorders>
            <w:shd w:val="clear" w:color="auto" w:fill="E6E6E6"/>
          </w:tcPr>
          <w:p>
            <w:pPr>
              <w:pStyle w:val="21"/>
            </w:pPr>
            <w:r>
              <w:rPr>
                <w:rFonts w:hint="eastAsia"/>
              </w:rPr>
              <w:t>版本</w:t>
            </w:r>
          </w:p>
        </w:tc>
        <w:tc>
          <w:tcPr>
            <w:tcW w:w="1301" w:type="dxa"/>
            <w:tcBorders>
              <w:bottom w:val="single" w:color="008000" w:sz="6" w:space="0"/>
            </w:tcBorders>
            <w:shd w:val="clear" w:color="auto" w:fill="E6E6E6"/>
          </w:tcPr>
          <w:p>
            <w:pPr>
              <w:pStyle w:val="21"/>
            </w:pPr>
            <w:r>
              <w:rPr>
                <w:rFonts w:hint="eastAsia"/>
              </w:rPr>
              <w:t>修订日期</w:t>
            </w:r>
          </w:p>
        </w:tc>
        <w:tc>
          <w:tcPr>
            <w:tcW w:w="1080" w:type="dxa"/>
            <w:tcBorders>
              <w:bottom w:val="single" w:color="008000" w:sz="6" w:space="0"/>
            </w:tcBorders>
            <w:shd w:val="clear" w:color="auto" w:fill="E6E6E6"/>
          </w:tcPr>
          <w:p>
            <w:pPr>
              <w:pStyle w:val="21"/>
            </w:pPr>
            <w:r>
              <w:rPr>
                <w:rFonts w:hint="eastAsia"/>
              </w:rPr>
              <w:t>修订人</w:t>
            </w:r>
          </w:p>
        </w:tc>
        <w:tc>
          <w:tcPr>
            <w:tcW w:w="4860" w:type="dxa"/>
            <w:tcBorders>
              <w:bottom w:val="single" w:color="008000" w:sz="6" w:space="0"/>
            </w:tcBorders>
            <w:shd w:val="clear" w:color="auto" w:fill="E6E6E6"/>
          </w:tcPr>
          <w:p>
            <w:pPr>
              <w:pStyle w:val="21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dxa"/>
            <w:shd w:val="clear" w:color="auto" w:fill="auto"/>
          </w:tcPr>
          <w:p>
            <w:pPr>
              <w:pStyle w:val="22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301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1080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4860" w:type="dxa"/>
            <w:shd w:val="clear" w:color="auto" w:fill="auto"/>
          </w:tcPr>
          <w:p>
            <w:pPr>
              <w:pStyle w:val="22"/>
            </w:pP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1301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1080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4860" w:type="dxa"/>
            <w:shd w:val="clear" w:color="auto" w:fill="auto"/>
          </w:tcPr>
          <w:p>
            <w:pPr>
              <w:pStyle w:val="22"/>
            </w:pP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1301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1080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4860" w:type="dxa"/>
            <w:shd w:val="clear" w:color="auto" w:fill="auto"/>
          </w:tcPr>
          <w:p>
            <w:pPr>
              <w:pStyle w:val="22"/>
            </w:pPr>
          </w:p>
        </w:tc>
      </w:tr>
      <w:tr>
        <w:tblPrEx>
          <w:tblBorders>
            <w:top w:val="single" w:color="008000" w:sz="12" w:space="0"/>
            <w:left w:val="single" w:color="008000" w:sz="12" w:space="0"/>
            <w:bottom w:val="single" w:color="008000" w:sz="12" w:space="0"/>
            <w:right w:val="single" w:color="008000" w:sz="12" w:space="0"/>
            <w:insideH w:val="single" w:color="008000" w:sz="2" w:space="0"/>
            <w:insideV w:val="single" w:color="008000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1301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1080" w:type="dxa"/>
            <w:shd w:val="clear" w:color="auto" w:fill="auto"/>
          </w:tcPr>
          <w:p>
            <w:pPr>
              <w:pStyle w:val="22"/>
            </w:pPr>
          </w:p>
        </w:tc>
        <w:tc>
          <w:tcPr>
            <w:tcW w:w="4860" w:type="dxa"/>
            <w:shd w:val="clear" w:color="auto" w:fill="auto"/>
          </w:tcPr>
          <w:p>
            <w:pPr>
              <w:pStyle w:val="22"/>
            </w:pPr>
          </w:p>
        </w:tc>
      </w:tr>
    </w:tbl>
    <w:p>
      <w:pPr>
        <w:pStyle w:val="7"/>
        <w:spacing w:after="156"/>
        <w:ind w:firstLine="480"/>
      </w:pPr>
    </w:p>
    <w:p>
      <w:r>
        <w:br w:type="page"/>
      </w:r>
    </w:p>
    <w:p>
      <w:pPr>
        <w:rPr>
          <w:rFonts w:hint="eastAsia"/>
        </w:rPr>
      </w:pPr>
      <w:r>
        <w:rPr>
          <w:rFonts w:hint="eastAsia"/>
        </w:rPr>
        <w:t>1.数据查询简介0.5.docx 收集数据</w:t>
      </w:r>
    </w:p>
    <w:p>
      <w:pPr>
        <w:rPr>
          <w:rFonts w:hint="eastAsia"/>
        </w:rPr>
      </w:pPr>
      <w:r>
        <w:rPr>
          <w:rFonts w:hint="eastAsia"/>
        </w:rPr>
        <w:t>2.使用方方格子合并处理数据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赵云阳买过正版，盗版比较好用，不过现在已经不支持扩展包，可以安装好了去实验室电脑里找，安装了扩展包的，复制粘贴即可本体够用。</w:t>
      </w:r>
    </w:p>
    <w:p>
      <w:r>
        <w:drawing>
          <wp:inline distT="0" distB="0" distL="114300" distR="114300">
            <wp:extent cx="2857500" cy="3810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红色部分为扩展包</w:t>
      </w:r>
    </w:p>
    <w:p>
      <w:pPr>
        <w:rPr>
          <w:rFonts w:hint="eastAsia"/>
        </w:rPr>
      </w:pPr>
      <w:r>
        <w:rPr>
          <w:rFonts w:hint="eastAsia"/>
        </w:rPr>
        <w:t>3.使用wash_toYang进行数据清洗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具体使用自己调试，代码为殷红岩师姐所写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包括标准化，去离子什么的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关于代码环境配置问题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可见00Python安装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已经配置好的环境可用CADD教学论文配置的环境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"https://projects.volkamerlab.org/teachopencadd/all_talktorials.html"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https://projects.volkamerlab.org/teachopencadd/all_talktorials.html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关于编码问题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大多数电脑是utf-8，但也有其它编码，比如我的是国标，因此代码会有encoding="gbk"，这与你的系统有关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lang w:val="en-US"/>
        </w:rPr>
        <w:t>抑制剂数据库的清洗</w:t>
      </w:r>
    </w:p>
    <w:p>
      <w:pPr>
        <w:ind w:firstLine="480"/>
        <w:rPr>
          <w:lang w:val="en-US"/>
        </w:rPr>
      </w:pPr>
      <w:r>
        <w:rPr>
          <w:rFonts w:hint="eastAsia"/>
          <w:lang w:val="en-US"/>
        </w:rPr>
        <w:t>统一数据库中使用的单位为 nM，将 SMILES 结构式标准化，去除含水含溶剂分子中的水或溶剂，并删除重复的抑制剂，返回原始文献调整该操作中报错的分子，删除了分子量 900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以上的分子，原因是这些大分子配体为由长链连接的孪生分子，其大概率发生折叠进入口袋与受体发生完全不一样的结合，清洗含有盐离子或溶剂的化合物。由于数据库中存在区间数据（</w:t>
      </w:r>
      <w:r>
        <w:rPr>
          <w:lang w:val="en-US"/>
        </w:rPr>
        <w:t>interval data</w:t>
      </w:r>
      <w:r>
        <w:rPr>
          <w:rFonts w:hint="eastAsia"/>
          <w:lang w:val="en-US"/>
        </w:rPr>
        <w:t>），即在文献中没有给出具体的值，只知道变量的取值范围而不知道确切的取值。核对全部数据，如一化合物同时存在区间数据与精确数据，则删除区间数据，对于其它相同结构式不同活性的化合物，如其重复次数超过 3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次的化合物则取活性值的中位数，对于重复次数小于 3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次的化合物取活性值的最小值。</w:t>
      </w:r>
      <w:r>
        <w:rPr>
          <w:lang w:val="en-US"/>
        </w:rPr>
        <w:t>IC</w:t>
      </w:r>
      <w:r>
        <w:rPr>
          <w:vertAlign w:val="subscript"/>
          <w:lang w:val="en-US"/>
        </w:rPr>
        <w:t>50</w:t>
      </w:r>
      <w:r>
        <w:rPr>
          <w:rFonts w:hint="eastAsia"/>
          <w:lang w:val="en-US"/>
        </w:rPr>
        <w:t>值的大小从 0.00026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nM 到68000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nM，横跨 8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个数量级，如图 2</w:t>
      </w:r>
      <w:r>
        <w:rPr>
          <w:lang w:val="en-US"/>
        </w:rPr>
        <w:t>-2</w:t>
      </w:r>
      <w:r>
        <w:rPr>
          <w:rFonts w:hint="eastAsia"/>
          <w:lang w:val="en-US"/>
        </w:rPr>
        <w:t>，同时计算化合物的多项理化性质，诸如分子量、脂水分配系数、重原子数、氢键供体数、氢键受体数等，记录边界点的化合物，保证其在之后的训练集中。</w:t>
      </w:r>
    </w:p>
    <w:p>
      <w:pPr>
        <w:ind w:firstLine="480"/>
        <w:rPr>
          <w:lang w:val="en-US"/>
        </w:rPr>
      </w:pPr>
    </w:p>
    <w:p>
      <w:pPr>
        <w:spacing w:line="240" w:lineRule="auto"/>
        <w:ind w:firstLine="0" w:firstLineChars="0"/>
        <w:rPr>
          <w:rFonts w:cs="Times New Roman"/>
          <w:kern w:val="2"/>
        </w:rPr>
      </w:pPr>
      <w:r>
        <w:rPr>
          <w:rFonts w:cs="Times New Roman"/>
          <w:kern w:val="2"/>
          <w:lang w:val="en-US" w:bidi="ar-SA"/>
        </w:rPr>
        <w:drawing>
          <wp:inline distT="0" distB="0" distL="0" distR="0">
            <wp:extent cx="5615940" cy="1791970"/>
            <wp:effectExtent l="0" t="0" r="762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7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jc w:val="center"/>
        <w:rPr>
          <w:rFonts w:hint="eastAsia" w:eastAsiaTheme="minorEastAsia"/>
          <w:sz w:val="21"/>
          <w:szCs w:val="21"/>
          <w:lang w:val="en-US" w:eastAsia="zh-CN" w:bidi="ar-SA"/>
        </w:rPr>
      </w:pPr>
      <w:r>
        <w:rPr>
          <w:rFonts w:hint="eastAsia"/>
          <w:sz w:val="21"/>
          <w:szCs w:val="21"/>
          <w:lang w:val="en-US"/>
        </w:rPr>
        <w:t>图 2-</w:t>
      </w:r>
      <w:r>
        <w:rPr>
          <w:sz w:val="21"/>
          <w:szCs w:val="21"/>
          <w:lang w:val="en-US"/>
        </w:rPr>
        <w:t xml:space="preserve">2 </w:t>
      </w:r>
      <w:r>
        <w:rPr>
          <w:rFonts w:hint="eastAsia"/>
          <w:sz w:val="21"/>
          <w:szCs w:val="21"/>
          <w:lang w:val="en-US" w:bidi="ar-SA"/>
        </w:rPr>
        <w:t>7446个 BTK 抑制剂 IC</w:t>
      </w:r>
      <w:r>
        <w:rPr>
          <w:rFonts w:hint="eastAsia"/>
          <w:sz w:val="21"/>
          <w:szCs w:val="21"/>
          <w:vertAlign w:val="subscript"/>
          <w:lang w:val="en-US" w:bidi="ar-SA"/>
        </w:rPr>
        <w:t>50</w:t>
      </w:r>
      <w:r>
        <w:rPr>
          <w:rFonts w:hint="eastAsia"/>
          <w:sz w:val="21"/>
          <w:szCs w:val="21"/>
          <w:lang w:val="en-US" w:bidi="ar-SA"/>
        </w:rPr>
        <w:t>值分布直方图</w:t>
      </w:r>
      <w:r>
        <w:rPr>
          <w:rFonts w:hint="eastAsia"/>
          <w:sz w:val="21"/>
          <w:szCs w:val="21"/>
          <w:lang w:val="en-US" w:eastAsia="zh-CN" w:bidi="ar-SA"/>
        </w:rPr>
        <w:t>（</w:t>
      </w:r>
      <w:r>
        <w:rPr>
          <w:rFonts w:hint="eastAsia"/>
          <w:sz w:val="21"/>
          <w:szCs w:val="21"/>
          <w:highlight w:val="yellow"/>
          <w:lang w:val="en-US" w:eastAsia="zh-CN" w:bidi="ar-SA"/>
        </w:rPr>
        <w:t>计算化学空间相似性.ipynb</w:t>
      </w:r>
      <w:r>
        <w:rPr>
          <w:rFonts w:hint="eastAsia"/>
          <w:sz w:val="21"/>
          <w:szCs w:val="21"/>
          <w:lang w:val="en-US" w:eastAsia="zh-CN" w:bidi="ar-SA"/>
        </w:rPr>
        <w:t>）</w:t>
      </w:r>
    </w:p>
    <w:p>
      <w:pPr>
        <w:spacing w:line="240" w:lineRule="auto"/>
        <w:ind w:firstLine="480"/>
        <w:jc w:val="center"/>
        <w:rPr>
          <w:rFonts w:cs="Times New Roman"/>
          <w:kern w:val="2"/>
        </w:rPr>
      </w:pPr>
      <w:r>
        <w:rPr>
          <w:rFonts w:cs="Times New Roman"/>
          <w:lang w:val="en-US" w:bidi="ar-SA"/>
        </w:rPr>
        <w:drawing>
          <wp:inline distT="0" distB="0" distL="0" distR="0">
            <wp:extent cx="2429510" cy="1965960"/>
            <wp:effectExtent l="0" t="0" r="889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/>
        </w:rPr>
        <w:t>图 2-</w:t>
      </w:r>
      <w:r>
        <w:rPr>
          <w:sz w:val="21"/>
          <w:szCs w:val="21"/>
          <w:lang w:val="en-US"/>
        </w:rPr>
        <w:t xml:space="preserve">3 </w:t>
      </w:r>
      <w:r>
        <w:rPr>
          <w:rFonts w:hint="eastAsia"/>
          <w:sz w:val="21"/>
          <w:szCs w:val="21"/>
          <w:lang w:val="en-US" w:bidi="ar-SA"/>
        </w:rPr>
        <w:t>数据库中的化合物基于1024位 ECFPs 的 Tanimoto相似性的化学多样性热图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rFonts w:hint="eastAsia"/>
          <w:sz w:val="21"/>
          <w:szCs w:val="21"/>
          <w:highlight w:val="yellow"/>
          <w:lang w:val="en-US" w:eastAsia="zh-CN"/>
        </w:rPr>
        <w:t>计算化学空间相似性.ipynb</w:t>
      </w:r>
      <w:r>
        <w:rPr>
          <w:rFonts w:hint="eastAsia"/>
          <w:sz w:val="21"/>
          <w:szCs w:val="21"/>
          <w:lang w:val="en-US" w:eastAsia="zh-CN"/>
        </w:rPr>
        <w:t>）</w:t>
      </w:r>
    </w:p>
    <w:p>
      <w:pPr>
        <w:spacing w:line="240" w:lineRule="auto"/>
        <w:ind w:firstLine="480"/>
        <w:jc w:val="center"/>
        <w:rPr>
          <w:rFonts w:cs="Times New Roman"/>
          <w:kern w:val="2"/>
        </w:rPr>
      </w:pPr>
      <w:r>
        <w:rPr>
          <w:rFonts w:cs="Times New Roman"/>
          <w:lang w:val="en-US" w:bidi="ar-SA"/>
        </w:rPr>
        <w:drawing>
          <wp:inline distT="0" distB="0" distL="0" distR="0">
            <wp:extent cx="2078990" cy="1376045"/>
            <wp:effectExtent l="0" t="0" r="8890" b="10795"/>
            <wp:docPr id="5" name="图片 6" descr="总数据_ECFP4_hist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总数据_ECFP4_hist_ou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lang w:val="en-US" w:bidi="ar-SA"/>
        </w:rPr>
        <w:drawing>
          <wp:inline distT="0" distB="0" distL="0" distR="0">
            <wp:extent cx="2040890" cy="1348740"/>
            <wp:effectExtent l="0" t="0" r="1270" b="7620"/>
            <wp:docPr id="19" name="图片 7" descr="不含子结构_ECFP4_hist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不含子结构_ECFP4_hist_ou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jc w:val="center"/>
        <w:rPr>
          <w:sz w:val="21"/>
          <w:szCs w:val="21"/>
          <w:lang w:val="en-US" w:bidi="ar-SA"/>
        </w:rPr>
      </w:pPr>
      <w:r>
        <w:rPr>
          <w:rFonts w:hint="eastAsia"/>
          <w:sz w:val="21"/>
          <w:szCs w:val="21"/>
          <w:lang w:val="en-US"/>
        </w:rPr>
        <w:t>图 2-</w:t>
      </w:r>
      <w:r>
        <w:rPr>
          <w:sz w:val="21"/>
          <w:szCs w:val="21"/>
          <w:lang w:val="en-US"/>
        </w:rPr>
        <w:t xml:space="preserve">4 </w:t>
      </w:r>
      <w:r>
        <w:rPr>
          <w:rFonts w:hint="eastAsia"/>
          <w:sz w:val="21"/>
          <w:szCs w:val="21"/>
          <w:lang w:val="en-US" w:bidi="ar-SA"/>
        </w:rPr>
        <w:t>基于1024位 ECFP 的</w:t>
      </w:r>
      <w:bookmarkStart w:id="1" w:name="OLE_LINK168"/>
      <w:bookmarkStart w:id="2" w:name="OLE_LINK167"/>
      <w:r>
        <w:rPr>
          <w:rFonts w:hint="eastAsia"/>
          <w:sz w:val="21"/>
          <w:szCs w:val="21"/>
          <w:lang w:val="en-US" w:bidi="ar-SA"/>
        </w:rPr>
        <w:t xml:space="preserve"> Tanimoto 系数频率分布直方图</w:t>
      </w:r>
      <w:bookmarkEnd w:id="1"/>
      <w:bookmarkEnd w:id="2"/>
    </w:p>
    <w:p>
      <w:pPr>
        <w:spacing w:line="240" w:lineRule="auto"/>
        <w:ind w:firstLine="0" w:firstLineChars="0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bidi="ar-SA"/>
        </w:rPr>
        <w:t>（a）原始数据集（b）不含子结构数据集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rFonts w:hint="eastAsia"/>
          <w:sz w:val="21"/>
          <w:szCs w:val="21"/>
          <w:highlight w:val="yellow"/>
          <w:lang w:val="en-US" w:eastAsia="zh-CN"/>
        </w:rPr>
        <w:t>计算化学空间相似性.ipynb</w:t>
      </w:r>
      <w:r>
        <w:rPr>
          <w:rFonts w:hint="eastAsia"/>
          <w:sz w:val="21"/>
          <w:szCs w:val="21"/>
          <w:lang w:val="en-US" w:eastAsia="zh-CN"/>
        </w:rPr>
        <w:t>）</w:t>
      </w:r>
    </w:p>
    <w:p>
      <w:pPr>
        <w:spacing w:line="240" w:lineRule="auto"/>
        <w:ind w:firstLine="0" w:firstLineChars="0"/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这三个图都用</w:t>
      </w:r>
      <w:r>
        <w:rPr>
          <w:rFonts w:hint="eastAsia"/>
          <w:sz w:val="21"/>
          <w:szCs w:val="21"/>
          <w:highlight w:val="yellow"/>
          <w:lang w:val="en-US" w:eastAsia="zh-CN"/>
        </w:rPr>
        <w:t>计算化学空间相似性.ipynb跑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我做的比较复杂，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不可忽视的步骤其实是：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首先跑wash_toYang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其次跑01去除手性、顺反02删除截断数据，这俩也可以不跑，看你自己的想法。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删除了分子量 900 以上的分子，原因是这些大分子配体为由长链连接的孪生分子，其大概率发生折叠进入口袋与受体发生完全不一样的结合</w:t>
      </w:r>
      <w:r>
        <w:rPr>
          <w:rFonts w:hint="eastAsia"/>
          <w:lang w:val="en-US" w:eastAsia="zh-CN"/>
        </w:rPr>
        <w:t>（这个操作可以自己定）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最后是算一个边界化合物</w:t>
      </w:r>
    </w:p>
    <w:p>
      <w:pPr>
        <w:rPr>
          <w:rFonts w:hint="eastAsia"/>
          <w:lang w:val="en-US" w:eastAsia="zh-CN"/>
        </w:rPr>
      </w:pPr>
    </w:p>
    <w:p>
      <w:pPr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/>
        </w:rPr>
        <w:t>从图 2-5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可以看出，训练集化合物所在的化学空间较好的覆盖了测试集的化合物。脂水分配系数与分子量</w:t>
      </w:r>
      <w:r>
        <w:rPr>
          <w:rFonts w:hint="eastAsia"/>
          <w:lang w:val="en-US" w:eastAsia="zh-CN"/>
        </w:rPr>
        <w:t>最大的要在训练集里，你可在这一步就把这些分子挑出来。</w:t>
      </w:r>
    </w:p>
    <w:p>
      <w:pPr>
        <w:ind w:firstLine="480"/>
        <w:rPr>
          <w:lang w:val="en-US"/>
        </w:rPr>
      </w:pPr>
    </w:p>
    <w:p>
      <w:pPr>
        <w:spacing w:line="240" w:lineRule="auto"/>
        <w:ind w:firstLine="480"/>
        <w:jc w:val="center"/>
        <w:rPr>
          <w:rFonts w:cs="Times New Roman"/>
          <w:kern w:val="2"/>
        </w:rPr>
      </w:pPr>
      <w:r>
        <w:rPr>
          <w:rFonts w:hint="eastAsia"/>
          <w:lang w:val="en-US" w:bidi="ar-SA"/>
        </w:rPr>
        <w:drawing>
          <wp:inline distT="0" distB="0" distL="0" distR="0">
            <wp:extent cx="4008120" cy="2508250"/>
            <wp:effectExtent l="0" t="0" r="0" b="635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769" cy="251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jc w:val="center"/>
        <w:rPr>
          <w:rFonts w:hint="eastAsia" w:eastAsiaTheme="minorEastAsia"/>
          <w:sz w:val="21"/>
          <w:szCs w:val="21"/>
          <w:lang w:val="en-US" w:eastAsia="zh-CN" w:bidi="ar-SA"/>
        </w:rPr>
      </w:pPr>
      <w:r>
        <w:rPr>
          <w:rFonts w:hint="eastAsia"/>
          <w:sz w:val="21"/>
          <w:szCs w:val="21"/>
          <w:lang w:val="en-US"/>
        </w:rPr>
        <w:t>图 2-</w:t>
      </w:r>
      <w:r>
        <w:rPr>
          <w:sz w:val="21"/>
          <w:szCs w:val="21"/>
          <w:lang w:val="en-US"/>
        </w:rPr>
        <w:t xml:space="preserve">5 </w:t>
      </w:r>
      <w:r>
        <w:rPr>
          <w:rFonts w:hint="eastAsia"/>
          <w:sz w:val="21"/>
          <w:szCs w:val="21"/>
          <w:lang w:val="en-US" w:bidi="ar-SA"/>
        </w:rPr>
        <w:t>训练集和测试集中化合物的分子量（Weight）和正辛醇/水分配系数（XlogP）散点图</w:t>
      </w:r>
      <w:r>
        <w:rPr>
          <w:rFonts w:hint="eastAsia"/>
          <w:sz w:val="21"/>
          <w:szCs w:val="21"/>
          <w:lang w:val="en-US" w:eastAsia="zh-CN" w:bidi="ar-SA"/>
        </w:rPr>
        <w:t>（</w:t>
      </w:r>
      <w:r>
        <w:rPr>
          <w:rFonts w:hint="eastAsia"/>
          <w:sz w:val="21"/>
          <w:szCs w:val="21"/>
          <w:highlight w:val="yellow"/>
          <w:lang w:val="en-US" w:eastAsia="zh-CN" w:bidi="ar-SA"/>
        </w:rPr>
        <w:t>训练集和测试集中化合物的分子量（Weight）和正辛醇水分配系数（XlogP）散点图.py</w:t>
      </w:r>
      <w:r>
        <w:rPr>
          <w:rFonts w:hint="eastAsia"/>
          <w:sz w:val="21"/>
          <w:szCs w:val="21"/>
          <w:lang w:val="en-US" w:eastAsia="zh-CN" w:bidi="ar-SA"/>
        </w:rPr>
        <w:t>）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7.子结构划分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这个可不跑，这个是我自己课题的东西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分箱 阈值讨论 跑03分箱.py即可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120"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793530"/>
    <w:multiLevelType w:val="singleLevel"/>
    <w:tmpl w:val="D2793530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2DCA326"/>
    <w:multiLevelType w:val="singleLevel"/>
    <w:tmpl w:val="02DCA326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A109BB"/>
    <w:rsid w:val="121E099A"/>
    <w:rsid w:val="296E3B89"/>
    <w:rsid w:val="2F922980"/>
    <w:rsid w:val="32731484"/>
    <w:rsid w:val="421E45BC"/>
    <w:rsid w:val="43D62959"/>
    <w:rsid w:val="494818EF"/>
    <w:rsid w:val="494E4915"/>
    <w:rsid w:val="51C42017"/>
    <w:rsid w:val="538A11CC"/>
    <w:rsid w:val="567E1686"/>
    <w:rsid w:val="5AE263BF"/>
    <w:rsid w:val="63D14E70"/>
    <w:rsid w:val="70AB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4"/>
      <w:szCs w:val="24"/>
      <w:lang w:val="en-US" w:eastAsia="zh-CN" w:bidi="ar-SA"/>
    </w:rPr>
  </w:style>
  <w:style w:type="paragraph" w:styleId="2">
    <w:name w:val="heading 1"/>
    <w:basedOn w:val="3"/>
    <w:next w:val="4"/>
    <w:link w:val="14"/>
    <w:qFormat/>
    <w:uiPriority w:val="0"/>
    <w:pPr>
      <w:keepNext/>
      <w:keepLines/>
      <w:spacing w:beforeLines="0" w:beforeAutospacing="0" w:after="200" w:afterLines="200" w:afterAutospacing="0" w:line="400" w:lineRule="exact"/>
      <w:ind w:firstLine="0" w:firstLineChars="0"/>
      <w:jc w:val="center"/>
      <w:outlineLvl w:val="0"/>
    </w:pPr>
    <w:rPr>
      <w:rFonts w:ascii="Arial" w:hAnsi="Arial" w:eastAsia="黑体"/>
      <w:b w:val="0"/>
      <w:kern w:val="44"/>
      <w:sz w:val="32"/>
    </w:rPr>
  </w:style>
  <w:style w:type="paragraph" w:styleId="5">
    <w:name w:val="heading 2"/>
    <w:basedOn w:val="2"/>
    <w:next w:val="1"/>
    <w:link w:val="15"/>
    <w:semiHidden/>
    <w:unhideWhenUsed/>
    <w:qFormat/>
    <w:uiPriority w:val="0"/>
    <w:pPr>
      <w:keepNext/>
      <w:keepLines/>
      <w:spacing w:beforeLines="0" w:beforeAutospacing="0" w:after="400" w:afterLines="0" w:afterAutospacing="0" w:line="400" w:lineRule="exact"/>
      <w:ind w:firstLine="0" w:firstLineChars="0"/>
      <w:jc w:val="left"/>
      <w:outlineLvl w:val="1"/>
    </w:pPr>
    <w:rPr>
      <w:rFonts w:ascii="Times New Roman" w:hAnsi="Times New Roman" w:eastAsia="黑体"/>
      <w:sz w:val="28"/>
    </w:rPr>
  </w:style>
  <w:style w:type="paragraph" w:styleId="6">
    <w:name w:val="heading 3"/>
    <w:basedOn w:val="1"/>
    <w:next w:val="1"/>
    <w:link w:val="16"/>
    <w:semiHidden/>
    <w:unhideWhenUsed/>
    <w:qFormat/>
    <w:uiPriority w:val="0"/>
    <w:pPr>
      <w:keepNext/>
      <w:keepLines/>
      <w:spacing w:beforeLines="0" w:beforeAutospacing="0" w:afterLines="0" w:afterAutospacing="0" w:line="400" w:lineRule="exact"/>
      <w:ind w:firstLine="0" w:firstLineChars="0"/>
      <w:jc w:val="left"/>
      <w:outlineLvl w:val="2"/>
    </w:pPr>
    <w:rPr>
      <w:rFonts w:eastAsia="黑体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Note Heading"/>
    <w:basedOn w:val="1"/>
    <w:next w:val="1"/>
    <w:uiPriority w:val="0"/>
    <w:pPr>
      <w:jc w:val="center"/>
    </w:pPr>
  </w:style>
  <w:style w:type="paragraph" w:styleId="7">
    <w:name w:val="Normal Indent"/>
    <w:basedOn w:val="1"/>
    <w:qFormat/>
    <w:uiPriority w:val="0"/>
    <w:pPr>
      <w:ind w:firstLine="420" w:firstLineChars="200"/>
    </w:pPr>
  </w:style>
  <w:style w:type="paragraph" w:styleId="8">
    <w:name w:val="Body Text"/>
    <w:basedOn w:val="1"/>
    <w:qFormat/>
    <w:uiPriority w:val="1"/>
    <w:pPr>
      <w:spacing w:line="240" w:lineRule="auto"/>
      <w:ind w:firstLine="0" w:firstLineChars="0"/>
      <w:jc w:val="center"/>
    </w:pPr>
  </w:style>
  <w:style w:type="paragraph" w:styleId="9">
    <w:name w:val="footer"/>
    <w:basedOn w:val="1"/>
    <w:qFormat/>
    <w:uiPriority w:val="0"/>
    <w:pPr>
      <w:pBdr>
        <w:top w:val="single" w:color="auto" w:sz="4" w:space="1"/>
      </w:pBdr>
      <w:tabs>
        <w:tab w:val="center" w:pos="4153"/>
        <w:tab w:val="right" w:pos="8306"/>
      </w:tabs>
      <w:snapToGrid w:val="0"/>
      <w:spacing w:before="50" w:beforeLines="50"/>
      <w:jc w:val="center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  <w:textAlignment w:val="center"/>
    </w:pPr>
    <w:rPr>
      <w:sz w:val="18"/>
      <w:szCs w:val="18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character" w:customStyle="1" w:styleId="14">
    <w:name w:val="标题 1 Char"/>
    <w:link w:val="2"/>
    <w:qFormat/>
    <w:uiPriority w:val="0"/>
    <w:rPr>
      <w:rFonts w:ascii="Arial" w:hAnsi="Arial" w:eastAsia="黑体"/>
      <w:kern w:val="44"/>
      <w:sz w:val="32"/>
    </w:rPr>
  </w:style>
  <w:style w:type="character" w:customStyle="1" w:styleId="15">
    <w:name w:val="标题 2 Char"/>
    <w:link w:val="5"/>
    <w:qFormat/>
    <w:uiPriority w:val="0"/>
    <w:rPr>
      <w:rFonts w:ascii="Times New Roman" w:hAnsi="Times New Roman" w:eastAsia="黑体"/>
      <w:b/>
      <w:sz w:val="28"/>
    </w:rPr>
  </w:style>
  <w:style w:type="character" w:customStyle="1" w:styleId="16">
    <w:name w:val="标题 3 Char"/>
    <w:link w:val="6"/>
    <w:qFormat/>
    <w:uiPriority w:val="0"/>
    <w:rPr>
      <w:rFonts w:ascii="Times New Roman" w:hAnsi="Times New Roman" w:eastAsia="黑体"/>
      <w:sz w:val="24"/>
    </w:rPr>
  </w:style>
  <w:style w:type="paragraph" w:customStyle="1" w:styleId="17">
    <w:name w:val="封面副题"/>
    <w:basedOn w:val="18"/>
    <w:next w:val="18"/>
    <w:qFormat/>
    <w:uiPriority w:val="0"/>
    <w:pPr>
      <w:shd w:val="clear" w:color="auto" w:fill="auto"/>
      <w:spacing w:before="2000" w:after="600"/>
    </w:pPr>
    <w:rPr>
      <w:sz w:val="32"/>
    </w:rPr>
  </w:style>
  <w:style w:type="paragraph" w:customStyle="1" w:styleId="18">
    <w:name w:val="封面标题"/>
    <w:basedOn w:val="1"/>
    <w:next w:val="19"/>
    <w:qFormat/>
    <w:uiPriority w:val="0"/>
    <w:pPr>
      <w:shd w:val="pct10" w:color="auto" w:fill="auto"/>
      <w:spacing w:after="6000"/>
      <w:jc w:val="center"/>
    </w:pPr>
    <w:rPr>
      <w:rFonts w:ascii="Arial" w:hAnsi="Arial" w:eastAsia="黑体"/>
      <w:b/>
      <w:sz w:val="52"/>
    </w:rPr>
  </w:style>
  <w:style w:type="paragraph" w:customStyle="1" w:styleId="19">
    <w:name w:val="封面落款"/>
    <w:basedOn w:val="18"/>
    <w:qFormat/>
    <w:uiPriority w:val="0"/>
    <w:pPr>
      <w:shd w:val="clear" w:color="auto" w:fill="auto"/>
      <w:spacing w:after="0"/>
    </w:pPr>
    <w:rPr>
      <w:b w:val="0"/>
      <w:sz w:val="32"/>
    </w:rPr>
  </w:style>
  <w:style w:type="paragraph" w:customStyle="1" w:styleId="20">
    <w:name w:val="目录"/>
    <w:basedOn w:val="1"/>
    <w:next w:val="7"/>
    <w:qFormat/>
    <w:uiPriority w:val="0"/>
    <w:pPr>
      <w:jc w:val="center"/>
    </w:pPr>
    <w:rPr>
      <w:rFonts w:ascii="Arial" w:hAnsi="Arial" w:eastAsia="黑体"/>
      <w:b/>
      <w:sz w:val="32"/>
    </w:rPr>
  </w:style>
  <w:style w:type="paragraph" w:customStyle="1" w:styleId="21">
    <w:name w:val="表格首行"/>
    <w:basedOn w:val="1"/>
    <w:qFormat/>
    <w:uiPriority w:val="0"/>
    <w:pPr>
      <w:jc w:val="center"/>
    </w:pPr>
    <w:rPr>
      <w:rFonts w:ascii="宋体" w:hAnsi="宋体"/>
    </w:rPr>
  </w:style>
  <w:style w:type="paragraph" w:customStyle="1" w:styleId="22">
    <w:name w:val="表格正文"/>
    <w:basedOn w:val="1"/>
    <w:qFormat/>
    <w:uiPriority w:val="0"/>
    <w:pPr>
      <w:snapToGrid w:val="0"/>
      <w:spacing w:line="30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Office_11.8.6.9023_F1E327BC-269C-435d-A152-05C5408002CA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2021-09-28T06:39:00Z</dcterms:created>
  <dc:creator>79864</dc:creator>
  <cp:lastModifiedBy>79864</cp:lastModifiedBy>
  <dcterms:modified xsi:type="dcterms:W3CDTF">2023-04-13T02:59:26Z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2052-11.8.6.9023</vt:lpwstr>
  </property>
</Properties>
</file>