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4DFF8A2A" ns2:textId="77777777" w:rsidR="003D12FC" w:rsidRPr="008D2BD9" w:rsidRDefault="003D12FC">
      <w:pPr>
        <w:spacing w:after="216" w:line="240" w:lineRule="auto"/>
        <w:jc w:val="right"/>
        <w:rPr>
          <w:rFonts w:ascii="Aptos" w:hAnsi="Aptos"/>
        </w:rPr>
      </w:pPr>
    </w:p>
    <w:p ns2:paraId="5F644E37" ns2:textId="77777777" w:rsidR="003D12FC" w:rsidRPr="008D2BD9" w:rsidRDefault="0018387B">
      <w:pPr>
        <w:pStyle w:val="Title"/>
        <w:rPr>
          <w:rFonts w:ascii="Aptos" w:hAnsi="Aptos"/>
        </w:rPr>
      </w:pPr>
      <w:r w:rsidRPr="008D2BD9">
        <w:rPr>
          <w:rFonts w:ascii="Aptos" w:hAnsi="Aptos"/>
        </w:rPr>
        <w:t>ISMS Performance Report</w:t>
      </w:r>
    </w:p>
    <w:p ns2:paraId="26196F78" ns2:textId="77777777" w:rsidR="003D12FC" w:rsidRPr="008D2BD9" w:rsidRDefault="003D12FC">
      <w:pPr>
        <w:jc w:val="both"/>
        <w:rPr>
          <w:rFonts w:ascii="Aptos" w:hAnsi="Aptos"/>
        </w:rPr>
      </w:pPr>
    </w:p>
    <w:p ns2:paraId="38D6201E" ns2:textId="77777777" w:rsidR="003D12FC" w:rsidRPr="008D2BD9" w:rsidRDefault="0018387B">
      <w:pPr>
        <w:rPr>
          <w:rFonts w:ascii="Aptos" w:hAnsi="Aptos"/>
          <w:b/>
          <w:sz w:val="24"/>
          <w:szCs w:val="24"/>
        </w:rPr>
      </w:pPr>
      <w:r w:rsidRPr="008D2BD9">
        <w:rPr>
          <w:rFonts w:ascii="Aptos" w:hAnsi="Aptos"/>
          <w:sz w:val="28"/>
          <w:szCs w:val="28"/>
        </w:rPr>
        <w:t>Classification</w:t>
      </w:r>
      <w:r w:rsidRPr="008D2BD9">
        <w:rPr>
          <w:rFonts w:ascii="Aptos" w:hAnsi="Aptos"/>
          <w:color w:val="008CC8"/>
          <w:sz w:val="28"/>
          <w:szCs w:val="28"/>
        </w:rPr>
        <w:t>:</w:t>
      </w:r>
      <w:r w:rsidRPr="008D2BD9">
        <w:rPr>
          <w:rFonts w:ascii="Aptos" w:hAnsi="Aptos"/>
        </w:rPr>
        <w:t xml:space="preserve"> </w:t>
      </w:r>
      <w:r w:rsidRPr="008D2BD9">
        <w:rPr>
          <w:rFonts w:ascii="Aptos" w:hAnsi="Aptos"/>
          <w:b/>
          <w:sz w:val="24"/>
          <w:szCs w:val="24"/>
        </w:rPr>
        <w:t>Internal</w:t>
      </w:r>
    </w:p>
    <w:p ns2:paraId="171D552A" ns2:textId="77777777" w:rsidR="003D12FC" w:rsidRPr="008D2BD9" w:rsidRDefault="0018387B">
      <w:pPr>
        <w:jc w:val="both"/>
        <w:rPr>
          <w:rFonts w:ascii="Aptos" w:hAnsi="Aptos"/>
        </w:rPr>
      </w:pPr>
      <w:r w:rsidRPr="008D2BD9">
        <w:rPr>
          <w:rFonts w:ascii="Aptos" w:hAnsi="Aptos"/>
        </w:rPr>
        <w:t>This document may be shared with interested parties outside of Digital Horizons Bank.</w:t>
      </w:r>
    </w:p>
    <w:p ns2:paraId="5B58F742" ns2:textId="77777777" w:rsidR="003D12FC" w:rsidRPr="008D2BD9" w:rsidRDefault="003D12FC">
      <w:pPr>
        <w:jc w:val="both"/>
        <w:rPr>
          <w:rFonts w:ascii="Aptos" w:hAnsi="Aptos"/>
        </w:rPr>
      </w:pPr>
    </w:p>
    <w:tbl>
      <w:tblPr>
        <w:tblStyle w:val="GridTable5Dark-Accent1"/>
        <w:tblW w:w="14700" w:type="dxa"/>
        <w:tblLayout w:type="fixed"/>
        <w:tblLook w:val="0620" w:firstRow="1" w:lastRow="0" w:firstColumn="0" w:lastColumn="0" w:noHBand="1" w:noVBand="1"/>
      </w:tblPr>
      <w:tblGrid>
        <w:gridCol w:w="915"/>
        <w:gridCol w:w="1125"/>
        <w:gridCol w:w="1230"/>
        <w:gridCol w:w="1155"/>
        <w:gridCol w:w="1410"/>
        <w:gridCol w:w="1260"/>
        <w:gridCol w:w="7605"/>
      </w:tblGrid>
      <w:tr w:rsidR="003D12FC" w:rsidRPr="008D2BD9" ns2:paraId="4A1CC0E8" ns2:textId="77777777" w:rsidTr="008D2B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tcW w:w="915" w:type="dxa"/>
          </w:tcPr>
          <w:p ns2:paraId="7F12985B" ns2:textId="77777777" w:rsidR="003D12FC" w:rsidRPr="008D2BD9" w:rsidRDefault="0018387B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 xml:space="preserve">Version </w:t>
            </w:r>
          </w:p>
        </w:tc>
        <w:tc>
          <w:tcPr>
            <w:tcW w:w="1125" w:type="dxa"/>
          </w:tcPr>
          <w:p ns2:paraId="076BE528" ns2:textId="77777777" w:rsidR="003D12FC" w:rsidRPr="008D2BD9" w:rsidRDefault="0018387B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Approved By</w:t>
            </w:r>
          </w:p>
        </w:tc>
        <w:tc>
          <w:tcPr>
            <w:tcW w:w="1230" w:type="dxa"/>
          </w:tcPr>
          <w:p ns2:paraId="5142DA04" ns2:textId="77777777" w:rsidR="003D12FC" w:rsidRPr="008D2BD9" w:rsidRDefault="0018387B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Owner</w:t>
            </w:r>
          </w:p>
        </w:tc>
        <w:tc>
          <w:tcPr>
            <w:tcW w:w="1155" w:type="dxa"/>
          </w:tcPr>
          <w:p ns2:paraId="0CB2A4EC" ns2:textId="77777777" w:rsidR="003D12FC" w:rsidRPr="008D2BD9" w:rsidRDefault="0018387B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Date Last Updated</w:t>
            </w:r>
          </w:p>
          <w:p ns2:paraId="3C6DA091" ns2:textId="77777777" w:rsidR="003D12FC" w:rsidRPr="008D2BD9" w:rsidRDefault="0018387B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 xml:space="preserve"> </w:t>
            </w:r>
          </w:p>
        </w:tc>
        <w:tc>
          <w:tcPr>
            <w:tcW w:w="1410" w:type="dxa"/>
          </w:tcPr>
          <w:p ns2:paraId="54B5A24E" ns2:textId="77777777" w:rsidR="003D12FC" w:rsidRPr="008D2BD9" w:rsidRDefault="0018387B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Review Frequency</w:t>
            </w:r>
          </w:p>
        </w:tc>
        <w:tc>
          <w:tcPr>
            <w:tcW w:w="1260" w:type="dxa"/>
          </w:tcPr>
          <w:p ns2:paraId="57207D0D" ns2:textId="77777777" w:rsidR="003D12FC" w:rsidRPr="008D2BD9" w:rsidRDefault="0018387B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 xml:space="preserve">Next Review </w:t>
            </w:r>
          </w:p>
        </w:tc>
        <w:tc>
          <w:tcPr>
            <w:tcW w:w="7605" w:type="dxa"/>
          </w:tcPr>
          <w:p ns2:paraId="146A3916" ns2:textId="77777777" w:rsidR="003D12FC" w:rsidRPr="008D2BD9" w:rsidRDefault="0018387B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Comments</w:t>
            </w:r>
          </w:p>
        </w:tc>
      </w:tr>
      <w:tr w:rsidR="003D12FC" w:rsidRPr="008D2BD9" ns2:paraId="5452867B" ns2:textId="77777777" w:rsidTr="008D2BD9">
        <w:trPr>
          <w:trHeight w:val="915"/>
        </w:trPr>
        <w:tc>
          <w:tcPr>
            <w:tcW w:w="915" w:type="dxa"/>
          </w:tcPr>
          <w:p ns2:paraId="4C215BCC" ns2:textId="77777777" w:rsidR="003D12FC" w:rsidRPr="008D2BD9" w:rsidRDefault="003D12FC">
            <w:pPr>
              <w:rPr>
                <w:rFonts w:ascii="Aptos" w:hAnsi="Aptos"/>
              </w:rPr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w="1125" w:type="dxa"/>
          </w:tcPr>
          <w:p ns2:paraId="36CB80F2" ns2:textId="77777777" w:rsidR="003D12FC" w:rsidRPr="008D2BD9" w:rsidRDefault="003D12FC">
            <w:pPr>
              <w:rPr>
                <w:rFonts w:ascii="Aptos" w:hAnsi="Aptos"/>
              </w:rPr>
            </w:pPr>
            <w:r>
              <w:rPr>
                <w:rFonts w:ascii="Arial" w:hAnsi="Arial"/>
                <w:sz w:val="18"/>
              </w:rPr>
              <w:t>Noura Al-Qahtani (CEO)</w:t>
            </w:r>
          </w:p>
        </w:tc>
        <w:tc>
          <w:tcPr>
            <w:tcW w:w="1230" w:type="dxa"/>
          </w:tcPr>
          <w:p ns2:paraId="381E839B" ns2:textId="77777777" w:rsidR="003D12FC" w:rsidRPr="008D2BD9" w:rsidRDefault="003D12FC">
            <w:pPr>
              <w:rPr>
                <w:rFonts w:ascii="Aptos" w:hAnsi="Aptos"/>
              </w:rPr>
            </w:pPr>
            <w:r>
              <w:rPr>
                <w:rFonts w:ascii="Arial" w:hAnsi="Arial"/>
                <w:sz w:val="18"/>
              </w:rPr>
              <w:t>Sarah Al-Harbi (CISO)</w:t>
            </w:r>
          </w:p>
        </w:tc>
        <w:tc>
          <w:tcPr>
            <w:tcW w:w="1155" w:type="dxa"/>
          </w:tcPr>
          <w:p ns2:paraId="05AB93EC" ns2:textId="77777777" w:rsidR="003D12FC" w:rsidRPr="008D2BD9" w:rsidRDefault="003D12FC">
            <w:pPr>
              <w:rPr>
                <w:rFonts w:ascii="Aptos" w:hAnsi="Aptos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  <w:tc>
          <w:tcPr>
            <w:tcW w:w="1410" w:type="dxa"/>
          </w:tcPr>
          <w:p ns2:paraId="22568A92" ns2:textId="77777777" w:rsidR="003D12FC" w:rsidRPr="008D2BD9" w:rsidRDefault="003D12FC">
            <w:pPr>
              <w:rPr>
                <w:rFonts w:ascii="Aptos" w:hAnsi="Aptos"/>
              </w:rPr>
            </w:pPr>
            <w:r>
              <w:rPr>
                <w:rFonts w:ascii="Arial" w:hAnsi="Arial"/>
                <w:sz w:val="18"/>
              </w:rPr>
              <w:t>Annually</w:t>
            </w:r>
          </w:p>
        </w:tc>
        <w:tc>
          <w:tcPr>
            <w:tcW w:w="1260" w:type="dxa"/>
          </w:tcPr>
          <w:p ns2:paraId="6D0EC19A" ns2:textId="77777777" w:rsidR="003D12FC" w:rsidRPr="008D2BD9" w:rsidRDefault="003D12FC">
            <w:pPr>
              <w:rPr>
                <w:rFonts w:ascii="Aptos" w:hAnsi="Aptos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  <w:tc>
          <w:tcPr>
            <w:tcW w:w="7605" w:type="dxa"/>
          </w:tcPr>
          <w:p ns2:paraId="6A26247C" ns2:textId="77777777" w:rsidR="003D12FC" w:rsidRPr="008D2BD9" w:rsidRDefault="003D12FC">
            <w:pPr>
              <w:rPr>
                <w:rFonts w:ascii="Aptos" w:hAnsi="Aptos"/>
              </w:rPr>
            </w:pPr>
            <w:r>
              <w:rPr>
                <w:rFonts w:ascii="Arial" w:hAnsi="Arial"/>
                <w:sz w:val="18"/>
              </w:rPr>
              <w:t>Based on Digital Horizons Bank case study</w:t>
            </w:r>
          </w:p>
        </w:tc>
      </w:tr>
    </w:tbl>
    <w:p ns2:paraId="7CFE09ED" ns2:textId="77777777" w:rsidR="003D12FC" w:rsidRPr="008D2BD9" w:rsidRDefault="003D12FC">
      <w:pPr>
        <w:jc w:val="both"/>
        <w:rPr>
          <w:rFonts w:ascii="Aptos" w:hAnsi="Aptos"/>
        </w:rPr>
      </w:pPr>
    </w:p>
    <w:p ns2:paraId="255CFB8E" ns2:textId="77777777" w:rsidR="008D2BD9" w:rsidRPr="008D2BD9" w:rsidRDefault="00000000" w:rsidP="008D2BD9">
      <w:pPr>
        <w:rPr>
          <w:rFonts w:ascii="Aptos" w:hAnsi="Aptos"/>
        </w:rPr>
      </w:pPr>
      <w:bookmarkStart w:id="0" w:name="_2zmqlpl0pfb5" w:colFirst="0" w:colLast="0"/>
      <w:bookmarkEnd w:id="0"/>
      <w:r w:rsidRPr="008D2BD9">
        <w:rPr>
          <w:rFonts w:ascii="Aptos" w:hAnsi="Aptos"/>
        </w:rPr>
        <w:t>Status Key:</w:t>
      </w:r>
    </w:p>
    <w:p ns2:paraId="3F188C67" ns2:textId="58C8AB35" w:rsidR="008D2BD9" w:rsidRPr="008D2BD9" w:rsidRDefault="00000000" w:rsidP="008D2BD9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8D2BD9">
        <w:rPr>
          <w:rFonts w:ascii="Aptos" w:hAnsi="Aptos"/>
          <w:b/>
          <w:bCs/>
          <w:color w:val="00B050"/>
        </w:rPr>
        <w:t>GREEN</w:t>
      </w:r>
      <w:r w:rsidRPr="008D2BD9">
        <w:rPr>
          <w:rFonts w:ascii="Aptos" w:hAnsi="Aptos"/>
          <w:color w:val="00B050"/>
        </w:rPr>
        <w:t xml:space="preserve"> </w:t>
      </w:r>
      <w:r w:rsidRPr="008D2BD9">
        <w:rPr>
          <w:rFonts w:ascii="Aptos" w:hAnsi="Aptos"/>
        </w:rPr>
        <w:t xml:space="preserve">= Meeting or exceeding target. </w:t>
      </w:r>
    </w:p>
    <w:p ns2:paraId="43D2724A" ns2:textId="77777777" w:rsidR="008D2BD9" w:rsidRPr="008D2BD9" w:rsidRDefault="00000000" w:rsidP="008D2BD9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8D2BD9">
        <w:rPr>
          <w:rFonts w:ascii="Aptos" w:hAnsi="Aptos"/>
          <w:b/>
          <w:bCs/>
          <w:color w:val="F79646" w:themeColor="accent6"/>
        </w:rPr>
        <w:t>AMBER</w:t>
      </w:r>
      <w:r w:rsidRPr="008D2BD9">
        <w:rPr>
          <w:rFonts w:ascii="Aptos" w:hAnsi="Aptos"/>
          <w:color w:val="F79646" w:themeColor="accent6"/>
        </w:rPr>
        <w:t xml:space="preserve"> </w:t>
      </w:r>
      <w:r w:rsidRPr="008D2BD9">
        <w:rPr>
          <w:rFonts w:ascii="Aptos" w:hAnsi="Aptos"/>
        </w:rPr>
        <w:t xml:space="preserve">= Within 10% of target or active remediation plan in place. </w:t>
      </w:r>
    </w:p>
    <w:p ns2:paraId="2AE653A4" ns2:textId="77777777" w:rsidR="008D2BD9" w:rsidRPr="008D2BD9" w:rsidRDefault="00000000" w:rsidP="008D2BD9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8D2BD9">
        <w:rPr>
          <w:rFonts w:ascii="Aptos" w:hAnsi="Aptos"/>
          <w:b/>
          <w:bCs/>
          <w:color w:val="C00000"/>
        </w:rPr>
        <w:t>RED</w:t>
      </w:r>
      <w:r w:rsidRPr="008D2BD9">
        <w:rPr>
          <w:rFonts w:ascii="Aptos" w:hAnsi="Aptos"/>
          <w:color w:val="C00000"/>
        </w:rPr>
        <w:t xml:space="preserve"> </w:t>
      </w:r>
      <w:r w:rsidRPr="008D2BD9">
        <w:rPr>
          <w:rFonts w:ascii="Aptos" w:hAnsi="Aptos"/>
        </w:rPr>
        <w:t xml:space="preserve">= Significantly below target or no remediation plan. </w:t>
      </w:r>
    </w:p>
    <w:p ns2:paraId="212D1A94" ns2:textId="791D156B" w:rsidR="003D12FC" w:rsidRPr="008D2BD9" w:rsidRDefault="003D12FC">
      <w:pPr>
        <w:jc w:val="both"/>
        <w:rPr>
          <w:rFonts w:ascii="Aptos" w:hAnsi="Aptos"/>
        </w:rPr>
      </w:pPr>
    </w:p>
    <w:tbl>
      <w:tblPr>
        <w:tblStyle w:val="ListTable3-Accent1"/>
        <w:tblW w:w="5000" w:type="pct"/>
        <w:tblLook w:val="0620" w:firstRow="1" w:lastRow="0" w:firstColumn="0" w:lastColumn="0" w:noHBand="1" w:noVBand="1"/>
      </w:tblPr>
      <w:tblGrid>
        <w:gridCol w:w="1498"/>
        <w:gridCol w:w="1609"/>
        <w:gridCol w:w="1634"/>
        <w:gridCol w:w="1558"/>
        <w:gridCol w:w="1435"/>
        <w:gridCol w:w="1741"/>
        <w:gridCol w:w="2540"/>
        <w:gridCol w:w="1128"/>
        <w:gridCol w:w="805"/>
      </w:tblGrid>
      <w:tr w:rsidR="008D2BD9" w:rsidRPr="008D2BD9" ns2:paraId="077B24EE" ns2:textId="77777777" w:rsidTr="008D2B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5"/>
        </w:trPr>
        <w:tc>
          <w:tcPr>
            <w:tcW w:w="418" w:type="pct"/>
          </w:tcPr>
          <w:p ns2:paraId="5A61606D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Measure</w:t>
            </w:r>
          </w:p>
        </w:tc>
        <w:tc>
          <w:tcPr>
            <w:tcW w:w="459" w:type="pct"/>
          </w:tcPr>
          <w:p ns2:paraId="64BD2C6F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Description</w:t>
            </w:r>
          </w:p>
        </w:tc>
        <w:tc>
          <w:tcPr>
            <w:tcW w:w="306" w:type="pct"/>
          </w:tcPr>
          <w:p ns2:paraId="485E7B4F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Frequency</w:t>
            </w:r>
          </w:p>
        </w:tc>
        <w:tc>
          <w:tcPr>
            <w:tcW w:w="497" w:type="pct"/>
          </w:tcPr>
          <w:p ns2:paraId="6BAD6F7F" ns2:textId="1F7EE71A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Target/</w:t>
            </w:r>
            <w:r w:rsidRPr="008D2BD9">
              <w:rPr>
                <w:rFonts w:ascii="Aptos" w:hAnsi="Aptos"/>
                <w:b w:val="0"/>
                <w:sz w:val="18"/>
                <w:szCs w:val="18"/>
              </w:rPr>
              <w:t xml:space="preserve"> </w:t>
            </w:r>
            <w:r w:rsidRPr="008D2BD9">
              <w:rPr>
                <w:rFonts w:ascii="Aptos" w:hAnsi="Aptos"/>
                <w:sz w:val="18"/>
                <w:szCs w:val="18"/>
              </w:rPr>
              <w:t>Threshold</w:t>
            </w:r>
          </w:p>
        </w:tc>
        <w:tc>
          <w:tcPr>
            <w:tcW w:w="382" w:type="pct"/>
          </w:tcPr>
          <w:p ns2:paraId="779B4741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Data Source</w:t>
            </w:r>
          </w:p>
        </w:tc>
        <w:tc>
          <w:tcPr>
            <w:tcW w:w="536" w:type="pct"/>
          </w:tcPr>
          <w:p ns2:paraId="6B9DBBDF" ns2:textId="6BD42735" w:rsidR="008D2BD9" w:rsidRPr="008D2BD9" w:rsidRDefault="008D2BD9">
            <w:pPr>
              <w:rPr>
                <w:rFonts w:ascii="Aptos" w:hAnsi="Aptos"/>
                <w:b w:val="0"/>
                <w:sz w:val="18"/>
                <w:szCs w:val="18"/>
              </w:rPr>
            </w:pPr>
            <w:r w:rsidRPr="008D2BD9">
              <w:rPr>
                <w:rFonts w:ascii="Aptos" w:hAnsi="Aptos"/>
                <w:bCs w:val="0"/>
                <w:sz w:val="18"/>
                <w:szCs w:val="18"/>
              </w:rPr>
              <w:t>RAG Status</w:t>
            </w:r>
            <w:r w:rsidRPr="008D2BD9">
              <w:rPr>
                <w:rFonts w:ascii="Aptos" w:hAnsi="Aptos"/>
                <w:b w:val="0"/>
                <w:sz w:val="18"/>
                <w:szCs w:val="18"/>
              </w:rPr>
              <w:br/>
              <w:t>(Green/Amber/Red)</w:t>
            </w:r>
          </w:p>
        </w:tc>
        <w:tc>
          <w:tcPr>
            <w:tcW w:w="1400" w:type="pct"/>
          </w:tcPr>
          <w:p ns2:paraId="1B098D04" ns2:textId="0906F97C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Results</w:t>
            </w:r>
          </w:p>
        </w:tc>
        <w:tc>
          <w:tcPr>
            <w:tcW w:w="501" w:type="pct"/>
          </w:tcPr>
          <w:p ns2:paraId="5873846E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Comments</w:t>
            </w:r>
          </w:p>
        </w:tc>
        <w:tc>
          <w:tcPr>
            <w:tcW w:w="501" w:type="pct"/>
          </w:tcPr>
          <w:p ns2:paraId="62AC4FB8" ns2:textId="694E4709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 xml:space="preserve">Last Review </w:t>
            </w:r>
          </w:p>
        </w:tc>
      </w:tr>
      <w:tr w:rsidR="008D2BD9" w:rsidRPr="008D2BD9" ns2:paraId="43321F4C" ns2:textId="77777777" w:rsidTr="008D2BD9">
        <w:trPr>
          <w:trHeight w:val="2435"/>
        </w:trPr>
        <w:tc>
          <w:tcPr>
            <w:tcW w:w="418" w:type="pct"/>
          </w:tcPr>
          <w:p ns2:paraId="1A448532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commentRangeStart w:id="1"/>
            <w:r w:rsidRPr="008D2BD9">
              <w:rPr>
                <w:rFonts w:ascii="Aptos" w:hAnsi="Aptos"/>
                <w:b/>
                <w:sz w:val="18"/>
                <w:szCs w:val="18"/>
              </w:rPr>
              <w:lastRenderedPageBreak/>
              <w:t>Policy Review Compliance</w:t>
            </w:r>
            <w:commentRangeEnd w:id="1"/>
            <w:r w:rsidRPr="008D2BD9">
              <w:rPr>
                <w:rStyle w:val="CommentReference"/>
                <w:rFonts w:ascii="Aptos" w:hAnsi="Aptos"/>
                <w:sz w:val="18"/>
                <w:szCs w:val="18"/>
              </w:rPr>
              <w:commentReference w:id="1"/>
            </w:r>
          </w:p>
        </w:tc>
        <w:tc>
          <w:tcPr>
            <w:tcW w:w="459" w:type="pct"/>
          </w:tcPr>
          <w:p ns2:paraId="51B6949F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staff who have acknowledged key policies (Information Security, Acceptable Use, etc.).</w:t>
            </w:r>
          </w:p>
        </w:tc>
        <w:tc>
          <w:tcPr>
            <w:tcW w:w="306" w:type="pct"/>
          </w:tcPr>
          <w:p ns2:paraId="64708036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497" w:type="pct"/>
          </w:tcPr>
          <w:p ns2:paraId="4AF37966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 acknowledgment</w:t>
            </w:r>
          </w:p>
        </w:tc>
        <w:tc>
          <w:tcPr>
            <w:tcW w:w="382" w:type="pct"/>
          </w:tcPr>
          <w:p ns2:paraId="79851977" ns2:textId="62748964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HR system</w:t>
            </w:r>
          </w:p>
        </w:tc>
        <w:tc>
          <w:tcPr>
            <w:tcW w:w="536" w:type="pct"/>
          </w:tcPr>
          <w:p ns2:paraId="54872F7D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Amber</w:t>
            </w:r>
          </w:p>
        </w:tc>
        <w:tc>
          <w:tcPr>
            <w:tcW w:w="1400" w:type="pct"/>
          </w:tcPr>
          <w:p ns2:paraId="022EDB27" ns2:textId="1D3D5233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Not Specified in Case Study</w:t>
            </w:r>
          </w:p>
        </w:tc>
        <w:tc>
          <w:tcPr>
            <w:tcW w:w="501" w:type="pct"/>
          </w:tcPr>
          <w:p ns2:paraId="5A9A1074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Obtain HR report and close gaps</w:t>
            </w:r>
          </w:p>
        </w:tc>
        <w:tc>
          <w:tcPr>
            <w:tcW w:w="501" w:type="pct"/>
          </w:tcPr>
          <w:p ns2:paraId="63760F34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143B6238" ns2:textId="77777777" w:rsidTr="008D2BD9">
        <w:trPr>
          <w:trHeight w:val="1610"/>
        </w:trPr>
        <w:tc>
          <w:tcPr>
            <w:tcW w:w="418" w:type="pct"/>
          </w:tcPr>
          <w:p ns2:paraId="74E7858A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a. InfoSec Policy</w:t>
            </w:r>
          </w:p>
        </w:tc>
        <w:tc>
          <w:tcPr>
            <w:tcW w:w="459" w:type="pct"/>
          </w:tcPr>
          <w:p ns2:paraId="70FB04A7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All staff have reviewed and acknowledged the Information Security Policy.</w:t>
            </w:r>
          </w:p>
        </w:tc>
        <w:tc>
          <w:tcPr>
            <w:tcW w:w="306" w:type="pct"/>
          </w:tcPr>
          <w:p ns2:paraId="68EE6EE1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497" w:type="pct"/>
          </w:tcPr>
          <w:p ns2:paraId="1E20A374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82" w:type="pct"/>
          </w:tcPr>
          <w:p ns2:paraId="652B5A54" ns2:textId="2BC79CF8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HR system</w:t>
            </w:r>
          </w:p>
        </w:tc>
        <w:tc>
          <w:tcPr>
            <w:tcW w:w="536" w:type="pct"/>
          </w:tcPr>
          <w:p ns2:paraId="654A70FA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Amber</w:t>
            </w:r>
          </w:p>
        </w:tc>
        <w:tc>
          <w:tcPr>
            <w:tcW w:w="1400" w:type="pct"/>
          </w:tcPr>
          <w:p ns2:paraId="4B352367" ns2:textId="6135BAC1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specified; target remains 100%</w:t>
            </w:r>
          </w:p>
        </w:tc>
        <w:tc>
          <w:tcPr>
            <w:tcW w:w="501" w:type="pct"/>
          </w:tcPr>
          <w:p ns2:paraId="509C0CEB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Track policy acknowledgement</w:t>
            </w:r>
          </w:p>
        </w:tc>
        <w:tc>
          <w:tcPr>
            <w:tcW w:w="501" w:type="pct"/>
          </w:tcPr>
          <w:p ns2:paraId="0DA87FCC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0A96D46B" ns2:textId="77777777" w:rsidTr="008D2BD9">
        <w:trPr>
          <w:trHeight w:val="1610"/>
        </w:trPr>
        <w:tc>
          <w:tcPr>
            <w:tcW w:w="418" w:type="pct"/>
          </w:tcPr>
          <w:p ns2:paraId="4533BF28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b. Acceptable Use Policy</w:t>
            </w:r>
          </w:p>
        </w:tc>
        <w:tc>
          <w:tcPr>
            <w:tcW w:w="459" w:type="pct"/>
          </w:tcPr>
          <w:p ns2:paraId="6D393FF0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All staff compliance with Acceptable Use Policy acknowledgment.</w:t>
            </w:r>
          </w:p>
        </w:tc>
        <w:tc>
          <w:tcPr>
            <w:tcW w:w="306" w:type="pct"/>
          </w:tcPr>
          <w:p ns2:paraId="4856D54B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497" w:type="pct"/>
          </w:tcPr>
          <w:p ns2:paraId="464188DE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82" w:type="pct"/>
          </w:tcPr>
          <w:p ns2:paraId="5B2C98B2" ns2:textId="23DD8F31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HR system</w:t>
            </w:r>
          </w:p>
        </w:tc>
        <w:tc>
          <w:tcPr>
            <w:tcW w:w="536" w:type="pct"/>
          </w:tcPr>
          <w:p ns2:paraId="030CE6F0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Amber</w:t>
            </w:r>
          </w:p>
        </w:tc>
        <w:tc>
          <w:tcPr>
            <w:tcW w:w="1400" w:type="pct"/>
          </w:tcPr>
          <w:p ns2:paraId="58EABBA8" ns2:textId="73DD121D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specified; target remains 100%</w:t>
            </w:r>
          </w:p>
        </w:tc>
        <w:tc>
          <w:tcPr>
            <w:tcW w:w="501" w:type="pct"/>
          </w:tcPr>
          <w:p ns2:paraId="402DF173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Track acceptable-use acknowledgement</w:t>
            </w:r>
          </w:p>
        </w:tc>
        <w:tc>
          <w:tcPr>
            <w:tcW w:w="501" w:type="pct"/>
          </w:tcPr>
          <w:p ns2:paraId="3D94A550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38015BBC" ns2:textId="77777777" w:rsidTr="008D2BD9">
        <w:trPr>
          <w:trHeight w:val="1610"/>
        </w:trPr>
        <w:tc>
          <w:tcPr>
            <w:tcW w:w="418" w:type="pct"/>
          </w:tcPr>
          <w:p ns2:paraId="575FC4FE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c. Cloud Services Policy</w:t>
            </w:r>
          </w:p>
        </w:tc>
        <w:tc>
          <w:tcPr>
            <w:tcW w:w="459" w:type="pct"/>
          </w:tcPr>
          <w:p ns2:paraId="10151FFD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All staff compliance with Cloud Services Policy acknowledgment.</w:t>
            </w:r>
          </w:p>
        </w:tc>
        <w:tc>
          <w:tcPr>
            <w:tcW w:w="306" w:type="pct"/>
          </w:tcPr>
          <w:p ns2:paraId="1578ECFA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497" w:type="pct"/>
          </w:tcPr>
          <w:p ns2:paraId="5B27F1E9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82" w:type="pct"/>
          </w:tcPr>
          <w:p ns2:paraId="26784F3D" ns2:textId="05CB0E04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HR system</w:t>
            </w:r>
          </w:p>
        </w:tc>
        <w:tc>
          <w:tcPr>
            <w:tcW w:w="536" w:type="pct"/>
          </w:tcPr>
          <w:p ns2:paraId="39C52605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Amber</w:t>
            </w:r>
          </w:p>
        </w:tc>
        <w:tc>
          <w:tcPr>
            <w:tcW w:w="1400" w:type="pct"/>
          </w:tcPr>
          <w:p ns2:paraId="70849799" ns2:textId="2104372B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specified; target remains 100%</w:t>
            </w:r>
          </w:p>
        </w:tc>
        <w:tc>
          <w:tcPr>
            <w:tcW w:w="501" w:type="pct"/>
          </w:tcPr>
          <w:p ns2:paraId="29B8AA84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Review cloud-service users</w:t>
            </w:r>
          </w:p>
        </w:tc>
        <w:tc>
          <w:tcPr>
            <w:tcW w:w="501" w:type="pct"/>
          </w:tcPr>
          <w:p ns2:paraId="2C724D04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4BDD60E4" ns2:textId="77777777" w:rsidTr="008D2BD9">
        <w:trPr>
          <w:trHeight w:val="1880"/>
        </w:trPr>
        <w:tc>
          <w:tcPr>
            <w:tcW w:w="418" w:type="pct"/>
          </w:tcPr>
          <w:p ns2:paraId="27290780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lastRenderedPageBreak/>
              <w:t>d. Secure Development Policy</w:t>
            </w:r>
          </w:p>
        </w:tc>
        <w:tc>
          <w:tcPr>
            <w:tcW w:w="459" w:type="pct"/>
          </w:tcPr>
          <w:p ns2:paraId="6C1188EC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Engineering team compliance with Secure Development Policy acknowledgment.</w:t>
            </w:r>
          </w:p>
        </w:tc>
        <w:tc>
          <w:tcPr>
            <w:tcW w:w="306" w:type="pct"/>
          </w:tcPr>
          <w:p ns2:paraId="77BEB440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497" w:type="pct"/>
          </w:tcPr>
          <w:p ns2:paraId="6A15F874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82" w:type="pct"/>
          </w:tcPr>
          <w:p ns2:paraId="67E9680F" ns2:textId="59E5604E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HR system</w:t>
            </w:r>
          </w:p>
        </w:tc>
        <w:tc>
          <w:tcPr>
            <w:tcW w:w="536" w:type="pct"/>
          </w:tcPr>
          <w:p ns2:paraId="35215B2A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Amber</w:t>
            </w:r>
          </w:p>
        </w:tc>
        <w:tc>
          <w:tcPr>
            <w:tcW w:w="1400" w:type="pct"/>
          </w:tcPr>
          <w:p ns2:paraId="0049F333" ns2:textId="5B505D8A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specified; target remains 100%</w:t>
            </w:r>
          </w:p>
        </w:tc>
        <w:tc>
          <w:tcPr>
            <w:tcW w:w="501" w:type="pct"/>
          </w:tcPr>
          <w:p ns2:paraId="3003A6A6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Review engineering compliance</w:t>
            </w:r>
          </w:p>
        </w:tc>
        <w:tc>
          <w:tcPr>
            <w:tcW w:w="501" w:type="pct"/>
          </w:tcPr>
          <w:p ns2:paraId="171CEDD9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54B11322" ns2:textId="77777777" w:rsidTr="008D2BD9">
        <w:trPr>
          <w:trHeight w:val="1610"/>
        </w:trPr>
        <w:tc>
          <w:tcPr>
            <w:tcW w:w="418" w:type="pct"/>
          </w:tcPr>
          <w:p ns2:paraId="06DAFA7A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Compliance % to ISO 27001</w:t>
            </w:r>
          </w:p>
        </w:tc>
        <w:tc>
          <w:tcPr>
            <w:tcW w:w="459" w:type="pct"/>
          </w:tcPr>
          <w:p ns2:paraId="19C7C029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applicable ISO 27001 controls implemented and operational.</w:t>
            </w:r>
          </w:p>
        </w:tc>
        <w:tc>
          <w:tcPr>
            <w:tcW w:w="306" w:type="pct"/>
          </w:tcPr>
          <w:p ns2:paraId="1F23B452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497" w:type="pct"/>
          </w:tcPr>
          <w:p ns2:paraId="37C975F2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 implementation of scoped controls</w:t>
            </w:r>
          </w:p>
        </w:tc>
        <w:tc>
          <w:tcPr>
            <w:tcW w:w="382" w:type="pct"/>
          </w:tcPr>
          <w:p ns2:paraId="46BE9BAE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Audit results/non-conformity logs</w:t>
            </w:r>
          </w:p>
        </w:tc>
        <w:tc>
          <w:tcPr>
            <w:tcW w:w="536" w:type="pct"/>
          </w:tcPr>
          <w:p ns2:paraId="01F43683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Red</w:t>
            </w:r>
          </w:p>
        </w:tc>
        <w:tc>
          <w:tcPr>
            <w:tcW w:w="1400" w:type="pct"/>
          </w:tcPr>
          <w:p ns2:paraId="19674917" ns2:textId="5BB3208A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Not Specified in Case Study</w:t>
            </w:r>
          </w:p>
        </w:tc>
        <w:tc>
          <w:tcPr>
            <w:tcW w:w="501" w:type="pct"/>
          </w:tcPr>
          <w:p ns2:paraId="2A6BB9E5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Address audit gaps and complete controls</w:t>
            </w:r>
          </w:p>
        </w:tc>
        <w:tc>
          <w:tcPr>
            <w:tcW w:w="501" w:type="pct"/>
          </w:tcPr>
          <w:p ns2:paraId="01C7450F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662EE530" ns2:textId="77777777" w:rsidTr="008D2BD9">
        <w:trPr>
          <w:trHeight w:val="1610"/>
        </w:trPr>
        <w:tc>
          <w:tcPr>
            <w:tcW w:w="418" w:type="pct"/>
          </w:tcPr>
          <w:p ns2:paraId="2837F285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Supplier Reviews</w:t>
            </w:r>
          </w:p>
        </w:tc>
        <w:tc>
          <w:tcPr>
            <w:tcW w:w="459" w:type="pct"/>
          </w:tcPr>
          <w:p ns2:paraId="055FA9C4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suppliers processing data reviewed as per the schedule.</w:t>
            </w:r>
          </w:p>
        </w:tc>
        <w:tc>
          <w:tcPr>
            <w:tcW w:w="306" w:type="pct"/>
          </w:tcPr>
          <w:p ns2:paraId="420088B0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497" w:type="pct"/>
          </w:tcPr>
          <w:p ns2:paraId="2988A287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82" w:type="pct"/>
          </w:tcPr>
          <w:p ns2:paraId="79CFDFAB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Supplier review schedule</w:t>
            </w:r>
          </w:p>
        </w:tc>
        <w:tc>
          <w:tcPr>
            <w:tcW w:w="536" w:type="pct"/>
          </w:tcPr>
          <w:p ns2:paraId="612E032B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Amber</w:t>
            </w:r>
          </w:p>
        </w:tc>
        <w:tc>
          <w:tcPr>
            <w:tcW w:w="1400" w:type="pct"/>
          </w:tcPr>
          <w:p ns2:paraId="36C4A007" ns2:textId="10DBF40B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Supplier review results not specified</w:t>
            </w:r>
          </w:p>
        </w:tc>
        <w:tc>
          <w:tcPr>
            <w:tcW w:w="501" w:type="pct"/>
          </w:tcPr>
          <w:p ns2:paraId="303BFE97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Prioritise AWS and mobile-app supplier reviews</w:t>
            </w:r>
          </w:p>
        </w:tc>
        <w:tc>
          <w:tcPr>
            <w:tcW w:w="501" w:type="pct"/>
          </w:tcPr>
          <w:p ns2:paraId="08A2BCBA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6E5BDC84" ns2:textId="77777777" w:rsidTr="008D2BD9">
        <w:trPr>
          <w:trHeight w:val="1340"/>
        </w:trPr>
        <w:tc>
          <w:tcPr>
            <w:tcW w:w="418" w:type="pct"/>
          </w:tcPr>
          <w:p ns2:paraId="301B566E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Supplier Risk Assessments</w:t>
            </w:r>
          </w:p>
        </w:tc>
        <w:tc>
          <w:tcPr>
            <w:tcW w:w="459" w:type="pct"/>
          </w:tcPr>
          <w:p ns2:paraId="23CF7455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critical suppliers with updated risk assessments.</w:t>
            </w:r>
          </w:p>
        </w:tc>
        <w:tc>
          <w:tcPr>
            <w:tcW w:w="306" w:type="pct"/>
          </w:tcPr>
          <w:p ns2:paraId="68AEA776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497" w:type="pct"/>
          </w:tcPr>
          <w:p ns2:paraId="0F5B37C1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82" w:type="pct"/>
          </w:tcPr>
          <w:p ns2:paraId="3976B171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Supplier risk assessment records</w:t>
            </w:r>
          </w:p>
        </w:tc>
        <w:tc>
          <w:tcPr>
            <w:tcW w:w="536" w:type="pct"/>
          </w:tcPr>
          <w:p ns2:paraId="51B3CDDD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Amber</w:t>
            </w:r>
          </w:p>
        </w:tc>
        <w:tc>
          <w:tcPr>
            <w:tcW w:w="1400" w:type="pct"/>
          </w:tcPr>
          <w:p ns2:paraId="19821D16" ns2:textId="3D3C69CE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Supplier risk-assessment results not specified</w:t>
            </w:r>
          </w:p>
        </w:tc>
        <w:tc>
          <w:tcPr>
            <w:tcW w:w="501" w:type="pct"/>
          </w:tcPr>
          <w:p ns2:paraId="2FA29116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Maintain critical-supplier register</w:t>
            </w:r>
          </w:p>
        </w:tc>
        <w:tc>
          <w:tcPr>
            <w:tcW w:w="501" w:type="pct"/>
          </w:tcPr>
          <w:p ns2:paraId="0AA4C666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10666EEB" ns2:textId="77777777" w:rsidTr="008D2BD9">
        <w:trPr>
          <w:trHeight w:val="785"/>
        </w:trPr>
        <w:tc>
          <w:tcPr>
            <w:tcW w:w="418" w:type="pct"/>
          </w:tcPr>
          <w:p ns2:paraId="5527AD43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Training and Awareness</w:t>
            </w:r>
          </w:p>
        </w:tc>
        <w:tc>
          <w:tcPr>
            <w:tcW w:w="459" w:type="pct"/>
          </w:tcPr>
          <w:p ns2:paraId="6E2EC02C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06" w:type="pct"/>
          </w:tcPr>
          <w:p ns2:paraId="128F5A36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497" w:type="pct"/>
          </w:tcPr>
          <w:p ns2:paraId="208497C5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82" w:type="pct"/>
          </w:tcPr>
          <w:p ns2:paraId="19BF255A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536" w:type="pct"/>
          </w:tcPr>
          <w:p ns2:paraId="27C00BC7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Red</w:t>
            </w:r>
          </w:p>
        </w:tc>
        <w:tc>
          <w:tcPr>
            <w:tcW w:w="1400" w:type="pct"/>
          </w:tcPr>
          <w:p ns2:paraId="5508BDCB" ns2:textId="79ED82CE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25% clicked; 12% submitted credentials; 8% reported the simulation</w:t>
            </w:r>
          </w:p>
        </w:tc>
        <w:tc>
          <w:tcPr>
            <w:tcW w:w="501" w:type="pct"/>
          </w:tcPr>
          <w:p ns2:paraId="4B65F541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Increase awareness training and phishing simulations</w:t>
            </w:r>
          </w:p>
        </w:tc>
        <w:tc>
          <w:tcPr>
            <w:tcW w:w="501" w:type="pct"/>
          </w:tcPr>
          <w:p ns2:paraId="217E96A8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159A24F4" ns2:textId="77777777" w:rsidTr="008D2BD9">
        <w:trPr>
          <w:trHeight w:val="1610"/>
        </w:trPr>
        <w:tc>
          <w:tcPr>
            <w:tcW w:w="418" w:type="pct"/>
          </w:tcPr>
          <w:p ns2:paraId="44B9F693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a. Intro to ISO 27001</w:t>
            </w:r>
          </w:p>
        </w:tc>
        <w:tc>
          <w:tcPr>
            <w:tcW w:w="459" w:type="pct"/>
          </w:tcPr>
          <w:p ns2:paraId="2D355100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staff who completed the "Intro to ISO 27001" course.</w:t>
            </w:r>
          </w:p>
        </w:tc>
        <w:tc>
          <w:tcPr>
            <w:tcW w:w="306" w:type="pct"/>
          </w:tcPr>
          <w:p ns2:paraId="7171408B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497" w:type="pct"/>
          </w:tcPr>
          <w:p ns2:paraId="20C602A5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82" w:type="pct"/>
          </w:tcPr>
          <w:p ns2:paraId="67602804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Training records</w:t>
            </w:r>
          </w:p>
        </w:tc>
        <w:tc>
          <w:tcPr>
            <w:tcW w:w="536" w:type="pct"/>
          </w:tcPr>
          <w:p ns2:paraId="7FF120D1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Amber</w:t>
            </w:r>
          </w:p>
        </w:tc>
        <w:tc>
          <w:tcPr>
            <w:tcW w:w="1400" w:type="pct"/>
          </w:tcPr>
          <w:p ns2:paraId="6EEC0481" ns2:textId="0D909D59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Training completion not specified</w:t>
            </w:r>
          </w:p>
        </w:tc>
        <w:tc>
          <w:tcPr>
            <w:tcW w:w="501" w:type="pct"/>
          </w:tcPr>
          <w:p ns2:paraId="6F75CE02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Obtain training-platform report</w:t>
            </w:r>
          </w:p>
        </w:tc>
        <w:tc>
          <w:tcPr>
            <w:tcW w:w="501" w:type="pct"/>
          </w:tcPr>
          <w:p ns2:paraId="156D1A64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5DA9381E" ns2:textId="77777777" w:rsidTr="008D2BD9">
        <w:trPr>
          <w:trHeight w:val="1610"/>
        </w:trPr>
        <w:tc>
          <w:tcPr>
            <w:tcW w:w="418" w:type="pct"/>
          </w:tcPr>
          <w:p ns2:paraId="55886813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lastRenderedPageBreak/>
              <w:t>b. GDPR Training</w:t>
            </w:r>
          </w:p>
        </w:tc>
        <w:tc>
          <w:tcPr>
            <w:tcW w:w="459" w:type="pct"/>
          </w:tcPr>
          <w:p ns2:paraId="6D0D8D05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staff assigned GDPR training (starting Q1 2025).</w:t>
            </w:r>
          </w:p>
        </w:tc>
        <w:tc>
          <w:tcPr>
            <w:tcW w:w="306" w:type="pct"/>
          </w:tcPr>
          <w:p ns2:paraId="3BE7FD24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497" w:type="pct"/>
          </w:tcPr>
          <w:p ns2:paraId="4DE71F86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82" w:type="pct"/>
          </w:tcPr>
          <w:p ns2:paraId="36B14287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Training platform</w:t>
            </w:r>
          </w:p>
        </w:tc>
        <w:tc>
          <w:tcPr>
            <w:tcW w:w="536" w:type="pct"/>
          </w:tcPr>
          <w:p ns2:paraId="65DF7E07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Amber</w:t>
            </w:r>
          </w:p>
        </w:tc>
        <w:tc>
          <w:tcPr>
            <w:tcW w:w="1400" w:type="pct"/>
          </w:tcPr>
          <w:p ns2:paraId="49520FA2" ns2:textId="6084E8AF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Training completion not specified</w:t>
            </w:r>
          </w:p>
        </w:tc>
        <w:tc>
          <w:tcPr>
            <w:tcW w:w="501" w:type="pct"/>
          </w:tcPr>
          <w:p ns2:paraId="6C2E847A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Confirm applicable training requirements</w:t>
            </w:r>
          </w:p>
        </w:tc>
        <w:tc>
          <w:tcPr>
            <w:tcW w:w="501" w:type="pct"/>
          </w:tcPr>
          <w:p ns2:paraId="4F9D393A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652CD000" ns2:textId="77777777" w:rsidTr="008D2BD9">
        <w:trPr>
          <w:trHeight w:val="1340"/>
        </w:trPr>
        <w:tc>
          <w:tcPr>
            <w:tcW w:w="418" w:type="pct"/>
          </w:tcPr>
          <w:p ns2:paraId="3FDAACC4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c. Contractor NDAs</w:t>
            </w:r>
          </w:p>
        </w:tc>
        <w:tc>
          <w:tcPr>
            <w:tcW w:w="459" w:type="pct"/>
          </w:tcPr>
          <w:p ns2:paraId="4322BB30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contractors who have signed NDAs.</w:t>
            </w:r>
          </w:p>
        </w:tc>
        <w:tc>
          <w:tcPr>
            <w:tcW w:w="306" w:type="pct"/>
          </w:tcPr>
          <w:p ns2:paraId="2673EE11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497" w:type="pct"/>
          </w:tcPr>
          <w:p ns2:paraId="4880BC8B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82" w:type="pct"/>
          </w:tcPr>
          <w:p ns2:paraId="0DCE0D72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Legal/HR records</w:t>
            </w:r>
          </w:p>
        </w:tc>
        <w:tc>
          <w:tcPr>
            <w:tcW w:w="536" w:type="pct"/>
          </w:tcPr>
          <w:p ns2:paraId="01D9AE97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Amber</w:t>
            </w:r>
          </w:p>
        </w:tc>
        <w:tc>
          <w:tcPr>
            <w:tcW w:w="1400" w:type="pct"/>
          </w:tcPr>
          <w:p ns2:paraId="34E685F0" ns2:textId="49F2C76E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NDA completion not specified</w:t>
            </w:r>
          </w:p>
        </w:tc>
        <w:tc>
          <w:tcPr>
            <w:tcW w:w="501" w:type="pct"/>
          </w:tcPr>
          <w:p ns2:paraId="0AAD1285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Confirm contractor records</w:t>
            </w:r>
          </w:p>
        </w:tc>
        <w:tc>
          <w:tcPr>
            <w:tcW w:w="501" w:type="pct"/>
          </w:tcPr>
          <w:p ns2:paraId="2CAC32FD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40444EB5" ns2:textId="77777777" w:rsidTr="008D2BD9">
        <w:trPr>
          <w:trHeight w:val="1610"/>
        </w:trPr>
        <w:tc>
          <w:tcPr>
            <w:tcW w:w="418" w:type="pct"/>
          </w:tcPr>
          <w:p ns2:paraId="033483C5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Statement of Applicability Review</w:t>
            </w:r>
          </w:p>
        </w:tc>
        <w:tc>
          <w:tcPr>
            <w:tcW w:w="459" w:type="pct"/>
          </w:tcPr>
          <w:p ns2:paraId="10AFC209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controls reviewed in the Statement of Applicability annually.</w:t>
            </w:r>
          </w:p>
        </w:tc>
        <w:tc>
          <w:tcPr>
            <w:tcW w:w="306" w:type="pct"/>
          </w:tcPr>
          <w:p ns2:paraId="41B37FDB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497" w:type="pct"/>
          </w:tcPr>
          <w:p ns2:paraId="1E3CC1F6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82" w:type="pct"/>
          </w:tcPr>
          <w:p ns2:paraId="1BE9C632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Documentation review logs</w:t>
            </w:r>
          </w:p>
        </w:tc>
        <w:tc>
          <w:tcPr>
            <w:tcW w:w="536" w:type="pct"/>
          </w:tcPr>
          <w:p ns2:paraId="31FA42B7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Amber</w:t>
            </w:r>
          </w:p>
        </w:tc>
        <w:tc>
          <w:tcPr>
            <w:tcW w:w="1400" w:type="pct"/>
          </w:tcPr>
          <w:p ns2:paraId="72653F1B" ns2:textId="170B925A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Annual SoA review status not specified</w:t>
            </w:r>
          </w:p>
        </w:tc>
        <w:tc>
          <w:tcPr>
            <w:tcW w:w="501" w:type="pct"/>
          </w:tcPr>
          <w:p ns2:paraId="3132F1EF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Complete annual review</w:t>
            </w:r>
          </w:p>
        </w:tc>
        <w:tc>
          <w:tcPr>
            <w:tcW w:w="501" w:type="pct"/>
          </w:tcPr>
          <w:p ns2:paraId="0A7832DF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418EE9F8" ns2:textId="77777777" w:rsidTr="008D2BD9">
        <w:trPr>
          <w:trHeight w:val="1610"/>
        </w:trPr>
        <w:tc>
          <w:tcPr>
            <w:tcW w:w="418" w:type="pct"/>
          </w:tcPr>
          <w:p ns2:paraId="178C4A5A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Information Security Incidents</w:t>
            </w:r>
          </w:p>
        </w:tc>
        <w:tc>
          <w:tcPr>
            <w:tcW w:w="459" w:type="pct"/>
          </w:tcPr>
          <w:p ns2:paraId="7C0D14F1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Number of information security incidents logged and their resolution status.</w:t>
            </w:r>
          </w:p>
        </w:tc>
        <w:tc>
          <w:tcPr>
            <w:tcW w:w="306" w:type="pct"/>
          </w:tcPr>
          <w:p ns2:paraId="1CE94EE0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Monthly/Quarterly</w:t>
            </w:r>
          </w:p>
        </w:tc>
        <w:tc>
          <w:tcPr>
            <w:tcW w:w="497" w:type="pct"/>
          </w:tcPr>
          <w:p ns2:paraId="3D839B73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Zero unresolved incidents</w:t>
            </w:r>
          </w:p>
        </w:tc>
        <w:tc>
          <w:tcPr>
            <w:tcW w:w="382" w:type="pct"/>
          </w:tcPr>
          <w:p ns2:paraId="7CEF6DD4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Incident management tool</w:t>
            </w:r>
          </w:p>
        </w:tc>
        <w:tc>
          <w:tcPr>
            <w:tcW w:w="536" w:type="pct"/>
          </w:tcPr>
          <w:p ns2:paraId="31E05541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Red</w:t>
            </w:r>
          </w:p>
        </w:tc>
        <w:tc>
          <w:tcPr>
            <w:tcW w:w="1400" w:type="pct"/>
          </w:tcPr>
          <w:p ns2:paraId="0855632B" ns2:textId="68DE43EA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Not Specified in Case Study</w:t>
            </w:r>
          </w:p>
        </w:tc>
        <w:tc>
          <w:tcPr>
            <w:tcW w:w="501" w:type="pct"/>
          </w:tcPr>
          <w:p ns2:paraId="4ECA138E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Improve detection, reporting and lessons learned</w:t>
            </w:r>
          </w:p>
        </w:tc>
        <w:tc>
          <w:tcPr>
            <w:tcW w:w="501" w:type="pct"/>
          </w:tcPr>
          <w:p ns2:paraId="395D0B7F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6C602F1C" ns2:textId="77777777" w:rsidTr="008D2BD9">
        <w:trPr>
          <w:trHeight w:val="1340"/>
        </w:trPr>
        <w:tc>
          <w:tcPr>
            <w:tcW w:w="418" w:type="pct"/>
          </w:tcPr>
          <w:p ns2:paraId="22B298FA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Incident Response</w:t>
            </w:r>
          </w:p>
        </w:tc>
        <w:tc>
          <w:tcPr>
            <w:tcW w:w="459" w:type="pct"/>
          </w:tcPr>
          <w:p ns2:paraId="38A3660B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Average resolution time for security incidents.</w:t>
            </w:r>
          </w:p>
        </w:tc>
        <w:tc>
          <w:tcPr>
            <w:tcW w:w="306" w:type="pct"/>
          </w:tcPr>
          <w:p ns2:paraId="6F8E88D0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Monthly/Quarterly</w:t>
            </w:r>
          </w:p>
        </w:tc>
        <w:tc>
          <w:tcPr>
            <w:tcW w:w="497" w:type="pct"/>
          </w:tcPr>
          <w:p ns2:paraId="4A238514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Within defined SLAs</w:t>
            </w:r>
          </w:p>
        </w:tc>
        <w:tc>
          <w:tcPr>
            <w:tcW w:w="382" w:type="pct"/>
          </w:tcPr>
          <w:p ns2:paraId="4FB5314C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Incident management tool</w:t>
            </w:r>
          </w:p>
        </w:tc>
        <w:tc>
          <w:tcPr>
            <w:tcW w:w="536" w:type="pct"/>
          </w:tcPr>
          <w:p ns2:paraId="7EA996EE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Amber</w:t>
            </w:r>
          </w:p>
        </w:tc>
        <w:tc>
          <w:tcPr>
            <w:tcW w:w="1400" w:type="pct"/>
          </w:tcPr>
          <w:p ns2:paraId="75311310" ns2:textId="06337203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Resolution-time baseline not specified</w:t>
            </w:r>
          </w:p>
        </w:tc>
        <w:tc>
          <w:tcPr>
            <w:tcW w:w="501" w:type="pct"/>
          </w:tcPr>
          <w:p ns2:paraId="76B54093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Define incident SLAs</w:t>
            </w:r>
          </w:p>
        </w:tc>
        <w:tc>
          <w:tcPr>
            <w:tcW w:w="501" w:type="pct"/>
          </w:tcPr>
          <w:p ns2:paraId="227B39AC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7FC0EBBE" ns2:textId="77777777" w:rsidTr="008D2BD9">
        <w:trPr>
          <w:trHeight w:val="1340"/>
        </w:trPr>
        <w:tc>
          <w:tcPr>
            <w:tcW w:w="418" w:type="pct"/>
          </w:tcPr>
          <w:p ns2:paraId="40FC24C8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Access Control Audits</w:t>
            </w:r>
          </w:p>
        </w:tc>
        <w:tc>
          <w:tcPr>
            <w:tcW w:w="459" w:type="pct"/>
          </w:tcPr>
          <w:p ns2:paraId="241BDDCE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access rights reviewed (logical/physical).</w:t>
            </w:r>
          </w:p>
        </w:tc>
        <w:tc>
          <w:tcPr>
            <w:tcW w:w="306" w:type="pct"/>
          </w:tcPr>
          <w:p ns2:paraId="5C18F6CF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497" w:type="pct"/>
          </w:tcPr>
          <w:p ns2:paraId="44C14E46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 of identified access areas</w:t>
            </w:r>
          </w:p>
        </w:tc>
        <w:tc>
          <w:tcPr>
            <w:tcW w:w="382" w:type="pct"/>
          </w:tcPr>
          <w:p ns2:paraId="46E49C8F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Access control logs/audit reports</w:t>
            </w:r>
          </w:p>
        </w:tc>
        <w:tc>
          <w:tcPr>
            <w:tcW w:w="536" w:type="pct"/>
          </w:tcPr>
          <w:p ns2:paraId="47424481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Red</w:t>
            </w:r>
          </w:p>
        </w:tc>
        <w:tc>
          <w:tcPr>
            <w:tcW w:w="1400" w:type="pct"/>
          </w:tcPr>
          <w:p ns2:paraId="4B56FE94" ns2:textId="4B10315B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Inherited HR-folder access was identified</w:t>
            </w:r>
          </w:p>
        </w:tc>
        <w:tc>
          <w:tcPr>
            <w:tcW w:w="501" w:type="pct"/>
          </w:tcPr>
          <w:p ns2:paraId="63714B6E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Complete access review and remove excess rights</w:t>
            </w:r>
          </w:p>
        </w:tc>
        <w:tc>
          <w:tcPr>
            <w:tcW w:w="501" w:type="pct"/>
          </w:tcPr>
          <w:p ns2:paraId="0C67A8BC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3080127A" ns2:textId="77777777" w:rsidTr="008D2BD9">
        <w:trPr>
          <w:trHeight w:val="1610"/>
        </w:trPr>
        <w:tc>
          <w:tcPr>
            <w:tcW w:w="418" w:type="pct"/>
          </w:tcPr>
          <w:p ns2:paraId="2720C1C0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lastRenderedPageBreak/>
              <w:t>Internal Audit Results</w:t>
            </w:r>
          </w:p>
        </w:tc>
        <w:tc>
          <w:tcPr>
            <w:tcW w:w="459" w:type="pct"/>
          </w:tcPr>
          <w:p ns2:paraId="2EB5A19E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Number and severity of findings from internal ISMS audits.</w:t>
            </w:r>
          </w:p>
        </w:tc>
        <w:tc>
          <w:tcPr>
            <w:tcW w:w="306" w:type="pct"/>
          </w:tcPr>
          <w:p ns2:paraId="0905ED17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497" w:type="pct"/>
          </w:tcPr>
          <w:p ns2:paraId="436531CB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No major findings; reduced minor issues</w:t>
            </w:r>
          </w:p>
        </w:tc>
        <w:tc>
          <w:tcPr>
            <w:tcW w:w="382" w:type="pct"/>
          </w:tcPr>
          <w:p ns2:paraId="1C34198E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Internal audit records</w:t>
            </w:r>
          </w:p>
        </w:tc>
        <w:tc>
          <w:tcPr>
            <w:tcW w:w="536" w:type="pct"/>
          </w:tcPr>
          <w:p ns2:paraId="563B9855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Red</w:t>
            </w:r>
          </w:p>
        </w:tc>
        <w:tc>
          <w:tcPr>
            <w:tcW w:w="1400" w:type="pct"/>
          </w:tcPr>
          <w:p ns2:paraId="15C52A24" ns2:textId="544AD789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Internal-audit findings include one major and multiple minor issues</w:t>
            </w:r>
          </w:p>
        </w:tc>
        <w:tc>
          <w:tcPr>
            <w:tcW w:w="501" w:type="pct"/>
          </w:tcPr>
          <w:p ns2:paraId="47EE5A7B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Close corrective actions</w:t>
            </w:r>
          </w:p>
        </w:tc>
        <w:tc>
          <w:tcPr>
            <w:tcW w:w="501" w:type="pct"/>
          </w:tcPr>
          <w:p ns2:paraId="1E11EB64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5DDC028E" ns2:textId="77777777" w:rsidTr="008D2BD9">
        <w:trPr>
          <w:trHeight w:val="1880"/>
        </w:trPr>
        <w:tc>
          <w:tcPr>
            <w:tcW w:w="418" w:type="pct"/>
          </w:tcPr>
          <w:p ns2:paraId="3C51A02C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Management Review Effectiveness</w:t>
            </w:r>
          </w:p>
        </w:tc>
        <w:tc>
          <w:tcPr>
            <w:tcW w:w="459" w:type="pct"/>
          </w:tcPr>
          <w:p ns2:paraId="227A8743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Evidence of completed management reviews and follow-up actions.</w:t>
            </w:r>
          </w:p>
        </w:tc>
        <w:tc>
          <w:tcPr>
            <w:tcW w:w="306" w:type="pct"/>
          </w:tcPr>
          <w:p ns2:paraId="51A3CF8F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497" w:type="pct"/>
          </w:tcPr>
          <w:p ns2:paraId="145E7FF6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 annually</w:t>
            </w:r>
          </w:p>
        </w:tc>
        <w:tc>
          <w:tcPr>
            <w:tcW w:w="382" w:type="pct"/>
          </w:tcPr>
          <w:p ns2:paraId="085FC023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Management review minutes</w:t>
            </w:r>
          </w:p>
        </w:tc>
        <w:tc>
          <w:tcPr>
            <w:tcW w:w="536" w:type="pct"/>
          </w:tcPr>
          <w:p ns2:paraId="5BB19AE7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Amber</w:t>
            </w:r>
          </w:p>
        </w:tc>
        <w:tc>
          <w:tcPr>
            <w:tcW w:w="1400" w:type="pct"/>
          </w:tcPr>
          <w:p ns2:paraId="5C5AA1EE" ns2:textId="474FCE7E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Management-review evidence not specified</w:t>
            </w:r>
          </w:p>
        </w:tc>
        <w:tc>
          <w:tcPr>
            <w:tcW w:w="501" w:type="pct"/>
          </w:tcPr>
          <w:p ns2:paraId="1C030F8A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Schedule formal management review</w:t>
            </w:r>
          </w:p>
        </w:tc>
        <w:tc>
          <w:tcPr>
            <w:tcW w:w="501" w:type="pct"/>
          </w:tcPr>
          <w:p ns2:paraId="3C77E013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16E9C4D7" ns2:textId="77777777" w:rsidTr="008D2BD9">
        <w:trPr>
          <w:trHeight w:val="785"/>
        </w:trPr>
        <w:tc>
          <w:tcPr>
            <w:tcW w:w="418" w:type="pct"/>
          </w:tcPr>
          <w:p ns2:paraId="5C5AF0A1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Risk Management</w:t>
            </w:r>
          </w:p>
        </w:tc>
        <w:tc>
          <w:tcPr>
            <w:tcW w:w="459" w:type="pct"/>
          </w:tcPr>
          <w:p ns2:paraId="27CE31AC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06" w:type="pct"/>
          </w:tcPr>
          <w:p ns2:paraId="2C545D84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497" w:type="pct"/>
          </w:tcPr>
          <w:p ns2:paraId="3B94561D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82" w:type="pct"/>
          </w:tcPr>
          <w:p ns2:paraId="44B8631D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536" w:type="pct"/>
          </w:tcPr>
          <w:p ns2:paraId="0BFF1497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400" w:type="pct"/>
          </w:tcPr>
          <w:p ns2:paraId="70BF1B6F" ns2:textId="479075AC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501" w:type="pct"/>
          </w:tcPr>
          <w:p ns2:paraId="6E8C7199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501" w:type="pct"/>
          </w:tcPr>
          <w:p ns2:paraId="1CEEF997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8D2BD9" w:rsidRPr="008D2BD9" ns2:paraId="59B32EA7" ns2:textId="77777777" w:rsidTr="008D2BD9">
        <w:trPr>
          <w:trHeight w:val="1340"/>
        </w:trPr>
        <w:tc>
          <w:tcPr>
            <w:tcW w:w="418" w:type="pct"/>
          </w:tcPr>
          <w:p ns2:paraId="21311B50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a. Identified Risks</w:t>
            </w:r>
          </w:p>
        </w:tc>
        <w:tc>
          <w:tcPr>
            <w:tcW w:w="459" w:type="pct"/>
          </w:tcPr>
          <w:p ns2:paraId="73F1902B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Number of risks identified during the reporting period.</w:t>
            </w:r>
          </w:p>
        </w:tc>
        <w:tc>
          <w:tcPr>
            <w:tcW w:w="306" w:type="pct"/>
          </w:tcPr>
          <w:p ns2:paraId="1534C619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497" w:type="pct"/>
          </w:tcPr>
          <w:p ns2:paraId="24A065F4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N/A – Reporting metric</w:t>
            </w:r>
          </w:p>
        </w:tc>
        <w:tc>
          <w:tcPr>
            <w:tcW w:w="382" w:type="pct"/>
          </w:tcPr>
          <w:p ns2:paraId="3874164F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Risk log</w:t>
            </w:r>
          </w:p>
        </w:tc>
        <w:tc>
          <w:tcPr>
            <w:tcW w:w="536" w:type="pct"/>
          </w:tcPr>
          <w:p ns2:paraId="5DEAACA1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Amber</w:t>
            </w:r>
          </w:p>
        </w:tc>
        <w:tc>
          <w:tcPr>
            <w:tcW w:w="1400" w:type="pct"/>
          </w:tcPr>
          <w:p ns2:paraId="5888B847" ns2:textId="53C594CF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Risk register count not specified</w:t>
            </w:r>
          </w:p>
        </w:tc>
        <w:tc>
          <w:tcPr>
            <w:tcW w:w="501" w:type="pct"/>
          </w:tcPr>
          <w:p ns2:paraId="101264FF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Maintain risk register</w:t>
            </w:r>
          </w:p>
        </w:tc>
        <w:tc>
          <w:tcPr>
            <w:tcW w:w="501" w:type="pct"/>
          </w:tcPr>
          <w:p ns2:paraId="2CB93F03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7D3377CD" ns2:textId="77777777" w:rsidTr="008D2BD9">
        <w:trPr>
          <w:trHeight w:val="1610"/>
        </w:trPr>
        <w:tc>
          <w:tcPr>
            <w:tcW w:w="418" w:type="pct"/>
          </w:tcPr>
          <w:p ns2:paraId="4A11B155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b. Mitigated Risks</w:t>
            </w:r>
          </w:p>
        </w:tc>
        <w:tc>
          <w:tcPr>
            <w:tcW w:w="459" w:type="pct"/>
          </w:tcPr>
          <w:p ns2:paraId="23CCDC9A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identified risks mitigated within defined timeframes.</w:t>
            </w:r>
          </w:p>
        </w:tc>
        <w:tc>
          <w:tcPr>
            <w:tcW w:w="306" w:type="pct"/>
          </w:tcPr>
          <w:p ns2:paraId="0537C7CE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497" w:type="pct"/>
          </w:tcPr>
          <w:p ns2:paraId="47F8E4BB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 of critical/high risks mitigated</w:t>
            </w:r>
          </w:p>
        </w:tc>
        <w:tc>
          <w:tcPr>
            <w:tcW w:w="382" w:type="pct"/>
          </w:tcPr>
          <w:p ns2:paraId="326BAAEF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Risk log</w:t>
            </w:r>
          </w:p>
        </w:tc>
        <w:tc>
          <w:tcPr>
            <w:tcW w:w="536" w:type="pct"/>
          </w:tcPr>
          <w:p ns2:paraId="4717E3BB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Red</w:t>
            </w:r>
          </w:p>
        </w:tc>
        <w:tc>
          <w:tcPr>
            <w:tcW w:w="1400" w:type="pct"/>
          </w:tcPr>
          <w:p ns2:paraId="678953DC" ns2:textId="0EED77C1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One high-risk mobile vulnerability and most medium vulnerabilities remain unresolved</w:t>
            </w:r>
          </w:p>
        </w:tc>
        <w:tc>
          <w:tcPr>
            <w:tcW w:w="501" w:type="pct"/>
          </w:tcPr>
          <w:p ns2:paraId="1A63123D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Remediate critical/high risks first</w:t>
            </w:r>
          </w:p>
        </w:tc>
        <w:tc>
          <w:tcPr>
            <w:tcW w:w="501" w:type="pct"/>
          </w:tcPr>
          <w:p ns2:paraId="65BF768A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7893D025" ns2:textId="77777777" w:rsidTr="008D2BD9">
        <w:trPr>
          <w:trHeight w:val="1340"/>
        </w:trPr>
        <w:tc>
          <w:tcPr>
            <w:tcW w:w="418" w:type="pct"/>
          </w:tcPr>
          <w:p ns2:paraId="3A87F45A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c. Accepted Risks</w:t>
            </w:r>
          </w:p>
        </w:tc>
        <w:tc>
          <w:tcPr>
            <w:tcW w:w="459" w:type="pct"/>
          </w:tcPr>
          <w:p ns2:paraId="0CB5E45C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risks formally accepted by management.</w:t>
            </w:r>
          </w:p>
        </w:tc>
        <w:tc>
          <w:tcPr>
            <w:tcW w:w="306" w:type="pct"/>
          </w:tcPr>
          <w:p ns2:paraId="390651B9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497" w:type="pct"/>
          </w:tcPr>
          <w:p ns2:paraId="4279F7CE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N/A – Reporting metric</w:t>
            </w:r>
          </w:p>
        </w:tc>
        <w:tc>
          <w:tcPr>
            <w:tcW w:w="382" w:type="pct"/>
          </w:tcPr>
          <w:p ns2:paraId="5C246C41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Risk log</w:t>
            </w:r>
          </w:p>
        </w:tc>
        <w:tc>
          <w:tcPr>
            <w:tcW w:w="536" w:type="pct"/>
          </w:tcPr>
          <w:p ns2:paraId="5B281F18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Amber</w:t>
            </w:r>
          </w:p>
        </w:tc>
        <w:tc>
          <w:tcPr>
            <w:tcW w:w="1400" w:type="pct"/>
          </w:tcPr>
          <w:p ns2:paraId="7C59F252" ns2:textId="7A8854BF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Formal risk acceptance records not specified</w:t>
            </w:r>
          </w:p>
        </w:tc>
        <w:tc>
          <w:tcPr>
            <w:tcW w:w="501" w:type="pct"/>
          </w:tcPr>
          <w:p ns2:paraId="21B22588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Require management approval for acceptance</w:t>
            </w:r>
          </w:p>
        </w:tc>
        <w:tc>
          <w:tcPr>
            <w:tcW w:w="501" w:type="pct"/>
          </w:tcPr>
          <w:p ns2:paraId="4A56A20E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65E021C3" ns2:textId="77777777" w:rsidTr="008D2BD9">
        <w:trPr>
          <w:trHeight w:val="785"/>
        </w:trPr>
        <w:tc>
          <w:tcPr>
            <w:tcW w:w="418" w:type="pct"/>
          </w:tcPr>
          <w:p ns2:paraId="59A50C35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lastRenderedPageBreak/>
              <w:t>Change Management</w:t>
            </w:r>
          </w:p>
        </w:tc>
        <w:tc>
          <w:tcPr>
            <w:tcW w:w="459" w:type="pct"/>
          </w:tcPr>
          <w:p ns2:paraId="2BD23555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06" w:type="pct"/>
          </w:tcPr>
          <w:p ns2:paraId="3A54BCD2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497" w:type="pct"/>
          </w:tcPr>
          <w:p ns2:paraId="5FDC8DF1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82" w:type="pct"/>
          </w:tcPr>
          <w:p ns2:paraId="2B3E4599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536" w:type="pct"/>
          </w:tcPr>
          <w:p ns2:paraId="32CA07DD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400" w:type="pct"/>
          </w:tcPr>
          <w:p ns2:paraId="0F00B967" ns2:textId="2D3DB15D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501" w:type="pct"/>
          </w:tcPr>
          <w:p ns2:paraId="29D56E73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501" w:type="pct"/>
          </w:tcPr>
          <w:p ns2:paraId="7BFAF6EF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8D2BD9" w:rsidRPr="008D2BD9" ns2:paraId="4B1C2EBF" ns2:textId="77777777" w:rsidTr="008D2BD9">
        <w:trPr>
          <w:trHeight w:val="1880"/>
        </w:trPr>
        <w:tc>
          <w:tcPr>
            <w:tcW w:w="418" w:type="pct"/>
          </w:tcPr>
          <w:p ns2:paraId="627C2841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a. Change Approval Compliance</w:t>
            </w:r>
          </w:p>
        </w:tc>
        <w:tc>
          <w:tcPr>
            <w:tcW w:w="459" w:type="pct"/>
          </w:tcPr>
          <w:p ns2:paraId="50212D77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changes that followed the change management process.</w:t>
            </w:r>
          </w:p>
        </w:tc>
        <w:tc>
          <w:tcPr>
            <w:tcW w:w="306" w:type="pct"/>
          </w:tcPr>
          <w:p ns2:paraId="23D9FEA1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Monthly/Quarterly</w:t>
            </w:r>
          </w:p>
        </w:tc>
        <w:tc>
          <w:tcPr>
            <w:tcW w:w="497" w:type="pct"/>
          </w:tcPr>
          <w:p ns2:paraId="7D0A3C81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 compliance</w:t>
            </w:r>
          </w:p>
        </w:tc>
        <w:tc>
          <w:tcPr>
            <w:tcW w:w="382" w:type="pct"/>
          </w:tcPr>
          <w:p ns2:paraId="0CC00EC9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Change management logs</w:t>
            </w:r>
          </w:p>
        </w:tc>
        <w:tc>
          <w:tcPr>
            <w:tcW w:w="536" w:type="pct"/>
          </w:tcPr>
          <w:p ns2:paraId="0E64F40B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Red</w:t>
            </w:r>
          </w:p>
        </w:tc>
        <w:tc>
          <w:tcPr>
            <w:tcW w:w="1400" w:type="pct"/>
          </w:tcPr>
          <w:p ns2:paraId="3F03FA7A" ns2:textId="0B9C834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Critical firewall change lacked peer review</w:t>
            </w:r>
          </w:p>
        </w:tc>
        <w:tc>
          <w:tcPr>
            <w:tcW w:w="501" w:type="pct"/>
          </w:tcPr>
          <w:p ns2:paraId="16AD02C6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Enforce change-management compliance</w:t>
            </w:r>
          </w:p>
        </w:tc>
        <w:tc>
          <w:tcPr>
            <w:tcW w:w="501" w:type="pct"/>
          </w:tcPr>
          <w:p ns2:paraId="0650215A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249E4925" ns2:textId="77777777" w:rsidTr="008D2BD9">
        <w:trPr>
          <w:trHeight w:val="1055"/>
        </w:trPr>
        <w:tc>
          <w:tcPr>
            <w:tcW w:w="418" w:type="pct"/>
          </w:tcPr>
          <w:p ns2:paraId="133A1FF2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b. Unauthorized Changes</w:t>
            </w:r>
          </w:p>
        </w:tc>
        <w:tc>
          <w:tcPr>
            <w:tcW w:w="459" w:type="pct"/>
          </w:tcPr>
          <w:p ns2:paraId="37E83020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Number of unauthorized changes detected.</w:t>
            </w:r>
          </w:p>
        </w:tc>
        <w:tc>
          <w:tcPr>
            <w:tcW w:w="306" w:type="pct"/>
          </w:tcPr>
          <w:p ns2:paraId="618B11B7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Monthly/Quarterly</w:t>
            </w:r>
          </w:p>
        </w:tc>
        <w:tc>
          <w:tcPr>
            <w:tcW w:w="497" w:type="pct"/>
          </w:tcPr>
          <w:p ns2:paraId="2F338E5F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Zero</w:t>
            </w:r>
          </w:p>
        </w:tc>
        <w:tc>
          <w:tcPr>
            <w:tcW w:w="382" w:type="pct"/>
          </w:tcPr>
          <w:p ns2:paraId="67E993C6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Change management logs</w:t>
            </w:r>
          </w:p>
        </w:tc>
        <w:tc>
          <w:tcPr>
            <w:tcW w:w="536" w:type="pct"/>
          </w:tcPr>
          <w:p ns2:paraId="70A56BA1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Red</w:t>
            </w:r>
          </w:p>
        </w:tc>
        <w:tc>
          <w:tcPr>
            <w:tcW w:w="1400" w:type="pct"/>
          </w:tcPr>
          <w:p ns2:paraId="06D6F4CA" ns2:textId="51F2F4C8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One unauthorised/unsafe change caused a three-hour outage</w:t>
            </w:r>
          </w:p>
        </w:tc>
        <w:tc>
          <w:tcPr>
            <w:tcW w:w="501" w:type="pct"/>
          </w:tcPr>
          <w:p ns2:paraId="7F79A566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Monitor and report unauthorised changes</w:t>
            </w:r>
          </w:p>
        </w:tc>
        <w:tc>
          <w:tcPr>
            <w:tcW w:w="501" w:type="pct"/>
          </w:tcPr>
          <w:p ns2:paraId="78CB26D9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6171830B" ns2:textId="77777777" w:rsidTr="008D2BD9">
        <w:trPr>
          <w:trHeight w:val="1880"/>
        </w:trPr>
        <w:tc>
          <w:tcPr>
            <w:tcW w:w="418" w:type="pct"/>
          </w:tcPr>
          <w:p ns2:paraId="6768E316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BC/DR Testing</w:t>
            </w:r>
          </w:p>
        </w:tc>
        <w:tc>
          <w:tcPr>
            <w:tcW w:w="459" w:type="pct"/>
          </w:tcPr>
          <w:p ns2:paraId="3DDCAA3E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Number and results of business continuity and disaster recovery tests.</w:t>
            </w:r>
          </w:p>
        </w:tc>
        <w:tc>
          <w:tcPr>
            <w:tcW w:w="306" w:type="pct"/>
          </w:tcPr>
          <w:p ns2:paraId="557BF1E7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497" w:type="pct"/>
          </w:tcPr>
          <w:p ns2:paraId="0EFBFB8B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At least one test completed</w:t>
            </w:r>
          </w:p>
        </w:tc>
        <w:tc>
          <w:tcPr>
            <w:tcW w:w="382" w:type="pct"/>
          </w:tcPr>
          <w:p ns2:paraId="73EDC80D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BC/DR test records</w:t>
            </w:r>
          </w:p>
        </w:tc>
        <w:tc>
          <w:tcPr>
            <w:tcW w:w="536" w:type="pct"/>
          </w:tcPr>
          <w:p ns2:paraId="5E195F84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Amber</w:t>
            </w:r>
          </w:p>
        </w:tc>
        <w:tc>
          <w:tcPr>
            <w:tcW w:w="1400" w:type="pct"/>
          </w:tcPr>
          <w:p ns2:paraId="0420A2A6" ns2:textId="151EEA90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DR test results not specified</w:t>
            </w:r>
          </w:p>
        </w:tc>
        <w:tc>
          <w:tcPr>
            <w:tcW w:w="501" w:type="pct"/>
          </w:tcPr>
          <w:p ns2:paraId="730C5A99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Complete and document annual test</w:t>
            </w:r>
          </w:p>
        </w:tc>
        <w:tc>
          <w:tcPr>
            <w:tcW w:w="501" w:type="pct"/>
          </w:tcPr>
          <w:p ns2:paraId="3BFC8470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34C650FD" ns2:textId="77777777" w:rsidTr="008D2BD9">
        <w:trPr>
          <w:trHeight w:val="1340"/>
        </w:trPr>
        <w:tc>
          <w:tcPr>
            <w:tcW w:w="418" w:type="pct"/>
          </w:tcPr>
          <w:p ns2:paraId="5ABD2C57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Asset Inventory Accuracy</w:t>
            </w:r>
          </w:p>
        </w:tc>
        <w:tc>
          <w:tcPr>
            <w:tcW w:w="459" w:type="pct"/>
          </w:tcPr>
          <w:p ns2:paraId="265ADC4D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IT assets classified and assigned an owner.</w:t>
            </w:r>
          </w:p>
        </w:tc>
        <w:tc>
          <w:tcPr>
            <w:tcW w:w="306" w:type="pct"/>
          </w:tcPr>
          <w:p ns2:paraId="06C22F85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497" w:type="pct"/>
          </w:tcPr>
          <w:p ns2:paraId="62A5C7F9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 of scoped assets</w:t>
            </w:r>
          </w:p>
        </w:tc>
        <w:tc>
          <w:tcPr>
            <w:tcW w:w="382" w:type="pct"/>
          </w:tcPr>
          <w:p ns2:paraId="0CF58050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Asset management system/logs</w:t>
            </w:r>
          </w:p>
        </w:tc>
        <w:tc>
          <w:tcPr>
            <w:tcW w:w="536" w:type="pct"/>
          </w:tcPr>
          <w:p ns2:paraId="4EA392C4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Amber</w:t>
            </w:r>
          </w:p>
        </w:tc>
        <w:tc>
          <w:tcPr>
            <w:tcW w:w="1400" w:type="pct"/>
          </w:tcPr>
          <w:p ns2:paraId="41484345" ns2:textId="0E72368E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Asset classification baseline not specified</w:t>
            </w:r>
          </w:p>
        </w:tc>
        <w:tc>
          <w:tcPr>
            <w:tcW w:w="501" w:type="pct"/>
          </w:tcPr>
          <w:p ns2:paraId="0C498F7A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Complete asset inventory and ownership</w:t>
            </w:r>
          </w:p>
        </w:tc>
        <w:tc>
          <w:tcPr>
            <w:tcW w:w="501" w:type="pct"/>
          </w:tcPr>
          <w:p ns2:paraId="7D11F3E3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66275085" ns2:textId="77777777" w:rsidTr="008D2BD9">
        <w:trPr>
          <w:trHeight w:val="1610"/>
        </w:trPr>
        <w:tc>
          <w:tcPr>
            <w:tcW w:w="418" w:type="pct"/>
          </w:tcPr>
          <w:p ns2:paraId="371DC7C3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Vulnerability Remediation</w:t>
            </w:r>
          </w:p>
        </w:tc>
        <w:tc>
          <w:tcPr>
            <w:tcW w:w="459" w:type="pct"/>
          </w:tcPr>
          <w:p ns2:paraId="0C85531E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identified vulnerabilities resolved within SLA.</w:t>
            </w:r>
          </w:p>
        </w:tc>
        <w:tc>
          <w:tcPr>
            <w:tcW w:w="306" w:type="pct"/>
          </w:tcPr>
          <w:p ns2:paraId="71D2601D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Monthly/Quarterly</w:t>
            </w:r>
          </w:p>
        </w:tc>
        <w:tc>
          <w:tcPr>
            <w:tcW w:w="497" w:type="pct"/>
          </w:tcPr>
          <w:p ns2:paraId="2EBE3DE9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 of critical vulnerabilities</w:t>
            </w:r>
          </w:p>
        </w:tc>
        <w:tc>
          <w:tcPr>
            <w:tcW w:w="382" w:type="pct"/>
          </w:tcPr>
          <w:p ns2:paraId="5359D368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Vulnerability scan reports</w:t>
            </w:r>
          </w:p>
        </w:tc>
        <w:tc>
          <w:tcPr>
            <w:tcW w:w="536" w:type="pct"/>
          </w:tcPr>
          <w:p ns2:paraId="301DCB9F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Red</w:t>
            </w:r>
          </w:p>
        </w:tc>
        <w:tc>
          <w:tcPr>
            <w:tcW w:w="1400" w:type="pct"/>
          </w:tcPr>
          <w:p ns2:paraId="38102CBA" ns2:textId="74425758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One of three high-risk mobile vulnerabilities remains unresolved</w:t>
            </w:r>
          </w:p>
        </w:tc>
        <w:tc>
          <w:tcPr>
            <w:tcW w:w="501" w:type="pct"/>
          </w:tcPr>
          <w:p ns2:paraId="5F909D48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Track remediation to SLA</w:t>
            </w:r>
          </w:p>
        </w:tc>
        <w:tc>
          <w:tcPr>
            <w:tcW w:w="501" w:type="pct"/>
          </w:tcPr>
          <w:p ns2:paraId="49EEB876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0B823455" ns2:textId="77777777" w:rsidTr="008D2BD9">
        <w:trPr>
          <w:trHeight w:val="1610"/>
        </w:trPr>
        <w:tc>
          <w:tcPr>
            <w:tcW w:w="418" w:type="pct"/>
          </w:tcPr>
          <w:p ns2:paraId="0D48ED5D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lastRenderedPageBreak/>
              <w:t>Documentation Review Compliance</w:t>
            </w:r>
          </w:p>
        </w:tc>
        <w:tc>
          <w:tcPr>
            <w:tcW w:w="459" w:type="pct"/>
          </w:tcPr>
          <w:p ns2:paraId="41C6C39B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ISMS documents reviewed and updated per schedule.</w:t>
            </w:r>
          </w:p>
        </w:tc>
        <w:tc>
          <w:tcPr>
            <w:tcW w:w="306" w:type="pct"/>
          </w:tcPr>
          <w:p ns2:paraId="014ADB58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497" w:type="pct"/>
          </w:tcPr>
          <w:p ns2:paraId="2FCD5DC4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 reviewed</w:t>
            </w:r>
          </w:p>
        </w:tc>
        <w:tc>
          <w:tcPr>
            <w:tcW w:w="382" w:type="pct"/>
          </w:tcPr>
          <w:p ns2:paraId="7492F4C7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Documentation review logs</w:t>
            </w:r>
          </w:p>
        </w:tc>
        <w:tc>
          <w:tcPr>
            <w:tcW w:w="536" w:type="pct"/>
          </w:tcPr>
          <w:p ns2:paraId="23B5E9A3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Amber</w:t>
            </w:r>
          </w:p>
        </w:tc>
        <w:tc>
          <w:tcPr>
            <w:tcW w:w="1400" w:type="pct"/>
          </w:tcPr>
          <w:p ns2:paraId="44C5740F" ns2:textId="021967F6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Document review completion not specified</w:t>
            </w:r>
          </w:p>
        </w:tc>
        <w:tc>
          <w:tcPr>
            <w:tcW w:w="501" w:type="pct"/>
          </w:tcPr>
          <w:p ns2:paraId="66024C1F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Maintain review schedule</w:t>
            </w:r>
          </w:p>
        </w:tc>
        <w:tc>
          <w:tcPr>
            <w:tcW w:w="501" w:type="pct"/>
          </w:tcPr>
          <w:p ns2:paraId="012F37F4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  <w:tr w:rsidR="008D2BD9" w:rsidRPr="008D2BD9" ns2:paraId="768E8D3E" ns2:textId="77777777" w:rsidTr="008D2BD9">
        <w:trPr>
          <w:trHeight w:val="1880"/>
        </w:trPr>
        <w:tc>
          <w:tcPr>
            <w:tcW w:w="418" w:type="pct"/>
          </w:tcPr>
          <w:p ns2:paraId="1D1E4632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Access Deactivation Compliance</w:t>
            </w:r>
          </w:p>
        </w:tc>
        <w:tc>
          <w:tcPr>
            <w:tcW w:w="459" w:type="pct"/>
          </w:tcPr>
          <w:p ns2:paraId="2D77BCAD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terminated personnel with access deactivated within SLA.</w:t>
            </w:r>
          </w:p>
        </w:tc>
        <w:tc>
          <w:tcPr>
            <w:tcW w:w="306" w:type="pct"/>
          </w:tcPr>
          <w:p ns2:paraId="658E0622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Monthly/Quarterly</w:t>
            </w:r>
          </w:p>
        </w:tc>
        <w:tc>
          <w:tcPr>
            <w:tcW w:w="497" w:type="pct"/>
          </w:tcPr>
          <w:p ns2:paraId="148E4146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 within 24 hours</w:t>
            </w:r>
          </w:p>
        </w:tc>
        <w:tc>
          <w:tcPr>
            <w:tcW w:w="382" w:type="pct"/>
          </w:tcPr>
          <w:p ns2:paraId="306AE06A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Access control logs</w:t>
            </w:r>
          </w:p>
        </w:tc>
        <w:tc>
          <w:tcPr>
            <w:tcW w:w="536" w:type="pct"/>
          </w:tcPr>
          <w:p ns2:paraId="2BF7550A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Amber</w:t>
            </w:r>
          </w:p>
        </w:tc>
        <w:tc>
          <w:tcPr>
            <w:tcW w:w="1400" w:type="pct"/>
          </w:tcPr>
          <w:p ns2:paraId="0F300F03" ns2:textId="14D0DE92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Termination-access baseline not specified</w:t>
            </w:r>
          </w:p>
        </w:tc>
        <w:tc>
          <w:tcPr>
            <w:tcW w:w="501" w:type="pct"/>
          </w:tcPr>
          <w:p ns2:paraId="41BCAB06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Confirm HR/IT deprovisioning SLA</w:t>
            </w:r>
          </w:p>
        </w:tc>
        <w:tc>
          <w:tcPr>
            <w:tcW w:w="501" w:type="pct"/>
          </w:tcPr>
          <w:p ns2:paraId="7DF9E336" ns2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</w:tr>
    </w:tbl>
    <w:p ns2:paraId="55CD82D3" ns2:textId="77777777" w:rsidR="003D12FC" w:rsidRPr="008D2BD9" w:rsidRDefault="003D12FC">
      <w:pPr>
        <w:jc w:val="both"/>
        <w:rPr>
          <w:rFonts w:ascii="Aptos" w:hAnsi="Aptos"/>
        </w:rPr>
      </w:pPr>
    </w:p>
    <w:p>
      <w:r>
        <w:t>Digital Horizons Bank ISMS performance report</w:t>
      </w:r>
    </w:p>
    <w:p>
      <w:r>
        <w:t>Reporting period: current case baseline as at To Be Confirmed. The report uses available incident, vulnerability, phishing, availability and risk information. Where a baseline or target is not yet established, it is recorded as a measurement gap rather than invented performance.</w:t>
      </w:r>
    </w:p>
    <w:p>
      <w:r>
        <w:t>Key indicators: phishing simulation click rate 25%; credential submission 12%; reporting rate 8%; high mobile-app vulnerabilities 3 identified, 2 remediated and 1 open; online-banking medium vulnerabilities 7; internal-network medium vulnerabilities 5; low vulnerabilities 12; prior digital-banking outage 3 hours; certificate expiry exposure 4 hours; laptop incident reported after 48 hours.</w:t>
      </w:r>
    </w:p>
    <w:p>
      <w:r>
        <w:t>Performance conclusion: security awareness, vulnerability closure, monitoring, access governance and change control require improvement. Positive capabilities include a SOC, fraud detection that stopped the attempted SAR 150,000 transfer, central Syslog, quarterly external scanning, HA systems and a geographically separated DR site.</w:t>
      </w:r>
    </w:p>
    <w:p>
      <w:r>
        <w:t>Actions are measured against the seven ISMS objectives and reported quarterly to executive management and the Board as appropriate.</w:t>
      </w:r>
    </w:p>
    <w:sectPr w:rsidR="003D12FC" w:rsidRPr="008D2BD9">
      <w:pgSz w:w="16838" w:h="11906" w:orient="landscape"/>
      <w:pgMar w:top="1440" w:right="1440" w:bottom="1440" w:left="1440" w:header="708" w:footer="708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lan Parker" w:date="2026-03-01T17:48:00Z" w:initials="AP">
    <w:p w14:paraId="5D809E98" w14:textId="77777777" w:rsidR="008D2BD9" w:rsidRDefault="008D2BD9" w:rsidP="008D2BD9">
      <w:pPr>
        <w:pStyle w:val="CommentText"/>
      </w:pPr>
      <w:r>
        <w:rPr>
          <w:rStyle w:val="CommentReference"/>
        </w:rPr>
        <w:annotationRef/>
      </w:r>
      <w:r>
        <w:t>All values are simply examples, not mandatory measures. Adapt as necessary.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809E9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FCF9645" w16cex:dateUtc="2026-03-01T17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809E98" w16cid:durableId="7FCF964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18542" w14:textId="77777777" w:rsidR="004A23F8" w:rsidRDefault="004A23F8">
      <w:pPr>
        <w:spacing w:line="240" w:lineRule="auto"/>
      </w:pPr>
      <w:r>
        <w:separator/>
      </w:r>
    </w:p>
  </w:endnote>
  <w:endnote w:type="continuationSeparator" w:id="0">
    <w:p w14:paraId="340EF775" w14:textId="77777777" w:rsidR="004A23F8" w:rsidRDefault="004A23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8B467" w14:textId="77777777" w:rsidR="004A23F8" w:rsidRDefault="004A23F8">
      <w:pPr>
        <w:spacing w:line="240" w:lineRule="auto"/>
      </w:pPr>
      <w:r>
        <w:separator/>
      </w:r>
    </w:p>
  </w:footnote>
  <w:footnote w:type="continuationSeparator" w:id="0">
    <w:p w14:paraId="5D015161" w14:textId="77777777" w:rsidR="004A23F8" w:rsidRDefault="004A23F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93737"/>
    <w:multiLevelType w:val="hybridMultilevel"/>
    <w:tmpl w:val="4C7236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07860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an Parker">
    <w15:presenceInfo w15:providerId="AD" w15:userId="S::alan.parker@iseoblue.com::1fc92951-31a6-4fe1-85e4-058ff6690d9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YxtDS3NDexNDQ2MjNQ0lEKTi0uzszPAykwrgUAWrczRSwAAAA="/>
  </w:docVars>
  <w:rsids>
    <w:rsidRoot w:val="003D12FC"/>
    <w:rsid w:val="0018387B"/>
    <w:rsid w:val="00273511"/>
    <w:rsid w:val="003D12FC"/>
    <w:rsid w:val="004A23F8"/>
    <w:rsid w:val="00703324"/>
    <w:rsid w:val="00887C5F"/>
    <w:rsid w:val="008D2BD9"/>
    <w:rsid w:val="009F57BE"/>
    <w:rsid w:val="00D71AF4"/>
    <w:rsid w:val="00DA2A9E"/>
    <w:rsid w:val="00F9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F1348D"/>
  <w15:docId w15:val="{55F0BFE4-4223-4308-B86B-067071227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BD9"/>
  </w:style>
  <w:style w:type="paragraph" w:styleId="Heading1">
    <w:name w:val="heading 1"/>
    <w:basedOn w:val="Normal"/>
    <w:next w:val="Normal"/>
    <w:link w:val="Heading1Char"/>
    <w:uiPriority w:val="9"/>
    <w:qFormat/>
    <w:rsid w:val="008D2BD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2BD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2BD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B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B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BD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BD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BD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BD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D2BD9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BD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1F0C8"/>
    </w:tcPr>
    <w:tblStylePr w:type="firstRow">
      <w:rPr>
        <w:b/>
        <w:color w:val="FFFFFF"/>
      </w:rPr>
      <w:tblPr/>
      <w:tcPr>
        <w:tcBorders>
          <w:top w:val="single" w:sz="4" w:space="0" w:color="0F9ED5"/>
          <w:left w:val="single" w:sz="4" w:space="0" w:color="0F9ED5"/>
          <w:bottom w:val="single" w:sz="4" w:space="0" w:color="0F9ED5"/>
          <w:right w:val="single" w:sz="4" w:space="0" w:color="0F9ED5"/>
          <w:insideH w:val="nil"/>
          <w:insideV w:val="nil"/>
        </w:tcBorders>
        <w:shd w:val="clear" w:color="auto" w:fill="0F9ED5"/>
      </w:tcPr>
    </w:tblStylePr>
    <w:tblStylePr w:type="lastRow">
      <w:rPr>
        <w:b/>
      </w:rPr>
      <w:tblPr/>
      <w:tcPr>
        <w:tcBorders>
          <w:top w:val="single" w:sz="4" w:space="0" w:color="0F9E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AEDFB"/>
      </w:tcPr>
    </w:tblStylePr>
    <w:tblStylePr w:type="band1Horz">
      <w:tblPr/>
      <w:tcPr>
        <w:shd w:val="clear" w:color="auto" w:fill="CAEDFB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87C5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C5F"/>
  </w:style>
  <w:style w:type="paragraph" w:styleId="Footer">
    <w:name w:val="footer"/>
    <w:basedOn w:val="Normal"/>
    <w:link w:val="FooterChar"/>
    <w:uiPriority w:val="99"/>
    <w:unhideWhenUsed/>
    <w:rsid w:val="00887C5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C5F"/>
  </w:style>
  <w:style w:type="paragraph" w:styleId="ListParagraph">
    <w:name w:val="List Paragraph"/>
    <w:basedOn w:val="Normal"/>
    <w:uiPriority w:val="34"/>
    <w:qFormat/>
    <w:rsid w:val="008D2BD9"/>
    <w:pPr>
      <w:ind w:left="720"/>
      <w:contextualSpacing/>
    </w:pPr>
  </w:style>
  <w:style w:type="table" w:styleId="TableGrid">
    <w:name w:val="Table Grid"/>
    <w:basedOn w:val="TableNormal"/>
    <w:uiPriority w:val="39"/>
    <w:rsid w:val="008D2BD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D2BD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2BD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D2BD9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BD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BD9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BD9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BD9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BD9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BD9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D2BD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customStyle="1" w:styleId="TitleChar">
    <w:name w:val="Title Char"/>
    <w:basedOn w:val="DefaultParagraphFont"/>
    <w:link w:val="Title"/>
    <w:uiPriority w:val="10"/>
    <w:rsid w:val="008D2BD9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D2BD9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D2BD9"/>
    <w:rPr>
      <w:b/>
      <w:bCs/>
    </w:rPr>
  </w:style>
  <w:style w:type="character" w:styleId="Emphasis">
    <w:name w:val="Emphasis"/>
    <w:basedOn w:val="DefaultParagraphFont"/>
    <w:uiPriority w:val="20"/>
    <w:qFormat/>
    <w:rsid w:val="008D2BD9"/>
    <w:rPr>
      <w:i/>
      <w:iCs/>
    </w:rPr>
  </w:style>
  <w:style w:type="paragraph" w:styleId="NoSpacing">
    <w:name w:val="No Spacing"/>
    <w:uiPriority w:val="1"/>
    <w:qFormat/>
    <w:rsid w:val="008D2BD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D2BD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BD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BD9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BD9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D2BD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D2BD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D2BD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D2BD9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D2BD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2BD9"/>
    <w:pPr>
      <w:outlineLvl w:val="9"/>
    </w:pPr>
  </w:style>
  <w:style w:type="table" w:styleId="ListTable3-Accent1">
    <w:name w:val="List Table 3 Accent 1"/>
    <w:basedOn w:val="TableNormal"/>
    <w:uiPriority w:val="48"/>
    <w:rsid w:val="008D2BD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8D2B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D2B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D2BD9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8D2BD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2B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2B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654</Words>
  <Characters>4075</Characters>
  <Application>Microsoft Office Word</Application>
  <DocSecurity>0</DocSecurity>
  <Lines>452</Lines>
  <Paragraphs>163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Alan Parker</cp:lastModifiedBy>
  <cp:revision>2</cp:revision>
  <dcterms:created xsi:type="dcterms:W3CDTF">2025-02-07T16:38:00Z</dcterms:created>
  <dcterms:modified xsi:type="dcterms:W3CDTF">2026-03-01T17:48:00Z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22cbf104-2ac3-4518-85ae-5069655dfb28</vt:lpwstr>
  </property>
</Properties>
</file>