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Sanskrit-to-English Neural Machine Translation</w:t>
      </w:r>
    </w:p>
    <w:p>
      <w:pPr>
        <w:jc w:val="center"/>
      </w:pPr>
      <w:r>
        <w:rPr>
          <w:sz w:val="26"/>
        </w:rPr>
        <w:t>Assignment 2: Natural Language Understanding</w:t>
      </w:r>
    </w:p>
    <w:p>
      <w:pPr>
        <w:jc w:val="center"/>
      </w:pPr>
      <w:r>
        <w:rPr>
          <w:i/>
          <w:sz w:val="22"/>
        </w:rPr>
        <w:t>July 2026</w:t>
      </w:r>
    </w:p>
    <w:p/>
    <w:p>
      <w:pPr>
        <w:pStyle w:val="Heading1"/>
      </w:pPr>
      <w:r>
        <w:t>1. Introduction</w:t>
      </w:r>
    </w:p>
    <w:p>
      <w:pPr>
        <w:spacing w:after="120"/>
      </w:pPr>
      <w:r>
        <w:rPr>
          <w:sz w:val="21"/>
        </w:rPr>
        <w:t>This report describes the design, implementation, and evaluation of a Neural Machine Translation (NMT) system for translating Sanskrit text into English. Sanskrit is a low-resource, morphologically rich classical language with complex sandhi (word joining) rules, free word order, and a rich inflectional system, all of which pose significant challenges for machine translation.</w:t>
      </w:r>
    </w:p>
    <w:p>
      <w:pPr>
        <w:spacing w:after="120"/>
      </w:pPr>
      <w:r>
        <w:rPr>
          <w:sz w:val="21"/>
        </w:rPr>
        <w:t>We implement a custom Transformer-based sequence-to-sequence architecture trained from scratch on the provided parallel corpus of 10,000 Sanskrit–English sentence pairs. The system uses SentencePiece BPE tokenization, sinusoidal positional encoding, beam search decoding, and several regularization techniques. We evaluate translation quality using BLEU and BERTScore metrics and report efficiency in terms of inference time and parameter count.</w:t>
      </w:r>
    </w:p>
    <w:p>
      <w:pPr>
        <w:spacing w:after="120"/>
      </w:pPr>
      <w:r>
        <w:rPr>
          <w:sz w:val="21"/>
        </w:rPr>
        <w:t>No external APIs were used. The only pre-trained model employed is roberta-large, used exclusively by the BERTScore evaluation library for computing semantic similarity; it plays no role in the translation model itself.</w:t>
      </w:r>
    </w:p>
    <w:p>
      <w:pPr>
        <w:pStyle w:val="Heading1"/>
      </w:pPr>
      <w:r>
        <w:t>2. Architecture</w:t>
      </w:r>
    </w:p>
    <w:p>
      <w:pPr>
        <w:spacing w:after="120"/>
      </w:pPr>
      <w:r>
        <w:rPr>
          <w:sz w:val="21"/>
        </w:rPr>
        <w:t>The model follows the standard Transformer encoder–decoder architecture (Vaswani et al., 2017) implemented entirely from scratch in PyTorch. The total parameter count is 11,424,576 (all trainable).</w:t>
      </w:r>
    </w:p>
    <w:p>
      <w:pPr>
        <w:pStyle w:val="Heading2"/>
      </w:pPr>
      <w:r>
        <w:t>2.1 Encoder</w:t>
      </w:r>
    </w:p>
    <w:p>
      <w:pPr>
        <w:spacing w:after="120"/>
      </w:pPr>
      <w:r>
        <w:rPr>
          <w:sz w:val="21"/>
        </w:rPr>
        <w:t>The encoder consists of 4 stacked identical layers. Each layer contains: (1) a multi-head self-attention sub-layer with 4 attention heads, and (2) a position-wise feed-forward network with inner dimension 512. Both sub-layers use residual connections followed by layer normalization (Pre-LN variant). The model dimension is d_model = 256 throughout.</w:t>
      </w:r>
    </w:p>
    <w:p>
      <w:pPr>
        <w:spacing w:after="120"/>
      </w:pPr>
      <w:r>
        <w:rPr>
          <w:sz w:val="21"/>
        </w:rPr>
        <w:t>Input tokens are mapped to 256-dimensional embeddings (with padding index masking), scaled by √(d_model), and summed with sinusoidal positional encodings supporting sequences up to length 512.</w:t>
      </w:r>
    </w:p>
    <w:p>
      <w:pPr>
        <w:pStyle w:val="Heading2"/>
      </w:pPr>
      <w:r>
        <w:t>2.2 Decoder</w:t>
      </w:r>
    </w:p>
    <w:p>
      <w:pPr>
        <w:spacing w:after="120"/>
      </w:pPr>
      <w:r>
        <w:rPr>
          <w:sz w:val="21"/>
        </w:rPr>
        <w:t>The decoder also consists of 4 identical layers, each containing three sub-layers: (1) masked multi-head self-attention (with causal mask to prevent attending to future tokens), (2) multi-head cross-attention over the encoder output, and (3) a position-wise feed-forward network. All sub-layers use residual connections and layer normalization. The same embedding dimension (256) and head count (4) are used.</w:t>
      </w:r>
    </w:p>
    <w:p>
      <w:pPr>
        <w:pStyle w:val="Heading2"/>
      </w:pPr>
      <w:r>
        <w:t>2.3 Attention Mechanism</w:t>
      </w:r>
    </w:p>
    <w:p>
      <w:pPr>
        <w:spacing w:after="120"/>
      </w:pPr>
      <w:r>
        <w:rPr>
          <w:sz w:val="21"/>
        </w:rPr>
        <w:t>We use scaled dot-product attention with 4 heads (d_k = d_model / n_heads = 64 per head). Separate linear projections (W_q, W_k, W_v, W_o) transform the queries, keys, and values. Attention scores are scaled by 1/√(d_k) and masked where appropriate (padding mask for the encoder, combined padding + causal mask for the decoder). Dropout (p=0.1) is applied to attention weights.</w:t>
      </w:r>
    </w:p>
    <w:p>
      <w:pPr>
        <w:pStyle w:val="Heading2"/>
      </w:pPr>
      <w:r>
        <w:t>2.4 Beam Search Decoding</w:t>
      </w:r>
    </w:p>
    <w:p>
      <w:pPr>
        <w:spacing w:after="120"/>
      </w:pPr>
      <w:r>
        <w:rPr>
          <w:sz w:val="21"/>
        </w:rPr>
        <w:t>At inference time we use beam search with beam size 5 and a length penalty (α = 0.6). At each time step the top-k candidates are expanded, and beams are ranked by length-normalized log-probability: score / len^α. Decoding terminates when all active beams have produced the EOS token or the maximum output length (128 tokens) is reached. A greedy decoder (beam size 1) is also implemented for faster inference when needed.</w:t>
      </w:r>
    </w:p>
    <w:p>
      <w:pPr>
        <w:pStyle w:val="Heading2"/>
      </w:pPr>
      <w:r>
        <w:t>2.5 Architecture Summary</w:t>
      </w:r>
    </w:p>
    <w:tbl>
      <w:tblPr>
        <w:tblStyle w:val="TableGrid"/>
        <w:tblW w:type="auto" w:w="0"/>
        <w:jc w:val="center"/>
        <w:tblLook w:firstColumn="1" w:firstRow="1" w:lastColumn="0" w:lastRow="0" w:noHBand="0" w:noVBand="1" w:val="04A0"/>
      </w:tblPr>
      <w:tblGrid>
        <w:gridCol w:w="4703"/>
        <w:gridCol w:w="4703"/>
      </w:tblGrid>
      <w:tr>
        <w:tc>
          <w:tcPr>
            <w:tcW w:type="dxa" w:w="3402"/>
            <w:shd w:fill="F2F2F2" w:val="clear"/>
          </w:tcPr>
          <w:p>
            <w:pPr>
              <w:jc w:val="center"/>
            </w:pPr>
            <w:r>
              <w:rPr>
                <w:b/>
                <w:sz w:val="20"/>
              </w:rPr>
              <w:t>Hyperparameter</w:t>
            </w:r>
          </w:p>
        </w:tc>
        <w:tc>
          <w:tcPr>
            <w:tcW w:type="dxa" w:w="2268"/>
            <w:shd w:fill="F2F2F2" w:val="clear"/>
          </w:tcPr>
          <w:p>
            <w:pPr>
              <w:jc w:val="center"/>
            </w:pPr>
            <w:r>
              <w:rPr>
                <w:b/>
                <w:sz w:val="20"/>
              </w:rPr>
              <w:t>Value</w:t>
            </w:r>
          </w:p>
        </w:tc>
      </w:tr>
      <w:tr>
        <w:tc>
          <w:tcPr>
            <w:tcW w:type="dxa" w:w="3402"/>
          </w:tcPr>
          <w:p>
            <w:pPr>
              <w:jc w:val="center"/>
            </w:pPr>
            <w:r>
              <w:rPr>
                <w:sz w:val="20"/>
              </w:rPr>
              <w:t>d_model</w:t>
            </w:r>
          </w:p>
        </w:tc>
        <w:tc>
          <w:tcPr>
            <w:tcW w:type="dxa" w:w="2268"/>
          </w:tcPr>
          <w:p>
            <w:pPr>
              <w:jc w:val="center"/>
            </w:pPr>
            <w:r>
              <w:rPr>
                <w:sz w:val="20"/>
              </w:rPr>
              <w:t>256</w:t>
            </w:r>
          </w:p>
        </w:tc>
      </w:tr>
      <w:tr>
        <w:tc>
          <w:tcPr>
            <w:tcW w:type="dxa" w:w="3402"/>
          </w:tcPr>
          <w:p>
            <w:pPr>
              <w:jc w:val="center"/>
            </w:pPr>
            <w:r>
              <w:rPr>
                <w:sz w:val="20"/>
              </w:rPr>
              <w:t>Encoder layers</w:t>
            </w:r>
          </w:p>
        </w:tc>
        <w:tc>
          <w:tcPr>
            <w:tcW w:type="dxa" w:w="2268"/>
          </w:tcPr>
          <w:p>
            <w:pPr>
              <w:jc w:val="center"/>
            </w:pPr>
            <w:r>
              <w:rPr>
                <w:sz w:val="20"/>
              </w:rPr>
              <w:t>4</w:t>
            </w:r>
          </w:p>
        </w:tc>
      </w:tr>
      <w:tr>
        <w:tc>
          <w:tcPr>
            <w:tcW w:type="dxa" w:w="3402"/>
          </w:tcPr>
          <w:p>
            <w:pPr>
              <w:jc w:val="center"/>
            </w:pPr>
            <w:r>
              <w:rPr>
                <w:sz w:val="20"/>
              </w:rPr>
              <w:t>Decoder layers</w:t>
            </w:r>
          </w:p>
        </w:tc>
        <w:tc>
          <w:tcPr>
            <w:tcW w:type="dxa" w:w="2268"/>
          </w:tcPr>
          <w:p>
            <w:pPr>
              <w:jc w:val="center"/>
            </w:pPr>
            <w:r>
              <w:rPr>
                <w:sz w:val="20"/>
              </w:rPr>
              <w:t>4</w:t>
            </w:r>
          </w:p>
        </w:tc>
      </w:tr>
      <w:tr>
        <w:tc>
          <w:tcPr>
            <w:tcW w:type="dxa" w:w="3402"/>
          </w:tcPr>
          <w:p>
            <w:pPr>
              <w:jc w:val="center"/>
            </w:pPr>
            <w:r>
              <w:rPr>
                <w:sz w:val="20"/>
              </w:rPr>
              <w:t>Attention heads</w:t>
            </w:r>
          </w:p>
        </w:tc>
        <w:tc>
          <w:tcPr>
            <w:tcW w:type="dxa" w:w="2268"/>
          </w:tcPr>
          <w:p>
            <w:pPr>
              <w:jc w:val="center"/>
            </w:pPr>
            <w:r>
              <w:rPr>
                <w:sz w:val="20"/>
              </w:rPr>
              <w:t>4</w:t>
            </w:r>
          </w:p>
        </w:tc>
      </w:tr>
      <w:tr>
        <w:tc>
          <w:tcPr>
            <w:tcW w:type="dxa" w:w="3402"/>
          </w:tcPr>
          <w:p>
            <w:pPr>
              <w:jc w:val="center"/>
            </w:pPr>
            <w:r>
              <w:rPr>
                <w:sz w:val="20"/>
              </w:rPr>
              <w:t>d_ff (FFN inner dim)</w:t>
            </w:r>
          </w:p>
        </w:tc>
        <w:tc>
          <w:tcPr>
            <w:tcW w:type="dxa" w:w="2268"/>
          </w:tcPr>
          <w:p>
            <w:pPr>
              <w:jc w:val="center"/>
            </w:pPr>
            <w:r>
              <w:rPr>
                <w:sz w:val="20"/>
              </w:rPr>
              <w:t>512</w:t>
            </w:r>
          </w:p>
        </w:tc>
      </w:tr>
      <w:tr>
        <w:tc>
          <w:tcPr>
            <w:tcW w:type="dxa" w:w="3402"/>
          </w:tcPr>
          <w:p>
            <w:pPr>
              <w:jc w:val="center"/>
            </w:pPr>
            <w:r>
              <w:rPr>
                <w:sz w:val="20"/>
              </w:rPr>
              <w:t>d_k (per-head dim)</w:t>
            </w:r>
          </w:p>
        </w:tc>
        <w:tc>
          <w:tcPr>
            <w:tcW w:type="dxa" w:w="2268"/>
          </w:tcPr>
          <w:p>
            <w:pPr>
              <w:jc w:val="center"/>
            </w:pPr>
            <w:r>
              <w:rPr>
                <w:sz w:val="20"/>
              </w:rPr>
              <w:t>64</w:t>
            </w:r>
          </w:p>
        </w:tc>
      </w:tr>
      <w:tr>
        <w:tc>
          <w:tcPr>
            <w:tcW w:type="dxa" w:w="3402"/>
          </w:tcPr>
          <w:p>
            <w:pPr>
              <w:jc w:val="center"/>
            </w:pPr>
            <w:r>
              <w:rPr>
                <w:sz w:val="20"/>
              </w:rPr>
              <w:t>Dropout</w:t>
            </w:r>
          </w:p>
        </w:tc>
        <w:tc>
          <w:tcPr>
            <w:tcW w:type="dxa" w:w="2268"/>
          </w:tcPr>
          <w:p>
            <w:pPr>
              <w:jc w:val="center"/>
            </w:pPr>
            <w:r>
              <w:rPr>
                <w:sz w:val="20"/>
              </w:rPr>
              <w:t>0.1</w:t>
            </w:r>
          </w:p>
        </w:tc>
      </w:tr>
      <w:tr>
        <w:tc>
          <w:tcPr>
            <w:tcW w:type="dxa" w:w="3402"/>
          </w:tcPr>
          <w:p>
            <w:pPr>
              <w:jc w:val="center"/>
            </w:pPr>
            <w:r>
              <w:rPr>
                <w:sz w:val="20"/>
              </w:rPr>
              <w:t>Max sequence length</w:t>
            </w:r>
          </w:p>
        </w:tc>
        <w:tc>
          <w:tcPr>
            <w:tcW w:type="dxa" w:w="2268"/>
          </w:tcPr>
          <w:p>
            <w:pPr>
              <w:jc w:val="center"/>
            </w:pPr>
            <w:r>
              <w:rPr>
                <w:sz w:val="20"/>
              </w:rPr>
              <w:t>128</w:t>
            </w:r>
          </w:p>
        </w:tc>
      </w:tr>
      <w:tr>
        <w:tc>
          <w:tcPr>
            <w:tcW w:type="dxa" w:w="3402"/>
          </w:tcPr>
          <w:p>
            <w:pPr>
              <w:jc w:val="center"/>
            </w:pPr>
            <w:r>
              <w:rPr>
                <w:sz w:val="20"/>
              </w:rPr>
              <w:t>Source vocab size</w:t>
            </w:r>
          </w:p>
        </w:tc>
        <w:tc>
          <w:tcPr>
            <w:tcW w:type="dxa" w:w="2268"/>
          </w:tcPr>
          <w:p>
            <w:pPr>
              <w:jc w:val="center"/>
            </w:pPr>
            <w:r>
              <w:rPr>
                <w:sz w:val="20"/>
              </w:rPr>
              <w:t>8,000</w:t>
            </w:r>
          </w:p>
        </w:tc>
      </w:tr>
      <w:tr>
        <w:tc>
          <w:tcPr>
            <w:tcW w:type="dxa" w:w="3402"/>
          </w:tcPr>
          <w:p>
            <w:pPr>
              <w:jc w:val="center"/>
            </w:pPr>
            <w:r>
              <w:rPr>
                <w:sz w:val="20"/>
              </w:rPr>
              <w:t>Target vocab size</w:t>
            </w:r>
          </w:p>
        </w:tc>
        <w:tc>
          <w:tcPr>
            <w:tcW w:type="dxa" w:w="2268"/>
          </w:tcPr>
          <w:p>
            <w:pPr>
              <w:jc w:val="center"/>
            </w:pPr>
            <w:r>
              <w:rPr>
                <w:sz w:val="20"/>
              </w:rPr>
              <w:t>8,000</w:t>
            </w:r>
          </w:p>
        </w:tc>
      </w:tr>
      <w:tr>
        <w:tc>
          <w:tcPr>
            <w:tcW w:type="dxa" w:w="3402"/>
          </w:tcPr>
          <w:p>
            <w:pPr>
              <w:jc w:val="center"/>
            </w:pPr>
            <w:r>
              <w:rPr>
                <w:sz w:val="20"/>
              </w:rPr>
              <w:t>Total parameters</w:t>
            </w:r>
          </w:p>
        </w:tc>
        <w:tc>
          <w:tcPr>
            <w:tcW w:type="dxa" w:w="2268"/>
          </w:tcPr>
          <w:p>
            <w:pPr>
              <w:jc w:val="center"/>
            </w:pPr>
            <w:r>
              <w:rPr>
                <w:sz w:val="20"/>
              </w:rPr>
              <w:t>11,424,576</w:t>
            </w:r>
          </w:p>
        </w:tc>
      </w:tr>
    </w:tbl>
    <w:p/>
    <w:p>
      <w:pPr>
        <w:pStyle w:val="Heading1"/>
      </w:pPr>
      <w:r>
        <w:t>3. Training Procedure</w:t>
      </w:r>
    </w:p>
    <w:p>
      <w:pPr>
        <w:pStyle w:val="Heading2"/>
      </w:pPr>
      <w:r>
        <w:t>3.1 Data Preprocessing</w:t>
      </w:r>
    </w:p>
    <w:p>
      <w:pPr>
        <w:spacing w:after="120"/>
      </w:pPr>
      <w:r>
        <w:rPr>
          <w:sz w:val="21"/>
        </w:rPr>
        <w:t>The provided dataset consists of parallel CSV files aligned by Source_id. Sanskrit and English files are merged on Source_id to form paired corpora: 10,000 training pairs, 1,000 dev pairs, and 1,000 test pairs. Sentences are stripped of leading/trailing whitespace and NaN entries are filtered.</w:t>
      </w:r>
    </w:p>
    <w:p>
      <w:pPr>
        <w:pStyle w:val="Heading2"/>
      </w:pPr>
      <w:r>
        <w:t>3.2 Tokenization</w:t>
      </w:r>
    </w:p>
    <w:p>
      <w:pPr>
        <w:spacing w:after="120"/>
      </w:pPr>
      <w:r>
        <w:rPr>
          <w:sz w:val="21"/>
        </w:rPr>
        <w:t>We train separate SentencePiece BPE tokenizers for Sanskrit and English, each with a vocabulary size of 8,000 sub-word units. Character coverage is set to 1.0 to ensure all Unicode characters (important for Devanagari script) are represented. Special tokens are: PAD (id=0), UNK (id=1), BOS (id=2), EOS (id=3). Each sentence is tokenized, prepended with BOS, appended with EOS, and truncated to a maximum of 128 tokens.</w:t>
      </w:r>
    </w:p>
    <w:p>
      <w:pPr>
        <w:pStyle w:val="Heading2"/>
      </w:pPr>
      <w:r>
        <w:t>3.3 Hyperparameters</w:t>
      </w:r>
    </w:p>
    <w:p>
      <w:pPr>
        <w:spacing w:after="40"/>
      </w:pPr>
      <w:r>
        <w:rPr>
          <w:b/>
          <w:sz w:val="21"/>
        </w:rPr>
        <w:t xml:space="preserve">Batch size: </w:t>
      </w:r>
      <w:r>
        <w:rPr>
          <w:sz w:val="21"/>
        </w:rPr>
        <w:t>64</w:t>
      </w:r>
    </w:p>
    <w:p>
      <w:pPr>
        <w:spacing w:after="40"/>
      </w:pPr>
      <w:r>
        <w:rPr>
          <w:b/>
          <w:sz w:val="21"/>
        </w:rPr>
        <w:t xml:space="preserve">Epochs: </w:t>
      </w:r>
      <w:r>
        <w:rPr>
          <w:sz w:val="21"/>
        </w:rPr>
        <w:t>30</w:t>
      </w:r>
    </w:p>
    <w:p>
      <w:pPr>
        <w:spacing w:after="40"/>
      </w:pPr>
      <w:r>
        <w:rPr>
          <w:b/>
          <w:sz w:val="21"/>
        </w:rPr>
        <w:t xml:space="preserve">Optimizer: </w:t>
      </w:r>
      <w:r>
        <w:rPr>
          <w:sz w:val="21"/>
        </w:rPr>
        <w:t>AdamW (betas=0.9/0.98, eps=1e-9, weight_decay=0.01)</w:t>
      </w:r>
    </w:p>
    <w:p>
      <w:pPr>
        <w:spacing w:after="40"/>
      </w:pPr>
      <w:r>
        <w:rPr>
          <w:b/>
          <w:sz w:val="21"/>
        </w:rPr>
        <w:t xml:space="preserve">Learning rate schedule: </w:t>
      </w:r>
      <w:r>
        <w:rPr>
          <w:sz w:val="21"/>
        </w:rPr>
        <w:t>Warmup (2,000 steps) + Cosine Annealing</w:t>
      </w:r>
    </w:p>
    <w:p>
      <w:pPr>
        <w:spacing w:after="40"/>
      </w:pPr>
      <w:r>
        <w:rPr>
          <w:b/>
          <w:sz w:val="21"/>
        </w:rPr>
        <w:t xml:space="preserve">Total training steps: </w:t>
      </w:r>
      <w:r>
        <w:rPr>
          <w:sz w:val="21"/>
        </w:rPr>
        <w:t>4,710</w:t>
      </w:r>
    </w:p>
    <w:p>
      <w:pPr>
        <w:spacing w:after="40"/>
      </w:pPr>
      <w:r>
        <w:rPr>
          <w:b/>
          <w:sz w:val="21"/>
        </w:rPr>
        <w:t xml:space="preserve">Gradient clipping: </w:t>
      </w:r>
      <w:r>
        <w:rPr>
          <w:sz w:val="21"/>
        </w:rPr>
        <w:t>Max norm 1.0</w:t>
      </w:r>
    </w:p>
    <w:p>
      <w:pPr>
        <w:spacing w:after="40"/>
      </w:pPr>
      <w:r>
        <w:rPr>
          <w:b/>
          <w:sz w:val="21"/>
        </w:rPr>
        <w:t xml:space="preserve">Label smoothing: </w:t>
      </w:r>
      <w:r>
        <w:rPr>
          <w:sz w:val="21"/>
        </w:rPr>
        <w:t>0.1</w:t>
      </w:r>
    </w:p>
    <w:p>
      <w:pPr>
        <w:spacing w:after="40"/>
      </w:pPr>
      <w:r>
        <w:rPr>
          <w:b/>
          <w:sz w:val="21"/>
        </w:rPr>
        <w:t xml:space="preserve">Random seed: </w:t>
      </w:r>
      <w:r>
        <w:rPr>
          <w:sz w:val="21"/>
        </w:rPr>
        <w:t>42</w:t>
      </w:r>
    </w:p>
    <w:p>
      <w:pPr>
        <w:pStyle w:val="Heading2"/>
      </w:pPr>
      <w:r>
        <w:t>3.4 Optimization</w:t>
      </w:r>
    </w:p>
    <w:p>
      <w:pPr>
        <w:spacing w:after="120"/>
      </w:pPr>
      <w:r>
        <w:rPr>
          <w:sz w:val="21"/>
        </w:rPr>
        <w:t>We use the AdamW optimizer with a two-phase learning rate schedule. During the warmup phase (first 2,000 steps), the learning rate increases linearly following the inverse-square-root schedule from the original Transformer paper. After warmup, a cosine annealing schedule smoothly decays the learning rate to zero over the remaining training steps. Gradient norms are clipped to 1.0 to prevent exploding gradients.</w:t>
      </w:r>
    </w:p>
    <w:p>
      <w:pPr>
        <w:pStyle w:val="Heading2"/>
      </w:pPr>
      <w:r>
        <w:t>3.5 Regularization</w:t>
      </w:r>
    </w:p>
    <w:p>
      <w:pPr>
        <w:spacing w:after="120"/>
      </w:pPr>
      <w:r>
        <w:rPr>
          <w:sz w:val="21"/>
        </w:rPr>
        <w:t>Three regularization strategies are employed: (1) Dropout (p=0.1) applied to attention weights, feed-forward sub-layers, positional encoding outputs, and residual connections. (2) Label smoothing (ε=0.1) which distributes probability mass from the target token to all vocabulary tokens, preventing overconfident predictions. (3) Weight decay (0.01) via AdamW to penalize large parameter magnitudes.</w:t>
      </w:r>
    </w:p>
    <w:p>
      <w:pPr>
        <w:pStyle w:val="Heading2"/>
      </w:pPr>
      <w:r>
        <w:t>3.6 Training Dynamics</w:t>
      </w:r>
    </w:p>
    <w:p>
      <w:pPr>
        <w:spacing w:after="120"/>
      </w:pPr>
      <w:r>
        <w:rPr>
          <w:sz w:val="21"/>
        </w:rPr>
        <w:t>The model achieved its best validation loss of 1.7925 at epoch 12. After epoch 12, the learning rate crossed into a range that caused the loss to spike sharply (epoch 13: dev loss jumped from 1.79 to 8.28), after which the cosine decay brought it back down slowly but never recovered the earlier performance. The best checkpoint (epoch 12) was used for all evaluation.</w:t>
      </w:r>
    </w:p>
    <w:p>
      <w:pPr>
        <w:pStyle w:val="Heading1"/>
      </w:pPr>
      <w:r>
        <w:t>4. Results</w:t>
      </w:r>
    </w:p>
    <w:p>
      <w:pPr>
        <w:pStyle w:val="Heading2"/>
      </w:pPr>
      <w:r>
        <w:t>4.1 Translation Quality Metrics</w:t>
      </w:r>
    </w:p>
    <w:tbl>
      <w:tblPr>
        <w:tblStyle w:val="TableGrid"/>
        <w:tblW w:type="auto" w:w="0"/>
        <w:jc w:val="center"/>
        <w:tblLook w:firstColumn="1" w:firstRow="1" w:lastColumn="0" w:lastRow="0" w:noHBand="0" w:noVBand="1" w:val="04A0"/>
      </w:tblPr>
      <w:tblGrid>
        <w:gridCol w:w="3135"/>
        <w:gridCol w:w="3135"/>
        <w:gridCol w:w="3135"/>
      </w:tblGrid>
      <w:tr>
        <w:tc>
          <w:tcPr>
            <w:tcW w:type="dxa" w:w="2835"/>
            <w:shd w:fill="F2F2F2" w:val="clear"/>
          </w:tcPr>
          <w:p>
            <w:pPr>
              <w:jc w:val="center"/>
            </w:pPr>
            <w:r>
              <w:rPr>
                <w:b/>
                <w:sz w:val="20"/>
              </w:rPr>
              <w:t>Metric</w:t>
            </w:r>
          </w:p>
        </w:tc>
        <w:tc>
          <w:tcPr>
            <w:tcW w:type="dxa" w:w="1984"/>
            <w:shd w:fill="F2F2F2" w:val="clear"/>
          </w:tcPr>
          <w:p>
            <w:pPr>
              <w:jc w:val="center"/>
            </w:pPr>
            <w:r>
              <w:rPr>
                <w:b/>
                <w:sz w:val="20"/>
              </w:rPr>
              <w:t>Dev</w:t>
            </w:r>
          </w:p>
        </w:tc>
        <w:tc>
          <w:tcPr>
            <w:tcW w:type="dxa" w:w="1984"/>
            <w:shd w:fill="F2F2F2" w:val="clear"/>
          </w:tcPr>
          <w:p>
            <w:pPr>
              <w:jc w:val="center"/>
            </w:pPr>
            <w:r>
              <w:rPr>
                <w:b/>
                <w:sz w:val="20"/>
              </w:rPr>
              <w:t>Test</w:t>
            </w:r>
          </w:p>
        </w:tc>
      </w:tr>
      <w:tr>
        <w:tc>
          <w:tcPr>
            <w:tcW w:type="dxa" w:w="2835"/>
          </w:tcPr>
          <w:p>
            <w:pPr>
              <w:jc w:val="center"/>
            </w:pPr>
            <w:r>
              <w:rPr>
                <w:sz w:val="20"/>
              </w:rPr>
              <w:t>BLEU</w:t>
            </w:r>
          </w:p>
        </w:tc>
        <w:tc>
          <w:tcPr>
            <w:tcW w:type="dxa" w:w="1984"/>
          </w:tcPr>
          <w:p>
            <w:pPr>
              <w:jc w:val="center"/>
            </w:pPr>
            <w:r>
              <w:rPr>
                <w:sz w:val="20"/>
              </w:rPr>
              <w:t>0.8434</w:t>
            </w:r>
          </w:p>
        </w:tc>
        <w:tc>
          <w:tcPr>
            <w:tcW w:type="dxa" w:w="1984"/>
          </w:tcPr>
          <w:p>
            <w:pPr>
              <w:jc w:val="center"/>
            </w:pPr>
            <w:r>
              <w:rPr>
                <w:sz w:val="20"/>
              </w:rPr>
              <w:t>0.8395</w:t>
            </w:r>
          </w:p>
        </w:tc>
      </w:tr>
      <w:tr>
        <w:tc>
          <w:tcPr>
            <w:tcW w:type="dxa" w:w="2835"/>
          </w:tcPr>
          <w:p>
            <w:pPr>
              <w:jc w:val="center"/>
            </w:pPr>
            <w:r>
              <w:rPr>
                <w:sz w:val="20"/>
              </w:rPr>
              <w:t>BERTScore F1</w:t>
            </w:r>
          </w:p>
        </w:tc>
        <w:tc>
          <w:tcPr>
            <w:tcW w:type="dxa" w:w="1984"/>
          </w:tcPr>
          <w:p>
            <w:pPr>
              <w:jc w:val="center"/>
            </w:pPr>
            <w:r>
              <w:rPr>
                <w:sz w:val="20"/>
              </w:rPr>
              <w:t>0.9698</w:t>
            </w:r>
          </w:p>
        </w:tc>
        <w:tc>
          <w:tcPr>
            <w:tcW w:type="dxa" w:w="1984"/>
          </w:tcPr>
          <w:p>
            <w:pPr>
              <w:jc w:val="center"/>
            </w:pPr>
            <w:r>
              <w:rPr>
                <w:sz w:val="20"/>
              </w:rPr>
              <w:t>0.9689</w:t>
            </w:r>
          </w:p>
        </w:tc>
      </w:tr>
    </w:tbl>
    <w:p/>
    <w:p>
      <w:pPr>
        <w:spacing w:after="120"/>
      </w:pPr>
      <w:r>
        <w:rPr>
          <w:sz w:val="21"/>
        </w:rPr>
        <w:t>BLEU is computed using the default NLTK corpus_bleu function with no custom weights. BERTScore F1 is computed using the official bert-score library with rescale_with_baseline=True and lang='en', which employs the roberta-large model for contextualized embedding comparison. The close agreement between dev and test scores indicates good generalization.</w:t>
      </w:r>
    </w:p>
    <w:p>
      <w:pPr>
        <w:pStyle w:val="Heading2"/>
      </w:pPr>
      <w:r>
        <w:t>4.2 Efficiency Metrics</w:t>
      </w:r>
    </w:p>
    <w:tbl>
      <w:tblPr>
        <w:tblStyle w:val="TableGrid"/>
        <w:tblW w:type="auto" w:w="0"/>
        <w:jc w:val="center"/>
        <w:tblLook w:firstColumn="1" w:firstRow="1" w:lastColumn="0" w:lastRow="0" w:noHBand="0" w:noVBand="1" w:val="04A0"/>
      </w:tblPr>
      <w:tblGrid>
        <w:gridCol w:w="4703"/>
        <w:gridCol w:w="4703"/>
      </w:tblGrid>
      <w:tr>
        <w:tc>
          <w:tcPr>
            <w:tcW w:type="dxa" w:w="3402"/>
            <w:shd w:fill="F2F2F2" w:val="clear"/>
          </w:tcPr>
          <w:p>
            <w:pPr>
              <w:jc w:val="center"/>
            </w:pPr>
            <w:r>
              <w:rPr>
                <w:b/>
                <w:sz w:val="20"/>
              </w:rPr>
              <w:t>Metric</w:t>
            </w:r>
          </w:p>
        </w:tc>
        <w:tc>
          <w:tcPr>
            <w:tcW w:type="dxa" w:w="2268"/>
            <w:shd w:fill="F2F2F2" w:val="clear"/>
          </w:tcPr>
          <w:p>
            <w:pPr>
              <w:jc w:val="center"/>
            </w:pPr>
            <w:r>
              <w:rPr>
                <w:b/>
                <w:sz w:val="20"/>
              </w:rPr>
              <w:t>Value</w:t>
            </w:r>
          </w:p>
        </w:tc>
      </w:tr>
      <w:tr>
        <w:tc>
          <w:tcPr>
            <w:tcW w:type="dxa" w:w="3402"/>
          </w:tcPr>
          <w:p>
            <w:pPr>
              <w:jc w:val="center"/>
            </w:pPr>
            <w:r>
              <w:rPr>
                <w:sz w:val="20"/>
              </w:rPr>
              <w:t>Total parameters</w:t>
            </w:r>
          </w:p>
        </w:tc>
        <w:tc>
          <w:tcPr>
            <w:tcW w:type="dxa" w:w="2268"/>
          </w:tcPr>
          <w:p>
            <w:pPr>
              <w:jc w:val="center"/>
            </w:pPr>
            <w:r>
              <w:rPr>
                <w:sz w:val="20"/>
              </w:rPr>
              <w:t>11,424,576</w:t>
            </w:r>
          </w:p>
        </w:tc>
      </w:tr>
      <w:tr>
        <w:tc>
          <w:tcPr>
            <w:tcW w:type="dxa" w:w="3402"/>
          </w:tcPr>
          <w:p>
            <w:pPr>
              <w:jc w:val="center"/>
            </w:pPr>
            <w:r>
              <w:rPr>
                <w:sz w:val="20"/>
              </w:rPr>
              <w:t>Trainable parameters</w:t>
            </w:r>
          </w:p>
        </w:tc>
        <w:tc>
          <w:tcPr>
            <w:tcW w:type="dxa" w:w="2268"/>
          </w:tcPr>
          <w:p>
            <w:pPr>
              <w:jc w:val="center"/>
            </w:pPr>
            <w:r>
              <w:rPr>
                <w:sz w:val="20"/>
              </w:rPr>
              <w:t>11,424,576</w:t>
            </w:r>
          </w:p>
        </w:tc>
      </w:tr>
      <w:tr>
        <w:tc>
          <w:tcPr>
            <w:tcW w:type="dxa" w:w="3402"/>
          </w:tcPr>
          <w:p>
            <w:pPr>
              <w:jc w:val="center"/>
            </w:pPr>
            <w:r>
              <w:rPr>
                <w:sz w:val="20"/>
              </w:rPr>
              <w:t>Test inference time</w:t>
            </w:r>
          </w:p>
        </w:tc>
        <w:tc>
          <w:tcPr>
            <w:tcW w:type="dxa" w:w="2268"/>
          </w:tcPr>
          <w:p>
            <w:pPr>
              <w:jc w:val="center"/>
            </w:pPr>
            <w:r>
              <w:rPr>
                <w:sz w:val="20"/>
              </w:rPr>
              <w:t>727.39 s</w:t>
            </w:r>
          </w:p>
        </w:tc>
      </w:tr>
      <w:tr>
        <w:tc>
          <w:tcPr>
            <w:tcW w:type="dxa" w:w="3402"/>
          </w:tcPr>
          <w:p>
            <w:pPr>
              <w:jc w:val="center"/>
            </w:pPr>
            <w:r>
              <w:rPr>
                <w:sz w:val="20"/>
              </w:rPr>
              <w:t>Avg. time per sentence</w:t>
            </w:r>
          </w:p>
        </w:tc>
        <w:tc>
          <w:tcPr>
            <w:tcW w:type="dxa" w:w="2268"/>
          </w:tcPr>
          <w:p>
            <w:pPr>
              <w:jc w:val="center"/>
            </w:pPr>
            <w:r>
              <w:rPr>
                <w:sz w:val="20"/>
              </w:rPr>
              <w:t>0.7274 s</w:t>
            </w:r>
          </w:p>
        </w:tc>
      </w:tr>
      <w:tr>
        <w:tc>
          <w:tcPr>
            <w:tcW w:type="dxa" w:w="3402"/>
          </w:tcPr>
          <w:p>
            <w:pPr>
              <w:jc w:val="center"/>
            </w:pPr>
            <w:r>
              <w:rPr>
                <w:sz w:val="20"/>
              </w:rPr>
              <w:t>Test set size</w:t>
            </w:r>
          </w:p>
        </w:tc>
        <w:tc>
          <w:tcPr>
            <w:tcW w:type="dxa" w:w="2268"/>
          </w:tcPr>
          <w:p>
            <w:pPr>
              <w:jc w:val="center"/>
            </w:pPr>
            <w:r>
              <w:rPr>
                <w:sz w:val="20"/>
              </w:rPr>
              <w:t>1,000</w:t>
            </w:r>
          </w:p>
        </w:tc>
      </w:tr>
    </w:tbl>
    <w:p/>
    <w:p>
      <w:pPr>
        <w:spacing w:after="120"/>
      </w:pPr>
      <w:r>
        <w:rPr>
          <w:sz w:val="21"/>
        </w:rPr>
        <w:t>Inference was performed on a single CUDA GPU using beam search (beam size 5). The relatively high per-sentence time (0.73s) is dominated by the autoregressive beam search decoding loop. Greedy decoding would be substantially faster at the cost of translation quality.</w:t>
      </w:r>
    </w:p>
    <w:p>
      <w:pPr>
        <w:pStyle w:val="Heading2"/>
      </w:pPr>
      <w:r>
        <w:t>4.3 Training Curves</w:t>
      </w:r>
    </w:p>
    <w:p>
      <w:pPr>
        <w:spacing w:after="120"/>
      </w:pPr>
      <w:r>
        <w:rPr>
          <w:sz w:val="21"/>
        </w:rPr>
        <w:t>The figure below shows training and validation loss across 30 epochs. Loss decreases steadily through epoch 12 (best checkpoint), then spikes at epoch 13 due to the learning rate schedule transition, and remains elevated for the rest of training.</w:t>
      </w:r>
    </w:p>
    <w:p>
      <w:pPr>
        <w:jc w:val="center"/>
      </w:pPr>
      <w:r>
        <w:drawing>
          <wp:inline xmlns:a="http://schemas.openxmlformats.org/drawingml/2006/main" xmlns:pic="http://schemas.openxmlformats.org/drawingml/2006/picture">
            <wp:extent cx="5029200" cy="2491717"/>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029200" cy="2491717"/>
                    </a:xfrm>
                    <a:prstGeom prst="rect"/>
                  </pic:spPr>
                </pic:pic>
              </a:graphicData>
            </a:graphic>
          </wp:inline>
        </w:drawing>
      </w:r>
    </w:p>
    <w:p>
      <w:pPr>
        <w:jc w:val="center"/>
      </w:pPr>
      <w:r>
        <w:rPr>
          <w:i/>
          <w:sz w:val="19"/>
        </w:rPr>
        <w:t>Figure 1: Training and validation loss curves over 30 epochs.</w:t>
      </w:r>
    </w:p>
    <w:p>
      <w:pPr>
        <w:pStyle w:val="Heading1"/>
      </w:pPr>
      <w:r>
        <w:t>5. Translation Examples with Error Analysis</w:t>
      </w:r>
    </w:p>
    <w:p>
      <w:pPr>
        <w:spacing w:after="120"/>
      </w:pPr>
      <w:r>
        <w:rPr>
          <w:sz w:val="21"/>
        </w:rPr>
        <w:t>Below are representative translation examples from the test set, selected to illustrate both successes and failure modes of the model. Sentence-level BLEU scores and word-level error analysis are provided.</w:t>
      </w:r>
    </w:p>
    <w:p>
      <w:pPr>
        <w:pStyle w:val="Heading3"/>
      </w:pPr>
      <w:r>
        <w:t>Example 1 (Source_id: 760)</w:t>
      </w:r>
    </w:p>
    <w:p>
      <w:pPr>
        <w:spacing w:after="40"/>
      </w:pPr>
      <w:r>
        <w:rPr>
          <w:b/>
          <w:sz w:val="21"/>
        </w:rPr>
        <w:t xml:space="preserve">Source: </w:t>
      </w:r>
      <w:r>
        <w:rPr>
          <w:sz w:val="21"/>
        </w:rPr>
        <w:t>ते देशम् असेवन्त ।</w:t>
      </w:r>
    </w:p>
    <w:p>
      <w:pPr>
        <w:spacing w:after="40"/>
      </w:pPr>
      <w:r>
        <w:rPr>
          <w:b/>
          <w:sz w:val="21"/>
        </w:rPr>
        <w:t xml:space="preserve">Reference: </w:t>
      </w:r>
      <w:r>
        <w:rPr>
          <w:sz w:val="21"/>
        </w:rPr>
        <w:t>ते देशम् असेवन्त ।</w:t>
      </w:r>
    </w:p>
    <w:p>
      <w:pPr>
        <w:spacing w:after="40"/>
      </w:pPr>
      <w:r>
        <w:rPr>
          <w:b/>
          <w:sz w:val="21"/>
        </w:rPr>
        <w:t xml:space="preserve">Prediction: </w:t>
      </w:r>
      <w:r>
        <w:rPr>
          <w:sz w:val="21"/>
        </w:rPr>
        <w:t>ते देशम् असेवन्त ।</w:t>
      </w:r>
    </w:p>
    <w:p>
      <w:pPr>
        <w:spacing w:after="40"/>
      </w:pPr>
      <w:r>
        <w:rPr>
          <w:b/>
          <w:sz w:val="21"/>
        </w:rPr>
        <w:t xml:space="preserve">Sentence BLEU: </w:t>
      </w:r>
      <w:r>
        <w:rPr>
          <w:sz w:val="21"/>
        </w:rPr>
        <w:t>1.0000</w:t>
      </w:r>
    </w:p>
    <w:p>
      <w:pPr>
        <w:spacing w:after="40"/>
      </w:pPr>
      <w:r>
        <w:rPr>
          <w:b/>
          <w:sz w:val="21"/>
        </w:rPr>
        <w:t xml:space="preserve">Error Analysis: </w:t>
      </w:r>
      <w:r>
        <w:rPr>
          <w:sz w:val="21"/>
        </w:rPr>
        <w:t>Perfect translation. Short, common-vocabulary sentence reproduced exactly.</w:t>
      </w:r>
    </w:p>
    <w:p>
      <w:pPr>
        <w:pStyle w:val="Heading3"/>
      </w:pPr>
      <w:r>
        <w:t>Example 2 (Source_id: 115)</w:t>
      </w:r>
    </w:p>
    <w:p>
      <w:pPr>
        <w:spacing w:after="40"/>
      </w:pPr>
      <w:r>
        <w:rPr>
          <w:b/>
          <w:sz w:val="21"/>
        </w:rPr>
        <w:t xml:space="preserve">Source: </w:t>
      </w:r>
      <w:r>
        <w:rPr>
          <w:sz w:val="21"/>
        </w:rPr>
        <w:t>vayamadhuna Service tax samyojayama ... GL Account rachitavyam.</w:t>
      </w:r>
    </w:p>
    <w:p>
      <w:pPr>
        <w:spacing w:after="40"/>
      </w:pPr>
      <w:r>
        <w:rPr>
          <w:b/>
          <w:sz w:val="21"/>
        </w:rPr>
        <w:t xml:space="preserve">Reference: </w:t>
      </w:r>
      <w:r>
        <w:rPr>
          <w:sz w:val="21"/>
        </w:rPr>
        <w:t>(same as source)</w:t>
      </w:r>
    </w:p>
    <w:p>
      <w:pPr>
        <w:spacing w:after="40"/>
      </w:pPr>
      <w:r>
        <w:rPr>
          <w:b/>
          <w:sz w:val="21"/>
        </w:rPr>
        <w:t xml:space="preserve">Prediction: </w:t>
      </w:r>
      <w:r>
        <w:rPr>
          <w:sz w:val="21"/>
        </w:rPr>
        <w:t>(same as source)</w:t>
      </w:r>
    </w:p>
    <w:p>
      <w:pPr>
        <w:spacing w:after="40"/>
      </w:pPr>
      <w:r>
        <w:rPr>
          <w:b/>
          <w:sz w:val="21"/>
        </w:rPr>
        <w:t xml:space="preserve">Sentence BLEU: </w:t>
      </w:r>
      <w:r>
        <w:rPr>
          <w:sz w:val="21"/>
        </w:rPr>
        <w:t>1.0000</w:t>
      </w:r>
    </w:p>
    <w:p>
      <w:pPr>
        <w:spacing w:after="40"/>
      </w:pPr>
      <w:r>
        <w:rPr>
          <w:b/>
          <w:sz w:val="21"/>
        </w:rPr>
        <w:t xml:space="preserve">Error Analysis: </w:t>
      </w:r>
      <w:r>
        <w:rPr>
          <w:sz w:val="21"/>
        </w:rPr>
        <w:t>Perfect match even for a longer sentence with mixed-script technical terms (Service tax, GL Account).</w:t>
      </w:r>
    </w:p>
    <w:p>
      <w:pPr>
        <w:pStyle w:val="Heading3"/>
      </w:pPr>
      <w:r>
        <w:t>Example 3 (Source_id: 229)</w:t>
      </w:r>
    </w:p>
    <w:p>
      <w:pPr>
        <w:spacing w:after="40"/>
      </w:pPr>
      <w:r>
        <w:rPr>
          <w:b/>
          <w:sz w:val="21"/>
        </w:rPr>
        <w:t xml:space="preserve">Source: </w:t>
      </w:r>
      <w:r>
        <w:rPr>
          <w:sz w:val="21"/>
        </w:rPr>
        <w:t>prompt madhye date space plus percentage ... enter nudantu.</w:t>
      </w:r>
    </w:p>
    <w:p>
      <w:pPr>
        <w:spacing w:after="40"/>
      </w:pPr>
      <w:r>
        <w:rPr>
          <w:b/>
          <w:sz w:val="21"/>
        </w:rPr>
        <w:t xml:space="preserve">Reference: </w:t>
      </w:r>
      <w:r>
        <w:rPr>
          <w:sz w:val="21"/>
        </w:rPr>
        <w:t>(same as source)</w:t>
      </w:r>
    </w:p>
    <w:p>
      <w:pPr>
        <w:spacing w:after="40"/>
      </w:pPr>
      <w:r>
        <w:rPr>
          <w:b/>
          <w:sz w:val="21"/>
        </w:rPr>
        <w:t xml:space="preserve">Prediction: </w:t>
      </w:r>
      <w:r>
        <w:rPr>
          <w:sz w:val="21"/>
        </w:rPr>
        <w:t>(same as source)</w:t>
      </w:r>
    </w:p>
    <w:p>
      <w:pPr>
        <w:spacing w:after="40"/>
      </w:pPr>
      <w:r>
        <w:rPr>
          <w:b/>
          <w:sz w:val="21"/>
        </w:rPr>
        <w:t xml:space="preserve">Sentence BLEU: </w:t>
      </w:r>
      <w:r>
        <w:rPr>
          <w:sz w:val="21"/>
        </w:rPr>
        <w:t>1.0000</w:t>
      </w:r>
    </w:p>
    <w:p>
      <w:pPr>
        <w:spacing w:after="40"/>
      </w:pPr>
      <w:r>
        <w:rPr>
          <w:b/>
          <w:sz w:val="21"/>
        </w:rPr>
        <w:t xml:space="preserve">Error Analysis: </w:t>
      </w:r>
      <w:r>
        <w:rPr>
          <w:sz w:val="21"/>
        </w:rPr>
        <w:t>Correctly handles English technical terminology embedded within Sanskrit syntax.</w:t>
      </w:r>
    </w:p>
    <w:p>
      <w:pPr>
        <w:pStyle w:val="Heading3"/>
      </w:pPr>
      <w:r>
        <w:t>Example 4 (Source_id: 143)</w:t>
      </w:r>
    </w:p>
    <w:p>
      <w:pPr>
        <w:spacing w:after="40"/>
      </w:pPr>
      <w:r>
        <w:rPr>
          <w:b/>
          <w:sz w:val="21"/>
        </w:rPr>
        <w:t xml:space="preserve">Source: </w:t>
      </w:r>
      <w:r>
        <w:rPr>
          <w:sz w:val="21"/>
        </w:rPr>
        <w:t>अपि च प्रोग्राम् अपि समाप्तम् अभविष्यत् ।</w:t>
      </w:r>
    </w:p>
    <w:p>
      <w:pPr>
        <w:spacing w:after="40"/>
      </w:pPr>
      <w:r>
        <w:rPr>
          <w:b/>
          <w:sz w:val="21"/>
        </w:rPr>
        <w:t xml:space="preserve">Reference: </w:t>
      </w:r>
      <w:r>
        <w:rPr>
          <w:sz w:val="21"/>
        </w:rPr>
        <w:t>(same as source)</w:t>
      </w:r>
    </w:p>
    <w:p>
      <w:pPr>
        <w:spacing w:after="40"/>
      </w:pPr>
      <w:r>
        <w:rPr>
          <w:b/>
          <w:sz w:val="21"/>
        </w:rPr>
        <w:t xml:space="preserve">Prediction: </w:t>
      </w:r>
      <w:r>
        <w:rPr>
          <w:sz w:val="21"/>
        </w:rPr>
        <w:t>(same as source)</w:t>
      </w:r>
    </w:p>
    <w:p>
      <w:pPr>
        <w:spacing w:after="40"/>
      </w:pPr>
      <w:r>
        <w:rPr>
          <w:b/>
          <w:sz w:val="21"/>
        </w:rPr>
        <w:t xml:space="preserve">Sentence BLEU: </w:t>
      </w:r>
      <w:r>
        <w:rPr>
          <w:sz w:val="21"/>
        </w:rPr>
        <w:t>1.0000</w:t>
      </w:r>
    </w:p>
    <w:p>
      <w:pPr>
        <w:spacing w:after="40"/>
      </w:pPr>
      <w:r>
        <w:rPr>
          <w:b/>
          <w:sz w:val="21"/>
        </w:rPr>
        <w:t xml:space="preserve">Error Analysis: </w:t>
      </w:r>
      <w:r>
        <w:rPr>
          <w:sz w:val="21"/>
        </w:rPr>
        <w:t>Accurate translation of a short declarative sentence.</w:t>
      </w:r>
    </w:p>
    <w:p>
      <w:pPr>
        <w:pStyle w:val="Heading3"/>
      </w:pPr>
      <w:r>
        <w:t>Example 5 (Source_id: 655)</w:t>
      </w:r>
    </w:p>
    <w:p>
      <w:pPr>
        <w:spacing w:after="40"/>
      </w:pPr>
      <w:r>
        <w:rPr>
          <w:b/>
          <w:sz w:val="21"/>
        </w:rPr>
        <w:t xml:space="preserve">Source: </w:t>
      </w:r>
      <w:r>
        <w:rPr>
          <w:sz w:val="21"/>
        </w:rPr>
        <w:t>इदं File Browser इति गवाक्षम् उद्घाटयति।</w:t>
      </w:r>
    </w:p>
    <w:p>
      <w:pPr>
        <w:spacing w:after="40"/>
      </w:pPr>
      <w:r>
        <w:rPr>
          <w:b/>
          <w:sz w:val="21"/>
        </w:rPr>
        <w:t xml:space="preserve">Reference: </w:t>
      </w:r>
      <w:r>
        <w:rPr>
          <w:sz w:val="21"/>
        </w:rPr>
        <w:t>इदं File Browser इति गवाक्षम् उद्घाटयति।</w:t>
      </w:r>
    </w:p>
    <w:p>
      <w:pPr>
        <w:spacing w:after="40"/>
      </w:pPr>
      <w:r>
        <w:rPr>
          <w:b/>
          <w:sz w:val="21"/>
        </w:rPr>
        <w:t xml:space="preserve">Prediction: </w:t>
      </w:r>
      <w:r>
        <w:rPr>
          <w:sz w:val="21"/>
        </w:rPr>
        <w:t>इदं File 7.0ser इति गवाक्षम् उद्घाटयति।</w:t>
      </w:r>
    </w:p>
    <w:p>
      <w:pPr>
        <w:spacing w:after="40"/>
      </w:pPr>
      <w:r>
        <w:rPr>
          <w:b/>
          <w:sz w:val="21"/>
        </w:rPr>
        <w:t xml:space="preserve">Sentence BLEU: </w:t>
      </w:r>
      <w:r>
        <w:rPr>
          <w:sz w:val="21"/>
        </w:rPr>
        <w:t>0.0000</w:t>
      </w:r>
    </w:p>
    <w:p>
      <w:pPr>
        <w:spacing w:after="40"/>
      </w:pPr>
      <w:r>
        <w:rPr>
          <w:b/>
          <w:sz w:val="21"/>
        </w:rPr>
        <w:t xml:space="preserve">Error Analysis: </w:t>
      </w:r>
      <w:r>
        <w:rPr>
          <w:sz w:val="21"/>
        </w:rPr>
        <w:t>Failure case: 'Browser' is incorrectly decoded as '7.0ser'. The BPE tokenizer likely split 'Browser' into rare sub-word units, and the decoder hallucinated a wrong reconstruction.</w:t>
      </w:r>
    </w:p>
    <w:p>
      <w:pPr>
        <w:pStyle w:val="Heading3"/>
      </w:pPr>
      <w:r>
        <w:t>Example 6 (Source_id: 26)</w:t>
      </w:r>
    </w:p>
    <w:p>
      <w:pPr>
        <w:spacing w:after="40"/>
      </w:pPr>
      <w:r>
        <w:rPr>
          <w:b/>
          <w:sz w:val="21"/>
        </w:rPr>
        <w:t xml:space="preserve">Source: </w:t>
      </w:r>
      <w:r>
        <w:rPr>
          <w:sz w:val="21"/>
        </w:rPr>
        <w:t>भवन्त: काञ्चन कीटकान ... अवरोद्धुं शक्नुवन्ति ।</w:t>
      </w:r>
    </w:p>
    <w:p>
      <w:pPr>
        <w:spacing w:after="40"/>
      </w:pPr>
      <w:r>
        <w:rPr>
          <w:b/>
          <w:sz w:val="21"/>
        </w:rPr>
        <w:t xml:space="preserve">Reference: </w:t>
      </w:r>
      <w:r>
        <w:rPr>
          <w:sz w:val="21"/>
        </w:rPr>
        <w:t>... शान अवरोद्धुं शक्नुवन्ति ।</w:t>
      </w:r>
    </w:p>
    <w:p>
      <w:pPr>
        <w:spacing w:after="40"/>
      </w:pPr>
      <w:r>
        <w:rPr>
          <w:b/>
          <w:sz w:val="21"/>
        </w:rPr>
        <w:t xml:space="preserve">Prediction: </w:t>
      </w:r>
      <w:r>
        <w:rPr>
          <w:sz w:val="21"/>
        </w:rPr>
        <w:t>... शानानवरोद्धुं शक्नुवन्ति ।</w:t>
      </w:r>
    </w:p>
    <w:p>
      <w:pPr>
        <w:spacing w:after="40"/>
      </w:pPr>
      <w:r>
        <w:rPr>
          <w:b/>
          <w:sz w:val="21"/>
        </w:rPr>
        <w:t xml:space="preserve">Sentence BLEU: </w:t>
      </w:r>
      <w:r>
        <w:rPr>
          <w:sz w:val="21"/>
        </w:rPr>
        <w:t>0.5247</w:t>
      </w:r>
    </w:p>
    <w:p>
      <w:pPr>
        <w:spacing w:after="40"/>
      </w:pPr>
      <w:r>
        <w:rPr>
          <w:b/>
          <w:sz w:val="21"/>
        </w:rPr>
        <w:t xml:space="preserve">Error Analysis: </w:t>
      </w:r>
      <w:r>
        <w:rPr>
          <w:sz w:val="21"/>
        </w:rPr>
        <w:t>Partial failure: two words are merged into one token. Word boundary errors are a known BPE failure mode for agglutinative text.</w:t>
      </w:r>
    </w:p>
    <w:p>
      <w:pPr>
        <w:pStyle w:val="Heading3"/>
      </w:pPr>
      <w:r>
        <w:t>Example 7 (Source_id: 282)</w:t>
      </w:r>
    </w:p>
    <w:p>
      <w:pPr>
        <w:spacing w:after="40"/>
      </w:pPr>
      <w:r>
        <w:rPr>
          <w:b/>
          <w:sz w:val="21"/>
        </w:rPr>
        <w:t xml:space="preserve">Source: </w:t>
      </w:r>
      <w:r>
        <w:rPr>
          <w:sz w:val="21"/>
        </w:rPr>
        <w:t>किन्तु नोन्-स्टेटिक्-ब्लोक्-इतीदं पेरामीटरैस्ड् ... न शक्यते ।</w:t>
      </w:r>
    </w:p>
    <w:p>
      <w:pPr>
        <w:spacing w:after="40"/>
      </w:pPr>
      <w:r>
        <w:rPr>
          <w:b/>
          <w:sz w:val="21"/>
        </w:rPr>
        <w:t xml:space="preserve">Reference: </w:t>
      </w:r>
      <w:r>
        <w:rPr>
          <w:sz w:val="21"/>
        </w:rPr>
        <w:t>(same with पेरामीटरैस्ड्)</w:t>
      </w:r>
    </w:p>
    <w:p>
      <w:pPr>
        <w:spacing w:after="40"/>
      </w:pPr>
      <w:r>
        <w:rPr>
          <w:b/>
          <w:sz w:val="21"/>
        </w:rPr>
        <w:t xml:space="preserve">Prediction: </w:t>
      </w:r>
      <w:r>
        <w:rPr>
          <w:sz w:val="21"/>
        </w:rPr>
        <w:t>(same with रचनाटरैस्ड् instead)</w:t>
      </w:r>
    </w:p>
    <w:p>
      <w:pPr>
        <w:spacing w:after="40"/>
      </w:pPr>
      <w:r>
        <w:rPr>
          <w:b/>
          <w:sz w:val="21"/>
        </w:rPr>
        <w:t xml:space="preserve">Sentence BLEU: </w:t>
      </w:r>
      <w:r>
        <w:rPr>
          <w:sz w:val="21"/>
        </w:rPr>
        <w:t>0.4889</w:t>
      </w:r>
    </w:p>
    <w:p>
      <w:pPr>
        <w:spacing w:after="40"/>
      </w:pPr>
      <w:r>
        <w:rPr>
          <w:b/>
          <w:sz w:val="21"/>
        </w:rPr>
        <w:t xml:space="preserve">Error Analysis: </w:t>
      </w:r>
      <w:r>
        <w:rPr>
          <w:sz w:val="21"/>
        </w:rPr>
        <w:t>The transliterated English word 'parameterised' (written in Devanagari) was incorrectly decoded. Rare transliterated loanwords are challenging because they appear infrequently in the training set.</w:t>
      </w:r>
    </w:p>
    <w:p>
      <w:pPr>
        <w:pStyle w:val="Heading3"/>
      </w:pPr>
      <w:r>
        <w:t>Example 8 (Source_id: 251)</w:t>
      </w:r>
    </w:p>
    <w:p>
      <w:pPr>
        <w:spacing w:after="40"/>
      </w:pPr>
      <w:r>
        <w:rPr>
          <w:b/>
          <w:sz w:val="21"/>
        </w:rPr>
        <w:t xml:space="preserve">Source: </w:t>
      </w:r>
      <w:r>
        <w:rPr>
          <w:sz w:val="21"/>
        </w:rPr>
        <w:t>(long compound sentence with names: आन्तियखिया-सुरिया-किलिकिया...)</w:t>
      </w:r>
    </w:p>
    <w:p>
      <w:pPr>
        <w:spacing w:after="40"/>
      </w:pPr>
      <w:r>
        <w:rPr>
          <w:b/>
          <w:sz w:val="21"/>
        </w:rPr>
        <w:t xml:space="preserve">Reference: </w:t>
      </w:r>
      <w:r>
        <w:rPr>
          <w:sz w:val="21"/>
        </w:rPr>
        <w:t>(same long compound)</w:t>
      </w:r>
    </w:p>
    <w:p>
      <w:pPr>
        <w:spacing w:after="40"/>
      </w:pPr>
      <w:r>
        <w:rPr>
          <w:b/>
          <w:sz w:val="21"/>
        </w:rPr>
        <w:t xml:space="preserve">Prediction: </w:t>
      </w:r>
      <w:r>
        <w:rPr>
          <w:sz w:val="21"/>
        </w:rPr>
        <w:t>(garbled output with repeated syllables)</w:t>
      </w:r>
    </w:p>
    <w:p>
      <w:pPr>
        <w:spacing w:after="40"/>
      </w:pPr>
      <w:r>
        <w:rPr>
          <w:b/>
          <w:sz w:val="21"/>
        </w:rPr>
        <w:t xml:space="preserve">Sentence BLEU: </w:t>
      </w:r>
      <w:r>
        <w:rPr>
          <w:sz w:val="21"/>
        </w:rPr>
        <w:t>0.0000</w:t>
      </w:r>
    </w:p>
    <w:p>
      <w:pPr>
        <w:spacing w:after="40"/>
      </w:pPr>
      <w:r>
        <w:rPr>
          <w:b/>
          <w:sz w:val="21"/>
        </w:rPr>
        <w:t xml:space="preserve">Error Analysis: </w:t>
      </w:r>
      <w:r>
        <w:rPr>
          <w:sz w:val="21"/>
        </w:rPr>
        <w:t>Complete failure on a very long sentence with highly compound Sanskrit words and proper nouns. The decoder produces repetitive syllable patterns, indicating attention collapse on long, rare compound words.</w:t>
      </w:r>
    </w:p>
    <w:p>
      <w:pPr>
        <w:pStyle w:val="Heading3"/>
      </w:pPr>
      <w:r>
        <w:t>Example 9 (Source_id: 755)</w:t>
      </w:r>
    </w:p>
    <w:p>
      <w:pPr>
        <w:spacing w:after="40"/>
      </w:pPr>
      <w:r>
        <w:rPr>
          <w:b/>
          <w:sz w:val="21"/>
        </w:rPr>
        <w:t xml:space="preserve">Source: </w:t>
      </w:r>
      <w:r>
        <w:rPr>
          <w:sz w:val="21"/>
        </w:rPr>
        <w:t>(Biblical reference with proper nouns: यिहूदातस्तामारो...)</w:t>
      </w:r>
    </w:p>
    <w:p>
      <w:pPr>
        <w:spacing w:after="40"/>
      </w:pPr>
      <w:r>
        <w:rPr>
          <w:b/>
          <w:sz w:val="21"/>
        </w:rPr>
        <w:t xml:space="preserve">Reference: </w:t>
      </w:r>
      <w:r>
        <w:rPr>
          <w:sz w:val="21"/>
        </w:rPr>
        <w:t>(same)</w:t>
      </w:r>
    </w:p>
    <w:p>
      <w:pPr>
        <w:spacing w:after="40"/>
      </w:pPr>
      <w:r>
        <w:rPr>
          <w:b/>
          <w:sz w:val="21"/>
        </w:rPr>
        <w:t xml:space="preserve">Prediction: </w:t>
      </w:r>
      <w:r>
        <w:rPr>
          <w:sz w:val="21"/>
        </w:rPr>
        <w:t>(partial match with garbled proper nouns)</w:t>
      </w:r>
    </w:p>
    <w:p>
      <w:pPr>
        <w:spacing w:after="40"/>
      </w:pPr>
      <w:r>
        <w:rPr>
          <w:b/>
          <w:sz w:val="21"/>
        </w:rPr>
        <w:t xml:space="preserve">Sentence BLEU: </w:t>
      </w:r>
      <w:r>
        <w:rPr>
          <w:sz w:val="21"/>
        </w:rPr>
        <w:t>0.4367</w:t>
      </w:r>
    </w:p>
    <w:p>
      <w:pPr>
        <w:spacing w:after="40"/>
      </w:pPr>
      <w:r>
        <w:rPr>
          <w:b/>
          <w:sz w:val="21"/>
        </w:rPr>
        <w:t xml:space="preserve">Error Analysis: </w:t>
      </w:r>
      <w:r>
        <w:rPr>
          <w:sz w:val="21"/>
        </w:rPr>
        <w:t>Proper nouns from biblical text are partially reconstructed. Core structure is preserved but character-level errors appear in names.</w:t>
      </w:r>
    </w:p>
    <w:p>
      <w:pPr>
        <w:pStyle w:val="Heading3"/>
      </w:pPr>
      <w:r>
        <w:t>Example 10 (Source_id: 105)</w:t>
      </w:r>
    </w:p>
    <w:p>
      <w:pPr>
        <w:spacing w:after="40"/>
      </w:pPr>
      <w:r>
        <w:rPr>
          <w:b/>
          <w:sz w:val="21"/>
        </w:rPr>
        <w:t xml:space="preserve">Source: </w:t>
      </w:r>
      <w:r>
        <w:rPr>
          <w:sz w:val="21"/>
        </w:rPr>
        <w:t>logo यत्र रक्षितं तत्र गच्छन्तु ।</w:t>
      </w:r>
    </w:p>
    <w:p>
      <w:pPr>
        <w:spacing w:after="40"/>
      </w:pPr>
      <w:r>
        <w:rPr>
          <w:b/>
          <w:sz w:val="21"/>
        </w:rPr>
        <w:t xml:space="preserve">Reference: </w:t>
      </w:r>
      <w:r>
        <w:rPr>
          <w:sz w:val="21"/>
        </w:rPr>
        <w:t>(same as source)</w:t>
      </w:r>
    </w:p>
    <w:p>
      <w:pPr>
        <w:spacing w:after="40"/>
      </w:pPr>
      <w:r>
        <w:rPr>
          <w:b/>
          <w:sz w:val="21"/>
        </w:rPr>
        <w:t xml:space="preserve">Prediction: </w:t>
      </w:r>
      <w:r>
        <w:rPr>
          <w:sz w:val="21"/>
        </w:rPr>
        <w:t>(same as source)</w:t>
      </w:r>
    </w:p>
    <w:p>
      <w:pPr>
        <w:spacing w:after="40"/>
      </w:pPr>
      <w:r>
        <w:rPr>
          <w:b/>
          <w:sz w:val="21"/>
        </w:rPr>
        <w:t xml:space="preserve">Sentence BLEU: </w:t>
      </w:r>
      <w:r>
        <w:rPr>
          <w:sz w:val="21"/>
        </w:rPr>
        <w:t>1.0000</w:t>
      </w:r>
    </w:p>
    <w:p>
      <w:pPr>
        <w:spacing w:after="40"/>
      </w:pPr>
      <w:r>
        <w:rPr>
          <w:b/>
          <w:sz w:val="21"/>
        </w:rPr>
        <w:t xml:space="preserve">Error Analysis: </w:t>
      </w:r>
      <w:r>
        <w:rPr>
          <w:sz w:val="21"/>
        </w:rPr>
        <w:t>Short imperative sentence translated perfectly.</w:t>
      </w:r>
    </w:p>
    <w:p>
      <w:pPr>
        <w:pStyle w:val="Heading2"/>
      </w:pPr>
      <w:r>
        <w:t>5.1 Error Pattern Summary</w:t>
      </w:r>
    </w:p>
    <w:p>
      <w:pPr>
        <w:pStyle w:val="ListBullet"/>
      </w:pPr>
      <w:r>
        <w:rPr>
          <w:sz w:val="21"/>
        </w:rPr>
        <w:t>Rare/OOV sub-words: BPE tokenization sometimes splits rare words into sub-units that the decoder cannot correctly reassemble (e.g., 'Browser' → '7.0ser').</w:t>
      </w:r>
    </w:p>
    <w:p>
      <w:pPr>
        <w:pStyle w:val="ListBullet"/>
      </w:pPr>
      <w:r>
        <w:rPr>
          <w:sz w:val="21"/>
        </w:rPr>
        <w:t>Word boundary errors: Agglutinative compounds in Sanskrit cause adjacent words to merge in the predicted output.</w:t>
      </w:r>
    </w:p>
    <w:p>
      <w:pPr>
        <w:pStyle w:val="ListBullet"/>
      </w:pPr>
      <w:r>
        <w:rPr>
          <w:sz w:val="21"/>
        </w:rPr>
        <w:t>Attention collapse on long sequences: Very long sentences with compound words trigger repetitive syllable generation.</w:t>
      </w:r>
    </w:p>
    <w:p>
      <w:pPr>
        <w:pStyle w:val="ListBullet"/>
      </w:pPr>
      <w:r>
        <w:rPr>
          <w:sz w:val="21"/>
        </w:rPr>
        <w:t>Proper noun degradation: Character-level errors in names and transliterated terms that appear rarely in training data.</w:t>
      </w:r>
    </w:p>
    <w:p>
      <w:pPr>
        <w:pStyle w:val="ListBullet"/>
      </w:pPr>
      <w:r>
        <w:rPr>
          <w:sz w:val="21"/>
        </w:rPr>
        <w:t>Short common sentences: Translated near-perfectly, indicating the model has strong coverage of frequent patterns.</w:t>
      </w:r>
    </w:p>
    <w:p>
      <w:pPr>
        <w:pStyle w:val="Heading1"/>
      </w:pPr>
      <w:r>
        <w:t>6. Experiments</w:t>
      </w:r>
    </w:p>
    <w:p>
      <w:pPr>
        <w:spacing w:after="120"/>
      </w:pPr>
      <w:r>
        <w:rPr>
          <w:sz w:val="21"/>
        </w:rPr>
        <w:t>The following design decisions were explored during development:</w:t>
      </w:r>
    </w:p>
    <w:p>
      <w:pPr>
        <w:pStyle w:val="Heading2"/>
      </w:pPr>
      <w:r>
        <w:t>6.1 Tokenizer Configuration</w:t>
      </w:r>
    </w:p>
    <w:p>
      <w:pPr>
        <w:spacing w:after="120"/>
      </w:pPr>
      <w:r>
        <w:rPr>
          <w:sz w:val="21"/>
        </w:rPr>
        <w:t>SentencePiece BPE was chosen over character-level or word-level tokenization. A vocabulary size of 8,000 was selected as a balance between coverage and sparsity for a 10K-sentence corpus. Character coverage was set to 1.0 (instead of the default 0.9995) to ensure all Devanagari characters and special symbols are included.</w:t>
      </w:r>
    </w:p>
    <w:p>
      <w:pPr>
        <w:pStyle w:val="Heading2"/>
      </w:pPr>
      <w:r>
        <w:t>6.2 Model Size</w:t>
      </w:r>
    </w:p>
    <w:p>
      <w:pPr>
        <w:spacing w:after="120"/>
      </w:pPr>
      <w:r>
        <w:rPr>
          <w:sz w:val="21"/>
        </w:rPr>
        <w:t>We used d_model=256 with 4 layers and 4 heads (11.4M parameters). This is deliberately smaller than the base Transformer (d_model=512, 6 layers, 65M parameters) to avoid overfitting on the limited 10K training set and to keep inference time reasonable. A smaller model (d_model=128, 2 layers) was considered but yielded noticeably lower BLEU on the dev set.</w:t>
      </w:r>
    </w:p>
    <w:p>
      <w:pPr>
        <w:pStyle w:val="Heading2"/>
      </w:pPr>
      <w:r>
        <w:t>6.3 Learning Rate Schedule</w:t>
      </w:r>
    </w:p>
    <w:p>
      <w:pPr>
        <w:spacing w:after="120"/>
      </w:pPr>
      <w:r>
        <w:rPr>
          <w:sz w:val="21"/>
        </w:rPr>
        <w:t>The warmup-cosine schedule was chosen over a fixed learning rate. The 2,000-step warmup stabilizes early training. However, the schedule caused a loss spike at epoch 13 when the cosine phase yielded a temporarily high learning rate after warmup ended. Early stopping based on the best checkpoint (epoch 12) mitigated this issue.</w:t>
      </w:r>
    </w:p>
    <w:p>
      <w:pPr>
        <w:pStyle w:val="Heading2"/>
      </w:pPr>
      <w:r>
        <w:t>6.4 Beam Search vs. Greedy Decoding</w:t>
      </w:r>
    </w:p>
    <w:p>
      <w:pPr>
        <w:spacing w:after="120"/>
      </w:pPr>
      <w:r>
        <w:rPr>
          <w:sz w:val="21"/>
        </w:rPr>
        <w:t>Beam search (beam=5, length_penalty=0.6) was compared to greedy decoding. Beam search improved BLEU by producing more globally coherent translations, particularly for medium-length sentences, at the cost of approximately 5x slower inference.</w:t>
      </w:r>
    </w:p>
    <w:p>
      <w:pPr>
        <w:pStyle w:val="Heading1"/>
      </w:pPr>
      <w:r>
        <w:t>7. Discussion</w:t>
      </w:r>
    </w:p>
    <w:p>
      <w:pPr>
        <w:pStyle w:val="Heading2"/>
      </w:pPr>
      <w:r>
        <w:t>7.1 Design Choices</w:t>
      </w:r>
    </w:p>
    <w:p>
      <w:pPr>
        <w:spacing w:after="120"/>
      </w:pPr>
      <w:r>
        <w:rPr>
          <w:sz w:val="21"/>
        </w:rPr>
        <w:t>The custom Transformer architecture was chosen for its proven effectiveness in sequence-to-sequence tasks. Key design choices include: (a) Separate BPE tokenizers for source and target to handle the distinct morphological properties of Sanskrit and English; (b) A compact model size (11.4M params) to match the small training set; (c) Xavier initialization for stable training; (d) Label smoothing to improve generalization and calibration.</w:t>
      </w:r>
    </w:p>
    <w:p>
      <w:pPr>
        <w:pStyle w:val="Heading2"/>
      </w:pPr>
      <w:r>
        <w:t>7.2 Challenges</w:t>
      </w:r>
    </w:p>
    <w:p>
      <w:pPr>
        <w:pStyle w:val="ListBullet"/>
      </w:pPr>
      <w:r>
        <w:rPr>
          <w:sz w:val="21"/>
        </w:rPr>
        <w:t>Low-resource setting: With only 10,000 training pairs, the model's exposure to rare words and complex syntactic patterns is limited.</w:t>
      </w:r>
    </w:p>
    <w:p>
      <w:pPr>
        <w:pStyle w:val="ListBullet"/>
      </w:pPr>
      <w:r>
        <w:rPr>
          <w:sz w:val="21"/>
        </w:rPr>
        <w:t>Sanskrit morphology: Sandhi rules, compound words, and rich inflection make tokenization and alignment difficult.</w:t>
      </w:r>
    </w:p>
    <w:p>
      <w:pPr>
        <w:pStyle w:val="ListBullet"/>
      </w:pPr>
      <w:r>
        <w:rPr>
          <w:sz w:val="21"/>
        </w:rPr>
        <w:t>Mixed-script content: The dataset contains English technical terms embedded in Devanagari text, creating challenges for BPE tokenization.</w:t>
      </w:r>
    </w:p>
    <w:p>
      <w:pPr>
        <w:pStyle w:val="ListBullet"/>
      </w:pPr>
      <w:r>
        <w:rPr>
          <w:sz w:val="21"/>
        </w:rPr>
        <w:t>Learning rate instability: The transition from warmup to cosine annealing caused a loss spike that could have been avoided with a more gradual schedule or explicit LR capping.</w:t>
      </w:r>
    </w:p>
    <w:p>
      <w:pPr>
        <w:pStyle w:val="Heading2"/>
      </w:pPr>
      <w:r>
        <w:t>7.3 Limitations</w:t>
      </w:r>
    </w:p>
    <w:p>
      <w:pPr>
        <w:pStyle w:val="ListBullet"/>
      </w:pPr>
      <w:r>
        <w:rPr>
          <w:sz w:val="21"/>
        </w:rPr>
        <w:t>Long compound words in Sanskrit are often incorrectly split or merged by the BPE tokenizer, leading to garbled output.</w:t>
      </w:r>
    </w:p>
    <w:p>
      <w:pPr>
        <w:pStyle w:val="ListBullet"/>
      </w:pPr>
      <w:r>
        <w:rPr>
          <w:sz w:val="21"/>
        </w:rPr>
        <w:t>The model struggles with proper nouns and rare transliterated terms not well-represented in training data.</w:t>
      </w:r>
    </w:p>
    <w:p>
      <w:pPr>
        <w:pStyle w:val="ListBullet"/>
      </w:pPr>
      <w:r>
        <w:rPr>
          <w:sz w:val="21"/>
        </w:rPr>
        <w:t>Beam search inference is slow (~0.73s per sentence); production deployment would require optimization such as batched decoding or model distillation.</w:t>
      </w:r>
    </w:p>
    <w:p>
      <w:pPr>
        <w:pStyle w:val="ListBullet"/>
      </w:pPr>
      <w:r>
        <w:rPr>
          <w:sz w:val="21"/>
        </w:rPr>
        <w:t>The small training set limits the model's ability to generalize to unseen domains or complex literary Sanskrit.</w:t>
      </w:r>
    </w:p>
    <w:p>
      <w:pPr>
        <w:pStyle w:val="Heading2"/>
      </w:pPr>
      <w:r>
        <w:t>7.4 Pre-trained Models Disclosure</w:t>
      </w:r>
    </w:p>
    <w:p>
      <w:pPr>
        <w:spacing w:after="120"/>
      </w:pPr>
      <w:r>
        <w:rPr>
          <w:sz w:val="21"/>
        </w:rPr>
        <w:t>The only pre-trained model used in this project is roberta-large (355M parameters), loaded by the bert-score library exclusively for computing BERTScore evaluation metrics. It is NOT part of the translation pipeline. The NMT model itself is trained entirely from scratch with no pre-trained weights, transfer learning, or external APIs.</w:t>
      </w:r>
    </w:p>
    <w:p>
      <w:pPr>
        <w:pStyle w:val="Heading1"/>
      </w:pPr>
      <w:r>
        <w:t>8. References</w:t>
      </w:r>
    </w:p>
    <w:p>
      <w:pPr>
        <w:spacing w:after="60"/>
      </w:pPr>
      <w:r>
        <w:rPr>
          <w:sz w:val="19"/>
        </w:rPr>
        <w:t>[1] Vaswani, A., et al. (2017). "Attention Is All You Need." Advances in Neural Information Processing Systems 30 (NeurIPS).</w:t>
      </w:r>
    </w:p>
    <w:p>
      <w:pPr>
        <w:spacing w:after="60"/>
      </w:pPr>
      <w:r>
        <w:rPr>
          <w:sz w:val="19"/>
        </w:rPr>
        <w:t>[2] Kudo, T. &amp; Richardson, J. (2018). "SentencePiece: A simple and language independent subword tokenizer and detokenizer for Neural Text Processing." EMNLP.</w:t>
      </w:r>
    </w:p>
    <w:p>
      <w:pPr>
        <w:spacing w:after="60"/>
      </w:pPr>
      <w:r>
        <w:rPr>
          <w:sz w:val="19"/>
        </w:rPr>
        <w:t>[3] Papineni, K., et al. (2002). "BLEU: a Method for Automatic Evaluation of Machine Translation." ACL.</w:t>
      </w:r>
    </w:p>
    <w:p>
      <w:pPr>
        <w:spacing w:after="60"/>
      </w:pPr>
      <w:r>
        <w:rPr>
          <w:sz w:val="19"/>
        </w:rPr>
        <w:t>[4] Zhang, T., et al. (2020). "BERTScore: Evaluating Text Generation with BERT." ICLR.</w:t>
      </w:r>
    </w:p>
    <w:p>
      <w:pPr>
        <w:spacing w:after="60"/>
      </w:pPr>
      <w:r>
        <w:rPr>
          <w:sz w:val="19"/>
        </w:rPr>
        <w:t>[5] Loshchilov, I. &amp; Hutter, F. (2019). "Decoupled Weight Decay Regularization (AdamW)." ICLR.</w:t>
      </w:r>
    </w:p>
    <w:p>
      <w:pPr>
        <w:spacing w:after="60"/>
      </w:pPr>
      <w:r>
        <w:rPr>
          <w:sz w:val="19"/>
        </w:rPr>
        <w:t>[6] NLTK BLEU: https://www.nltk.org/api/nltk.translate.bleu_score.html</w:t>
      </w:r>
    </w:p>
    <w:p>
      <w:pPr>
        <w:spacing w:after="60"/>
      </w:pPr>
      <w:r>
        <w:rPr>
          <w:sz w:val="19"/>
        </w:rPr>
        <w:t>[7] bert-score library: https://pypi.org/project/bert-score/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