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drawing>
          <wp:inline distT="0" distB="0" distL="0" distR="0">
            <wp:extent cx="10668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52"/>
          <w:szCs w:val="52"/>
        </w:rPr>
        <w:t xml:space="preserve">FlyDEX 合伙人及 0 号线政策</w:t>
      </w:r>
    </w:p>
    <w:p>
      <w:pPr>
        <w:spacing w:before="1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V1.0 · FlyDEX Foundation · 内部执行文件（保密）</w:t>
      </w:r>
    </w:p>
    <w:p>
      <w:pPr>
        <w:pBdr>
          <w:bottom w:val="single" w:color="C00000" w:sz="18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一、市场扶持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每位合伙人市场预算总额不超过 30 万 USDT；按合伙人和总部共同制定市场规划，分批次以小步快跑的方式执行。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无预付、无前置，凭合规凭证实报实销；报销当天申报、总部 1 个工作日内审结。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预算与业绩挂钩：连续 3 个月净入金业绩未达 10 万 USDT 门槛的，未使用预算额度自动收缩 50%，达标后恢复。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0 号线由总部拉群支持，其市场开支计入该合伙人预算总额内；所有开支须符合总部政策与话术纪律。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二、0 号线设置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每位合伙人的 0 号线不少于 3 条、不多于 6 条。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0 号线定义：由总部协助建群、直连合伙人的启动线。0 号线业绩计入合伙人业绩，并产生级差返佣（有级差）。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0 号线之间平级隔离，不得互挂、互导业绩。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三、级别赠送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合伙人赠送 N4 级别，0 号线赠送 N3 级别；赠送级别自授予日起即可产生返佣支出。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保护期 2 个月：保护期内按赠送级别与实际业绩级别取高执行；期满一次性对齐实际业绩级别，不设缓降。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四、前期返点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启动后前 4 周，按当周总入金给予合伙人市场返点：第 1 周 20%、第 2 周 15%、第 3 周 10%、第 4 周 5%，连续返 4 周；以 EDEX 平台币结算，从团队推广池列支，不动用客户认购资金。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按周结算；单期结算额低于 2,000 USD 等值的，累计滚入下期，不作废。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五、合伙人基金会激励池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从基金会代币份额（总量 10%）（计 1 亿枚）中划出 30%（3,000 万枚 EDEX）作为合伙人基金会激励池。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启动满 1 年后，按合伙人净入金业绩加权分配；参与分配者团队级别不低于 S1。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激励池代币随基金会解锁节奏解锁；中途退出或违规被取消资格者，其份额回归池内按权重再分配。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六、上币提名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每位合伙人每年 1 个上币提名权，不可转让；提名时团队级别不低于 S1。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提名仅为进入上币委员会评审的资格，须通过技术、法务与做市标准（含卖出摩擦兼容与联合做市要求）；被否决不视为消耗提名权。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七、纪律与追回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话术纪律：合伙人及 0 号线仅可使用总部统一物料，严禁『保本』『固定收益』『理财』等承诺性表述；违规产生的责任由行为人自负。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追回条款（Clawback）：自买单刷入金、虚假业绩、违规宣传的，扣回已发返点、取消激励池资格，情节严重者解除合伙资格。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排他条款：合伙期内不得同时代理或推广竞品交易所及同类项目。</w:t>
      </w:r>
    </w:p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注：本政策与《FlyDEX 模式与制度（落地执行方案）》配套执行，冲突之处以总部最新公告为准。</w:t>
      </w:r>
    </w:p>
    <w:p>
      <w:pPr>
        <w:spacing w:before="700"/>
        <w:jc w:val="right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FlyDEX Foundation  发布</w:t>
      </w:r>
    </w:p>
    <w:p>
      <w:pPr>
        <w:spacing w:before="120"/>
        <w:jc w:val="right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二〇二六年八月十日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46e0c3912ccebdd49237cd9d6e986104337b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2026-08-10T19:49:20.475Z</dcterms:created>
  <dcterms:modified xsi:type="dcterms:W3CDTF">2026-08-10T19:49:20.478Z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