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  <w:jc w:val="center"/>
      </w:pPr>
      <w:r>
        <w:drawing>
          <wp:inline distT="0" distB="0" distL="0" distR="0">
            <wp:extent cx="10668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00"/>
        <w:jc w:val="center"/>
      </w:pPr>
      <w:r>
        <w:rPr>
          <w:rFonts w:ascii="Microsoft YaHei" w:cs="Microsoft YaHei" w:eastAsia="Microsoft YaHei" w:hAnsi="Microsoft YaHei"/>
          <w:b/>
          <w:bCs/>
          <w:color w:val="1F6FEB"/>
          <w:sz w:val="56"/>
          <w:szCs w:val="56"/>
        </w:rPr>
        <w:t xml:space="preserve">FlyDEX 模式与制度</w:t>
      </w:r>
    </w:p>
    <w:p>
      <w:pPr>
        <w:spacing w:after="0" w:before="200"/>
        <w:jc w:val="center"/>
      </w:pPr>
      <w:r>
        <w:rPr>
          <w:rFonts w:ascii="Microsoft YaHei" w:cs="Microsoft YaHei" w:eastAsia="Microsoft YaHei" w:hAnsi="Microsoft YaHei"/>
          <w:color w:val="333333"/>
          <w:sz w:val="28"/>
          <w:szCs w:val="28"/>
        </w:rPr>
        <w:t xml:space="preserve">落地执行方案 · V2.0</w:t>
      </w:r>
    </w:p>
    <w:p>
      <w:pPr>
        <w:spacing w:after="0" w:before="2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FlyDEX Foundation · 内部执行文件（保密）</w:t>
      </w:r>
    </w:p>
    <w:p>
      <w:pPr>
        <w:spacing w:after="0" w:before="1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2026 年 8 月</w:t>
      </w:r>
    </w:p>
    <w:p>
      <w:pPr>
        <w:spacing w:after="0" w:before="600"/>
      </w:pPr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一、总纲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本文件是 FlyDEX（飞蝶）去中心化交易所启动期的运营模式与制度总纲，与《FlyDEX 白皮书》配套执行。白皮书回答“FlyDEX 是什么”，本文件回答“FlyDEX 怎么启动”。凡本文件与白皮书存在出入之处，以本文件为准，白皮书按附录清单同步修订（当前对应 V2.6）。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1.1 启动模式：三位一体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流动性铸币计划——面向提供流动性、不参与交易的客户（A 类）。客户认购流动性档位，获得一个使用其资金做市的专属 AI Agent，并按日获取币本位铸币收益。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交易与返佣体系——面向参与交易的客户（B 类），以手续费为基数返佣，返佣全部以 EDEX 平台币结算，最高合计返佣 85%。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团队推广制度——两类业务共用一套推荐与团队奖励体系（沿用 HOM 成熟框架并扩展 S 级），团队级别越高，级差奖励与返佣比例越高。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1.2 统一入口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FlyDEX 只有一个产品端：专业交易端（Web / App）。流动性铸币计划、Agent 视图、团队奖励看板作为交易端内的功能模块存在，不单独开发社区端应用。一个入口、一个账户体系、一套数据。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1.3 三大铁律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一切产出皆有硬顶——代币按需铸造，池满即停；所有额度、返佣、团队奖励均有明确的池上限与排放闸门。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额度制而非收益率——对外话术统一为“流动性挖矿额度”（币本位数量），禁用“保本”“固定收益”“理财”等表述。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真实交易导向——返佣与奖励基数为实收手续费；自对倒与关联刷量零奖励；客户 Agent 数据全部真实可查。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二、EDEX 代币铸造模型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EDEX Token 总量硬顶 10 亿枚，采用“创世铸造 + 按需铸造”双段模型，替代传统的一次性分配（替代白皮书 10.3 节）。发行价 0.2 USDT。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2.1 创世铸造（TGE 一次性铸造，共 30%）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500"/>
        <w:gridCol w:w="4700"/>
      </w:tblGrid>
      <w:tr>
        <w:trPr>
          <w:tblHeader/>
        </w:trPr>
        <w:tc>
          <w:tcPr>
            <w:tcW w:type="dxa" w:w="2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8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占比</w:t>
            </w:r>
          </w:p>
        </w:tc>
        <w:tc>
          <w:tcPr>
            <w:tcW w:type="dxa" w:w="15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数量（EDEX）</w:t>
            </w:r>
          </w:p>
        </w:tc>
        <w:tc>
          <w:tcPr>
            <w:tcW w:type="dxa" w:w="4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初始流动性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5,000 万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TGE 铸造，注入 SWAP 底池与订单簿开盘流动性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团队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5,000 万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TGE 铸造并锁仓：12 个月锁定 + 36 个月线性释放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基金会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 亿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TGE 铸造并锁仓：12 个月锁定 + 24 个月线性释放；运营储备、生态扶持、空投、审计安全，大额支出受 DAO 监督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早期投资人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 亿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TGE 铸造并锁仓：投资人 6 个月锁定 + 18 个月线性释放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2.2 按需铸造（随制度实时产出，共 70%）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500"/>
        <w:gridCol w:w="4700"/>
      </w:tblGrid>
      <w:tr>
        <w:trPr>
          <w:tblHeader/>
        </w:trPr>
        <w:tc>
          <w:tcPr>
            <w:tcW w:type="dxa" w:w="2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铸造池</w:t>
            </w:r>
          </w:p>
        </w:tc>
        <w:tc>
          <w:tcPr>
            <w:tcW w:type="dxa" w:w="8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占比</w:t>
            </w:r>
          </w:p>
        </w:tc>
        <w:tc>
          <w:tcPr>
            <w:tcW w:type="dxa" w:w="15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上限（EDEX）</w:t>
            </w:r>
          </w:p>
        </w:tc>
        <w:tc>
          <w:tcPr>
            <w:tcW w:type="dxa" w:w="4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铸造触发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流动性激励池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 亿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流动性铸币额度按日实时铸造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团队推广池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 亿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直推奖、级差奖、平级奖结算时实时铸造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交易与返佣池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 亿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返佣购币不足时的补足铸造、运营活动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未产出的代币不存在于链上——流通量永远等于真实产出，不存在“巨额待解锁池”的抛压预期。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合约层面硬顶 10 亿：任何池铸满即自动停止铸造；池上限调整须经 DAO 治理。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铸造权限由多签 + 时间锁控制，铸造合约在主网上线前完成独立安全审计——铸造模型的安全审计等级为全系统最高。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三、流动性铸币计划（A 类客户制度）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3.1 产品定义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客户以 USDT/USDC 认购流动性档位。认购资金按比例分两路：约 20% 自动注入 EDEX/USDT SWAP 底池（LP 凭证归协议国库持有并锁定，形成协议自有流动性 POL），其余约 80% 进入该客户的专属 AI Agent 做市子账户。客户获得与档位对应的 EDEX 币本位铸币额度，额度含本金折算部分，按日铸造、链上可查、随时提现，铸造完毕即为该笔认购的完整权益交付，本金不再单独退还。</w:t>
      </w:r>
    </w:p>
    <w:p>
      <w:pPr>
        <w:spacing w:after="160" w:before="6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注：入池比例初始值 20%，基金会可在 15%–25% 区间内按期调整并公告。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3.2 七档流动性产品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700"/>
        <w:gridCol w:w="1900"/>
        <w:gridCol w:w="2500"/>
      </w:tblGrid>
      <w:tr>
        <w:trPr>
          <w:tblHeader/>
        </w:trPr>
        <w:tc>
          <w:tcPr>
            <w:tcW w:type="dxa" w:w="15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认购流动性（U）</w:t>
            </w:r>
          </w:p>
        </w:tc>
        <w:tc>
          <w:tcPr>
            <w:tcW w:type="dxa" w:w="14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额度倍数</w:t>
            </w:r>
          </w:p>
        </w:tc>
        <w:tc>
          <w:tcPr>
            <w:tcW w:type="dxa" w:w="1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基础铸造速度</w:t>
            </w:r>
          </w:p>
        </w:tc>
        <w:tc>
          <w:tcPr>
            <w:tcW w:type="dxa" w:w="1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币本位回本点</w:t>
            </w:r>
          </w:p>
        </w:tc>
        <w:tc>
          <w:tcPr>
            <w:tcW w:type="dxa" w:w="25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名义年化（基础速度）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 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 · 周期约 250 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208 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29%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1,000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1.4 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 · 周期约 250 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179 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58%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3,000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 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 · 周期约 250 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156 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88%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10,000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1.8 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 · 周期约 250 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139 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117%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30,000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2.0 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 · 周期约 250 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125 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146%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100,000 ◆ 机构档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2.3 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 · 周期约 250 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109 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190%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300,000 ★ 巨鲸档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2.6 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 · 周期约 250 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96 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234%</w:t>
            </w:r>
          </w:p>
        </w:tc>
      </w:tr>
    </w:tbl>
    <w:p>
      <w:pPr>
        <w:spacing w:after="160" w:before="6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注：回本点指按入场折币价计，累计铸造币数达到本金等值币数的天数；名义年化 =（额度倍数 − 1）× 365 ÷ 250，为币本位额度按折币价、币价不变假设的名义换算，未计提现税，不构成收益承诺——对外必须使用「名义年化」表述并附此假设。开启加速后周期缩短：2.5 倍综合加速下巨鲸档最快约 38 天回本，名义年化对应上浮至最高约 584%（仅限内部测算口径，对外展示以基础速度口径为主）。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3.3 折币规则与转换保护价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基本量 = 认购金额 ÷ 折币价；总额度 = 基本量 × 档位倍数。示例：认购 10,000U，折币价 0.2U，基本量 50,000 枚；按 1.8 倍档，总额度 90,000 枚。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折币价 = 取「48 小时 TWAP 市场均价」与「转换保护价」两者中的较高者。转换保护价 = 发行价 × 80%，即 0.16 USDT（已定稿）。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保护价的作用：币价下行时锁死新增额度负债的膨胀速度，阻断“币价越跌、折币越多、抛压越大”的死亡螺旋。此为制度生死条款，不可移除。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3.4 铸造与加速机制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基础铸造速度为总额度的 0.4%/日。在此之上设两类加速，相乘计算，综合加速封顶 2.5 倍（即最高 1.0%/日）：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200"/>
        <w:gridCol w:w="2100"/>
      </w:tblGrid>
      <w:tr>
        <w:trPr>
          <w:tblHeader/>
        </w:trPr>
        <w:tc>
          <w:tcPr>
            <w:tcW w:type="dxa" w:w="1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加速类型</w:t>
            </w:r>
          </w:p>
        </w:tc>
        <w:tc>
          <w:tcPr>
            <w:tcW w:type="dxa" w:w="5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条件</w:t>
            </w:r>
          </w:p>
        </w:tc>
        <w:tc>
          <w:tcPr>
            <w:tcW w:type="dxa" w:w="21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加速系数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交易加速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上月个人手续费总额 ≥ 1,000 U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×1.2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交易加速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上月个人手续费总额 ≥ 5,000 U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×1.5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交易加速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上月个人手续费总额 ≥ 20,000 U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×2.0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团队加速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团队等级 N1 / N3 / N5 / N6 及以上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×1.05 / ×1.10 / ×1.15 / ×1.25</w:t>
            </w:r>
          </w:p>
        </w:tc>
      </w:tr>
    </w:tbl>
    <w:p>
      <w:pPr>
        <w:spacing w:after="160" w:before="6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注：规则一句话：上月交易付的手续费越多，本月铸造越快。阶梯金额为初始值，上线前经模型回测定稿。加速只改变铸造节奏、不增加额度总量，不新增排放负债。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3.5 专属 AI Agent 做市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每位流动性客户获得一个独立的 AI Agent 做市机器人：使用该客户的资金，在独立做市子账户中真实做市。客户可实时查看自己 Agent 的仓位、成交记录、做市数据与铸造进度——所有数据真实、链上可查。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客户只可查看、不可操作。做市策略与风控由协议统一的策略引擎驱动，全体客户 Agent 受统一风控引擎约束（敞口上限、熔断、异常检测）。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工程红线：不同客户 Agent 之间的订单禁止相互成交（自成交防范），避免内部对倒。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产品意图：让客户养成使用 AI Agent 的习惯——A 类客户观察自己 Agent 做市的过程，就是向交易客户转化的天然入口。Agent 视图内置“开通自主交易”引导。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3.6 用户 AI Agent 演进路线（L1 → L4）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每位用户持有的 AI Agent 按四级演进，从“看得见的做市”走向“全天候智能交易助手”：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500"/>
      </w:tblGrid>
      <w:tr>
        <w:trPr>
          <w:tblHeader/>
        </w:trPr>
        <w:tc>
          <w:tcPr>
            <w:tcW w:type="dxa" w:w="18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5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25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上线节奏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L1 透明做市（首发）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查看自己流动性的做市情况：仓位、成交、做市明细、铸造进度，全部真实、链上可查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随流动性铸币计划同步上线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L2 自动交易（后期）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提供自动交易策略，7×24 小时自动帮助用户交易；策略默认关闭，用户主动开启并确认风险披露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主流币永续稳定运行后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L3 可换大脑（后期）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用户可切换驱动 Agent 的大模型，获得更好更快的决策与智能能力；不同模型档位对应不同服务费率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随 L2 开放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L4 对话交易助手（后期）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以对话方式发起、管理交易；行情咨询、持仓分析、风险提醒等更多服务——成为用户交易的智能助手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Agent Marketplace 阶段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合规红线：L2 起涉及自动化交易与建议边界，上线前完成法律意见评估；策略绩效展示遵守第八章表述纪律（不展示预期收益率）；用户可随时一键停用并撤回授权。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3.6 池容量与排队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流动性激励池上限 4 亿枚为额度兑付硬顶。可承接累计认购金额 ≈ 4 亿 × 加权折币价 ÷ 加权额度倍数（例：折币价 0.2U、加权平均 2.0 倍时约可承接 4,000 万 U）。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认购按期开放，每期设固定额度，超出部分自动排队；排队资金不计息、可随时撤回。每期开放额度按承接覆盖率联动规则确定（见 3.8 节）——这是排放负债的总闸门。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3.7 提现规则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客户将已铸造到账的 EDEX 从平台账户提取至链上钱包时，收取提现数量 10% 的手续费：其中 50% 归运营，50% 直接销毁。铸造本身不收费，仅在提现时收取。10 万 U 及以上档位（机构档、巨鲸档）适用大额专属结算通道：铸币提现按周分批结算，提现税 15%——既平滑大户抛压，亦加厚销毁与运营。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3.8 承接覆盖率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这套机制回答一个问题：客户每天铸造出来的币，市场接不接得住？答案由四类真金白银的承接力量决定。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承接覆盖率 = （当日底池注入资金 + 当日返佣购币金额 + 当日 EDEX 做市新增买盘资金 × 50% + 当日回购与销毁市值）÷ 当日全网新铸造代币市值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底池注入（全额计入）——认购资金的约 20% 注入 EDEX/USDT 底池，其中一半直接买入 EDEX 配对成 LP，另一半永久加厚承接深度。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返佣购币（全额计入）——协议每日以实收手续费在市场购买 EDEX 发放返佣，是最纯正的日常买盘。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做市买盘（按 50% 折算）——新增认购资金中配置到 EDEX 交易对的做市资金。做市是双向的，只有买盘侧构成净承接力量，故打五折计入。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回购与销毁（全额计入）——手续费的 10% 回购销毁 + 提现手续费中销毁的一半，永久移除供应，质地最高。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算例：某日全网铸造市值 4.8 万 U；当日底池注入 2.5 万 + 返佣购币 1 万 + 做市买盘折算 0.9 万 + 回购销毁 0.4 万 = 4.8 万 U，承接覆盖率 = 100%。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3.9 三档调速与开池联动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承接覆盖率（连续 7 日）</w:t>
            </w:r>
          </w:p>
        </w:tc>
        <w:tc>
          <w:tcPr>
            <w:tcW w:type="dxa" w:w="25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全网铸造速度</w:t>
            </w:r>
          </w:p>
        </w:tc>
        <w:tc>
          <w:tcPr>
            <w:tcW w:type="dxa" w:w="35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≥ 80%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正常铸造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50% – 80%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0.25%/日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软刹车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&lt; 50%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0.1%/日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硬刹车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覆盖率连续 7 日回升至更高区间时，自动恢复对应的铸造速度。全过程链上自动执行，参数由 DAO 治理调整。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开池联动：首期流动性池开放 300 万 U，此后每月一期。下期开池额度 = 本期基准 × 覆盖率调节——上月覆盖率 ≥ 80% 上浮 20%，50%–80% 持平，&lt; 50% 下调 30%。进水阀（开池）与出水阀（铸造）由同一指标驱动。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机制性质：增长期资金流入充沛，覆盖率自然达标，全速铸造；拉新停滞、只剩手续费与销毁支撑时，覆盖率回落，系统自动踩刹车——刹车恰好在最该踩的时候踩。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承接覆盖率及其四项构成明细每月链上公示。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3.10 90 天保价护航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自认购之日起 90 日内，对该笔认购的每日铸币执行双向平准机制：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下行护航——当日铸币按市价计价低于入场折币价的 80% 时，平准基金按入场折币价的 80% 场外回购该日铸币，回购之币全部销毁。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上行反哺——当日市价高于入场折币价的 120% 时，该日铸币量的 20% 注入平准基金，其余铸给用户。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护航以平准基金余额为限：基金独立合约存放、余额链上实时公示，余额不足时护航自动暂停、余额恢复后自动重启。本机制为基金限额内的回购安排，不构成保本承诺。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平准基金来源：上行反哺铸币 + 基金会创世注资；回购动作全部链上可查，纳入月度披露。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四、交易与返佣制度（B 类客户制度）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4.1 手续费结构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type="dxa" w:w="4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币种类别</w:t>
            </w:r>
          </w:p>
        </w:tc>
        <w:tc>
          <w:tcPr>
            <w:tcW w:type="dxa" w:w="24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Maker（挂单）</w:t>
            </w:r>
          </w:p>
        </w:tc>
        <w:tc>
          <w:tcPr>
            <w:tcW w:type="dxa" w:w="24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Taker（吃单）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主推币种（NECO、EDEX）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-0.1%（返佣）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0.45%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主流币种（BTC、ETH、DOGE、SOL、BNB、HYPE）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-0.03%（返佣）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0.15%</w:t>
            </w:r>
          </w:p>
        </w:tc>
      </w:tr>
    </w:tbl>
    <w:p>
      <w:pPr>
        <w:spacing w:after="160" w:before="6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注：现货与合约统一适用。后续视外部竞争引入交易量阶梯折扣（主流币合约高杠杆场景下的费率优化预留）。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4.2 返佣规则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计提基数：被推荐用户产生的手续费净额（Taker 手续费扣除 Maker 返佣后协议实收部分）。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返佣比例按推荐人团队等级确定，最高 85%（见第五章比例表）。手续费净额分配上限：购币返佣 80%、运营 10%、回购销毁 10%；S2/S3 级返佣超出 80% 的部分由交易与返佣池铸造补足，不挤占运营与回购份额。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所有返佣一律以 EDEX 平台币结算，按发放时市场价格折算，不再另设 EDEX 奖励。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返佣资金机制：协议优先以当期实收手续费（U）在 SWAP 池即时购买 EDEX 用于发放——返佣因此构成每日刚性买盘；极端情况下购币不足部分由交易与返佣池铸造补足。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主推币种交易按全额比例返佣；主流币种返佣按第五章等级表对应比例执行。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4.3 反刷量规则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同一地址自对倒交易：零返佣、不计入加速。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关联地址检测：同一实体控制的多地址对倒，经链上关联分析识别后取消相关奖励并追溯。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异常模式过滤：高频小额循环、异常挂撤单模式自动排除；团队保留人工审查与追溯取消权。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4.4 合约保险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适用范围：使用流动性铸币所得 EDEX 参与币本位合约的仓位。开仓时缴纳所用币量 20% 作为保险费，注入合约保险池。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赔付规则：若该仓位全部亏损，亏损币量自次日起按每日 0.05% 持续返还客户。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防套娃：返还之币标记为保险返还币，不再享受合约保险；返还以合约保险池余额为限，池尽即止。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对外表述纪律：仅表述为「亏损按日 0.05% 持续返还」，不使用「全额挽回」等措辞，不展示返还周期测算。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4.5 暂不上线的功能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交易挖矿、带单（跟单）功能启动期不上线——交易与带单均为用户自发行为，无需额外补贴引导。带单功能留待 Agent Marketplace 阶段以“人类策略主理人”形态推出。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五、推荐与团队奖励制度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5.1 直推奖励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直接推荐用户认购流动性档位，永久获得其额度每日铸造量的 10%，以 EDEX 形式随铸造同步发放，从团队推广池铸造列支。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5.2 团队等级、级差奖励与返佣比例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有效业绩 = 团队流动性在管存量（U）+ 团队累计手续费净额（U），两类业务合并计算，每日按前日有效业绩升降级。级差奖励按差额制计提于伞下成员每日额度铸造量，平级奖 5%。N6 以上增设 S 级，需同时满足更高团队业绩与 EDEX 质押要求——质押期间锁定，降级即解锁。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900"/>
        <w:gridCol w:w="1400"/>
        <w:gridCol w:w="1800"/>
        <w:gridCol w:w="1900"/>
      </w:tblGrid>
      <w:tr>
        <w:trPr>
          <w:tblHeader/>
        </w:trPr>
        <w:tc>
          <w:tcPr>
            <w:tcW w:type="dxa" w:w="1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等级</w:t>
            </w:r>
          </w:p>
        </w:tc>
        <w:tc>
          <w:tcPr>
            <w:tcW w:type="dxa" w:w="2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达成条件</w:t>
            </w:r>
          </w:p>
        </w:tc>
        <w:tc>
          <w:tcPr>
            <w:tcW w:type="dxa" w:w="14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级差奖励</w:t>
            </w:r>
          </w:p>
        </w:tc>
        <w:tc>
          <w:tcPr>
            <w:tcW w:type="dxa" w:w="18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主推币返佣</w:t>
            </w:r>
          </w:p>
        </w:tc>
        <w:tc>
          <w:tcPr>
            <w:tcW w:type="dxa" w:w="1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主流币返佣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普通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9%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业绩 5,000 U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业绩 10,000 U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45%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13.5%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业绩 50,000 U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业绩 200,000 U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55%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16.5%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业绩 600,000 U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16%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业绩 1,800,000 U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65%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21%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业绩 5,000,000 U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24%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24%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业绩 1,200 万 U + 质押 10,000 EDEX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75%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28%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业绩 3,000 万 U + 质押 50,000 EDEX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32%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业绩 6,000 万 U + 质押 200,000 EDEX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40%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85%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36%</w:t>
            </w:r>
          </w:p>
        </w:tc>
      </w:tr>
    </w:tbl>
    <w:p>
      <w:pPr>
        <w:spacing w:after="160" w:before="6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注：现金购币返佣的手续费资金上限为净额的 80%，S2/S3 超出部分由交易与返佣池铸造补足（第 4.2 节）。S 级质押锁定、降级解锁，质押使 EDEX 产生真实锁仓需求，是代币价值支撑的一部分。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5.3 分市场执行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新兴市场（东南亚、中东、拉美等）：直推 + 级差 + 平级全制度执行。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欧美市场：仅保留直推奖励与个人返佣，不适用级差与团队奖励。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级差制度在主要运营司法辖区单独取得法律意见后启用。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5.4 预算约束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直推、级差、平级奖励合计从团队推广池（上限 2 亿枚）铸造列支。执行规则：池余量低于 20% 时基金会须公告并提交 DAO 议定方案（扩池调剂或按比例缩减发放）；未经议定不得超池发放。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六、交易市场与流动性配置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6.1 双市场结构：SWAP + 订单簿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EDEX/USDT 同时在 SWAP（AMM 底池）与 EDEX 订单簿现货市场交易。SWAP 底池由认购资金持续注入（协议自有流动性），是价格之锚、保护价 TWAP 的数据源与合约标记价格的基准之一；订单簿提供专业交易体验；两个市场间由套利保持价格一致。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NECO 同步开通 SWAP 与订单簿双市场。市场开放节奏分三期：第一期——主推币（NECO、EDEX）现货 + U 本位/币本位合约，流动性铸币计划首期同步开放；第二期——主流币（BTC、ETH、DOGE、SOL、BNB、HYPE）现货 + U 本位永续（最高 100 倍）；第三期——JoyCoin、wHOM 等 NECO Chain 商业生态及大宗商品代币（与项目方完成机制协调后分批上线）。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6.2 首发币种与杠杆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2600"/>
        <w:gridCol w:w="2400"/>
        <w:gridCol w:w="900"/>
      </w:tblGrid>
      <w:tr>
        <w:trPr>
          <w:tblHeader/>
        </w:trPr>
        <w:tc>
          <w:tcPr>
            <w:tcW w:type="dxa" w:w="1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23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币种</w:t>
            </w:r>
          </w:p>
        </w:tc>
        <w:tc>
          <w:tcPr>
            <w:tcW w:type="dxa" w:w="26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首发产品</w:t>
            </w:r>
          </w:p>
        </w:tc>
        <w:tc>
          <w:tcPr>
            <w:tcW w:type="dxa" w:w="24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合约杠杆</w:t>
            </w:r>
          </w:p>
        </w:tc>
        <w:tc>
          <w:tcPr>
            <w:tcW w:type="dxa" w:w="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返佣档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主推币种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NECO、EDEX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SWAP + 订单簿现货 + U 本位/币本位合约同步首发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上线 2–5 倍，深度与防操纵指标达标后逐级开放至 20 倍封顶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全额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主流币种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BTC、ETH、DOGE、SOL、BNB、HYPE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订单簿现货 + U 本位永续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最高 100 倍（按币种与深度分级设定）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主推币种合约风控配置（首发即配齐）：操纵监控运行、单账户持仓上限与资金费率钳制、Vault 在主推币合约上的敞口单独封顶；杠杆自 2–5 倍起步，深度与防操纵指标达标后逐级开放至 20 倍。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6.3 流动性配置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做市资金按主推 70%（其中 EDEX 40%、NECO 30%）、主流 30% 配置执行，基金会可视深度情况在 ±10% 范围内调节。主流币种做市敞口通过外部交易所对冲中和。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6.4 定价与预言机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主流币种：Pyth / Chainlink 多源聚合，偏差超阈值暂停清算与资金费率结算。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主推币种：以 SWAP 底池与订单簿现货的联合 TWAP 为标记价格，配置操纵监控（异常拉砸识别、合约临时限仓）。底池越厚，价格越难操纵——认购资金注入底池的机制直接服务于此。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6.5 外部对冲制度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主流币种交易中，用户按预言机价格在 FlyDEX 成交，Agent Vault 承接对手盘。Vault 的净敞口通过 API 在外部平台反向对冲中和，确保做市资金不承担方向性风险。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400"/>
      </w:tblGrid>
      <w:tr>
        <w:trPr>
          <w:tblHeader/>
        </w:trPr>
        <w:tc>
          <w:tcPr>
            <w:tcW w:type="dxa" w:w="1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1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场所</w:t>
            </w:r>
          </w:p>
        </w:tc>
        <w:tc>
          <w:tcPr>
            <w:tcW w:type="dxa" w:w="54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选择理由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主对冲场所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Hyperliquid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主流币深度最好、API 成熟、无 KYC，对冲滑点成本最低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辅助场所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Aster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Taker 费率低至 0.04%，对冲成本最低；BNB Chain 生态与来客/玖赢用户资产链路近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备份场所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dYdX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去中心化程度高；USDC 走 Noble CCTP 通道与 NECO Chain 入金路径同轨，资金调拨方便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三场所均预存对冲保证金，按各场所深度与成本动态分配净敞口，避免单点依赖——任一场所故障不致对冲断档。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对冲触发：Vault 在单一主流币种上的净敞口超过该子账户资金的设定阈值（初始 10%，可调）时，自动在外部场所建立反向仓位。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资金纪律：对冲保证金总额由基金会核定上限；各场所保证金水位、净敞口、对冲成本每日监控，纳入月度披露。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组织保障：设立对冲台（Hedging Desk）岗位/模块，负责净敞口监控、跨场所资金调拨与异常处置，7×24 运行。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七、风险控制与合规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7.1 排放三闸门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闸门一 · 转换保护价 0.16 USDT：币价下行时锁死新增额度负债（3.3 节）。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闸门二 · 池容量与排队：每期开放额度可控，铸造池满即停（3.6 节）。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闸门三 · 承接覆盖率三档调速：≥80% 全速 / 50%–80% 软刹车 / &lt;50% 硬刹车（3.8–3.9 节）。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7.2 手续费分配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交易手续费净额按以下比例分配：最高 80% 用于购币返佣（以 EDEX 结算，按团队等级阶梯，未达 80% 的差额部分归入运营）、10% 运营费用、10% 回购销毁 EDEX。S2/S3 级返佣比例超出 80% 的部分由交易与返佣池铸造补足。提现手续费（10%）：50% 运营、50% 销毁。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7.3 保险基金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合约业务的最后安全网。资金来源调整为：清算罚金全额注入 + 基金会 TGE 时初始注资 + 运营费用份额中按季计提。目标规模为未平仓合约总量的 2%–5%，不足时提高计提比例。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7.4 合规边界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运营主体设于境外（基金会 + 运营公司架构），产品不面向中国大陆、美国及受制裁司法辖区居民，前端执行地域屏蔽。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流动性铸币计划、级差制度分别取得单独法律意见（阿联酋 / BVI 优先）。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所有对外物料使用“挖矿额度”“币本位数量”表述，附风险提示；禁用“保本”“固定收益”“理财产品”表述。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认购协议明确披露：资金用途（约 20% 入底池 + 约 80% 入专属 Agent 做市）、额度含本金、本金不单独退还、提现收费、币价波动风险自担。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7.5 透明度承诺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每月链上披露：铸造量（分池）、承接覆盖率及四项构成明细、回购销毁量、池余量、SWAP 底池规模、保险基金余额、平准基金余额与护航回购记录、合约保险池余额。所有数据可链上验证。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附录：白皮书修订清单（对应白皮书 V2.6）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第 10 章代币经济学：分配模型整体替换为“创世铸造 + 按需铸造”双段模型（本文件第二章），发行价 0.2 USDT 写入。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第 11 章手续费结构：费率表替换为主推 -0.1%/0.45%、主流 -0.03%/0.15%；手续费分配替换为返佣 80%/运营 10%/回购销毁 10%。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7.5.4 “Vault 存款随时可提取”：修改。流动性铸币计划为锁定额度制产品，新增“流动性铸币计划”专节，与未来开放的公开 Vault 区分。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12.2 Trade-to-Earn 章节：删除（交易挖矿取消），替换为返佣制度说明。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9.2 流动性策略：与本文件第三、六章对齐（双市场结构、POL 底池、专属 Agent 做市）。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6.6 保险基金：资金来源按本文件 7.3 节修订。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6.3.2 杠杆设置表：按本文件 6.2 节修订（主推合约首发、2–20 倍阶段解锁；主流最高 100 倍）。</w:t>
      </w:r>
    </w:p>
    <w:p>
      <w:pPr>
        <w:spacing w:after="120" w:before="400" w:line="3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— 本文件为内部执行文件，未经批准不得对外分发 —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46e0c3912ccebdd49237cd9d6e986104337b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2026-08-10T17:46:34.559Z</dcterms:created>
  <dcterms:modified xsi:type="dcterms:W3CDTF">2026-08-10T17:46:34.563Z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