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drawing>
          <wp:inline distT="0" distB="0" distL="0" distR="0">
            <wp:extent cx="129540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60"/>
        <w:jc w:val="center"/>
      </w:pPr>
      <w:r>
        <w:rPr>
          <w:rFonts w:ascii="Microsoft YaHei" w:cs="Microsoft YaHei" w:eastAsia="Microsoft YaHei" w:hAnsi="Microsoft YaHei"/>
          <w:b/>
          <w:bCs/>
          <w:color w:val="1F6FEB"/>
          <w:sz w:val="72"/>
          <w:szCs w:val="72"/>
        </w:rPr>
        <w:t xml:space="preserve">FlyDEX</w:t>
      </w:r>
    </w:p>
    <w:p>
      <w:pPr>
        <w:spacing w:after="0" w:before="16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40"/>
          <w:szCs w:val="40"/>
        </w:rPr>
        <w:t xml:space="preserve">飞  蝶</w:t>
      </w:r>
    </w:p>
    <w:p>
      <w:pPr>
        <w:spacing w:after="0" w:before="240"/>
        <w:jc w:val="center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面向未来去中心化商业的交易基础设施</w:t>
      </w:r>
    </w:p>
    <w:p>
      <w:pPr>
        <w:spacing w:after="0" w:before="8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FlyDEX · AI-Native Decentralized Orderbook Exchange</w:t>
      </w:r>
    </w:p>
    <w:p>
      <w:pPr>
        <w:spacing w:after="0" w:before="32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白皮书 Whitepaper · Version 2.8</w:t>
      </w:r>
    </w:p>
    <w:p>
      <w:pPr>
        <w:spacing w:after="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06351A"/>
          <w:sz w:val="26"/>
          <w:szCs w:val="26"/>
        </w:rPr>
        <w:t xml:space="preserve">一蝶振翅 · 万蝶成海</w:t>
      </w:r>
    </w:p>
    <w:p>
      <w:pPr>
        <w:spacing w:after="0" w:before="16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FlyDEX Foundation · Supported by NECO Foundation · 2026 年 8 月</w:t>
      </w:r>
    </w:p>
    <w:p>
      <w:pPr>
        <w:spacing w:after="0" w:before="500"/>
      </w:pPr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一、FlyDEX 是什么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FlyDEX（飞蝶）是 NECO Chain 上首个 RollApp——一个为 WEB4 商业生态构建的 AI 原生去中心化订单簿交易所。在 WEB4 的世界中，AI 和人平等参与经济活动：AI Agent 作为独立的市场主体，可以自主决策、自主交易、自主做市。FlyDEX 正是为这个新范式设计的金融基础设施。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FlyDEX 支持现货与永续合约交易，基于 NECO Chain 技术栈研发。作为 NECO Chain 的应用专用执行层（RollApp），FlyDEX 继承 NECO Chain CARL™ 共识机制的完整安全性，同时专注于高性能交易执行。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1.1 三大核心特征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AI Agent 做市——每一位流动性参与者都拥有一个真实为其工作的 AI Agent 做市机器人，做市数据链上可查。AI Agent 不是概念，而是上线即运行的核心能力。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结算分离的安全架构——交易在 FlyDEX RollApp 上实时执行，用户资产始终托管在 NECO Chain 主链。即使 EDEX 排序器故障，用户可通过 NECO Chain 仲裁机制直接取回资产。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硬顶铸造的代币模型——EDEX Token 总量 10 亿枚硬顶，70% 按需铸造：未产出的代币不存在于链上，流通量永远等于真实产出。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1.2 关键信息一览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8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代币总量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 亿枚硬顶；创世铸造 30% + 按需铸造 70%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发行价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0.2 USDT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交易市场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SWAP（AMM 底池）+ 订单簿双市场；现货 + U 本位/币本位永续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首发币种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主推：NECO、EDEX；主流：BTC、ETH、DOGE、SOL、BNB、HYPE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做市机制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客户专属 AI Agent 做市 + 协议自有流动性（POL）+ 外部对冲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生态协同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与 HOM 预测市场、来客商城、玖赢共享 NECO Chain 商业生态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1.3 品牌释义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FlyDEX = Fly（飞）+ DEX（去中心化交易所）——交易所名 FlyDEX（飞蝶），平台代币名 EDEX。“飞蝶”——读音即“飞碟”，听过一次就忘不掉。蝶，是订单簿的形状：买卖双方的深度阶梯展开成一对蝶翼；飞，是它的状态：AI Agent 7×24 不停歇地做市与交易。一蝶振翅，万蝶成海。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二、行业问题与 FlyDEX 的定位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过去五年，去中心化交易所经历了从 AMM（Uniswap）到链上订单簿（dYdX、Hyperliquid）的进化。第二代订单簿 DEX 证明了去中心化交易所可以在性能上与中心化交易所竞争，但仍有三个未解的问题：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没有 AI Agent 原生支持——现有平台的“交易机器人”只是 API 脚本，没有链上身份、没有信誉记录、没有授权边界。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普通用户无法参与做市——专业做市的门槛将普通用户挡在流动性收益之外，做市利润归于少数专业机构。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代币模型抛压失控——巨额预挖池与集中解锁制造持续抛压，缺少与真实业务挂钩的排放调节机制。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FlyDEX 的回答：让每个用户通过专属 AI Agent 参与做市并按日获取铸币收益；让代币按需铸造、由承接覆盖率自动调速；让交易、做市、推广的收益通过链上规则透明分配。FlyDEX 的定位是 NECO Chain 生态的金融交易层——为 WEB4 商业生态提供交易、做市和资产流动性。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三、系统架构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3.1 四层架构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00"/>
      </w:tblGrid>
      <w:tr>
        <w:trPr>
          <w:tblHeader/>
        </w:trPr>
        <w:tc>
          <w:tcPr>
            <w:tcW w:type="dxa" w:w="33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层级</w:t>
            </w:r>
          </w:p>
        </w:tc>
        <w:tc>
          <w:tcPr>
            <w:tcW w:type="dxa" w:w="57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职责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Layer 0 · NECO Chain 安全与结算层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用户资产托管在 NECO Chain 主链，受 CARL™ 共识全体验证者保护；FlyDEX 状态根定期锚定主链；排序器异常时主链充当仲裁层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Layer 1 · FlyDEX RollApp 交易执行层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订单簿维护、撮合、永续合约逻辑、现货结算、保证金计算、清算执行；排序器负责接收指令、排序、撮合并出块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Layer 2 · AI Agent 智能协议层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Agent 身份注册（基于 NOCP 信用模块）、客户专属做市 Agent、授权与风控框架、行为审计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Layer 3 · 接入层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统一的专业交易端（Web / App）：交易、流动性计划、Agent 视图、团队看板同一入口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3.2 结算分离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用户入金时，资产锁定在 NECO Chain 上的 FlyDEX 结算合约中，FlyDEX RollApp 在本地状态记录余额；交易在 RollApp 内实时完成，体验与中心化交易所一致；排序器定期将状态根提交主链验证。极端情况下——排序器完全宕机或拒绝服务——用户可直接通过 NECO Chain 仲裁机制提交强制出金，资产的最终控制权始终在主链。这一设计消除了单一桥接合约集中持有巨额资金的风险。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3.3 排序器与渐进式去中心化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排序器自主网上线之日起采用主-备热切换架构（主节点宕机 30 秒内热备自动接管），并分三阶段走向去中心化：团队运行（主备热切换）→ NECO Chain 验证者仲裁状态根 → 去中心化排序器网络（运营者质押 EDEX，作恶罚没）。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3.4 性能目标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主网上线目标 5,000+ TPS、订单延迟 &lt; 50ms、出块 &lt; 1 秒；优化后目标 20,000+ TPS。上述为工程目标而非已实现能力，测试网阶段将发布完整基准报告。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四、交易产品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4.1 双市场结构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EDEX/USDT 同时在 SWAP（AMM 底池）与订单簿现货市场交易：SWAP 底池由协议持续注入资金（协议自有流动性 POL），是价格之锚与合约标记价格的基准之一；订单簿提供专业交易体验；两个市场由套利保持价格一致。NECO 与 EDEX 均同步开通 SWAP 底池与订单簿双市场。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4.2 币种与杠杆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3100"/>
        <w:gridCol w:w="2100"/>
      </w:tblGrid>
      <w:tr>
        <w:trPr>
          <w:tblHeader/>
        </w:trPr>
        <w:tc>
          <w:tcPr>
            <w:tcW w:type="dxa" w:w="13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类别</w:t>
            </w:r>
          </w:p>
        </w:tc>
        <w:tc>
          <w:tcPr>
            <w:tcW w:type="dxa" w:w="25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币种</w:t>
            </w:r>
          </w:p>
        </w:tc>
        <w:tc>
          <w:tcPr>
            <w:tcW w:type="dxa" w:w="31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产品</w:t>
            </w:r>
          </w:p>
        </w:tc>
        <w:tc>
          <w:tcPr>
            <w:tcW w:type="dxa" w:w="21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合约杠杆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主推币种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NECO、EDEX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SWAP + 订单簿现货 + U 本位/币本位合约同步首发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2–5 倍起步，达标后逐级开放至 20 倍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主流币种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BTC、ETH、DOGE、SOL、BNB、HYPE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订单簿现货 + U 本位永续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最高 100 倍（按币种分级）</w:t>
            </w:r>
          </w:p>
        </w:tc>
      </w:tr>
    </w:tbl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4.3 订单与合约机制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订单类型：市价单、限价单、止损限价单、止盈单、仅挂单（Post-Only）、TWAP。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保证金：交叉保证金与逐仓保证金两种模式。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资金费率：每 8 小时结算，基于合约标记价格与现货价格的偏差。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清算：渐进式部分清算优先；清算罚金注入保险基金；极端行情启用自动减仓（ADL）。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4.4 定价与预言机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主流币种：Pyth / Chainlink 多源聚合，偏差超阈值自动暂停清算与资金费率结算。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主推币种：以 SWAP 底池与订单簿现货的联合 TWAP 为标记价格，配置操纵监控。底池越厚，价格越难操纵。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4.5 保险基金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合约业务的最后安全网，覆盖极端行情下的穿仓损失。资金来源：清算罚金全额注入 + 基金会创世注资 + 运营费用按季计提。目标规模为未平仓合约总量的 2%–5%，余额与收支链上可查。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4.6 外部对冲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主流币种交易中 Agent Vault 承接对手盘，净敞口通过多个外部场所（去中心化衍生品交易所组合）API 对冲中和，做市资金不承担方向性风险。对冲保证金水位与净敞口纳入月度披露。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五、AI Agent 协议层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5.1 Agent 身份与信誉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FlyDEX 的 Agent 身份层基于 NECO Chain 的 NOCP 信用模块构建：每个 Agent 拥有全局唯一的链上身份，其交易、做市与风控事件构成不可篡改的链上信誉档案。同一 Agent ID 可同时在 FlyDEX 交易与 HOM Market 预测，跨平台信誉互通。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5.2 客户专属做市 Agent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每位流动性参与者获得一个独立的 AI Agent 做市机器人，使用该客户的资金在独立子账户中真实做市；仓位、成交、做市数据全部真实、链上可查。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客户只可查看、不可操作；做市策略与风控由协议统一的策略引擎驱动，全体 Agent 受统一风控约束（敞口上限、熔断、异常检测），不同客户 Agent 之间的订单禁止相互成交。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Agent 视图是从流动性参与者走向交易者的入口——观察自己的 Agent 工作，就是最好的交易教育。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用户 AI Agent 按四级演进：L1 透明做市（首发）——实时查看自己流动性的做市情况与铸造进度；L2 自动交易（后期）——提供自动交易策略，7×24 小时自动帮助用户交易；L3 可换大脑（后期）——用户可切换驱动 Agent 的大模型，获得更好更快的决策与智能能力；L4 对话交易助手（后期）——以对话方式发起和管理交易，并提供行情咨询、持仓分析、风险提醒等服务，成为用户交易的智能助手。L2 及以上能力默认关闭，由用户主动开启并确认风险披露。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5.3 三种交易模式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委托模式（人类授权 Agent 在链上强制执行的边界内交易）、自主模式（Agent 独立决策，创建者质押保证金背书）、人工模式（传统手动交易）。三种模式共享同一订单簿，AI 与人类订单平等撮合。启动期以做市 Agent 与人工模式为主，委托/自主模式随 Agent Marketplace 逐步开放。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5.4 Agent 安全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行为审计：Agent 每笔操作链上记录，任何人可查询完整历史。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熔断机制：单 Agent 单周期亏损超阈值自动暂停；极端行情全局熔断收窄报价。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授权硬边界：委托参数由智能合约强制执行，越权指令被排序器直接拒绝。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六、EDEX 代币经济学（平台币）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6.1 铸造模型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EDEX Token 总量硬顶 10 亿枚，发行价 0.2 USDT，采用“创世铸造 + 按需铸造”双段模型。未产出的代币不存在于链上——流通量永远等于真实产出，不存在巨额待解锁池的抛压预期。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800"/>
        <w:gridCol w:w="4600"/>
      </w:tblGrid>
      <w:tr>
        <w:trPr>
          <w:tblHeader/>
        </w:trPr>
        <w:tc>
          <w:tcPr>
            <w:tcW w:type="dxa" w:w="14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段</w:t>
            </w:r>
          </w:p>
        </w:tc>
        <w:tc>
          <w:tcPr>
            <w:tcW w:type="dxa" w:w="22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类别</w:t>
            </w:r>
          </w:p>
        </w:tc>
        <w:tc>
          <w:tcPr>
            <w:tcW w:type="dxa" w:w="8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占比</w:t>
            </w:r>
          </w:p>
        </w:tc>
        <w:tc>
          <w:tcPr>
            <w:tcW w:type="dxa" w:w="46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规则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创世铸造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初始流动性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TGE 铸造，注入 SWAP 底池与订单簿开盘流动性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创世铸造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团队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锁定 12 个月 + 36 个月线性释放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创世铸造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基金会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锁定 12 个月 + 24 个月线性释放；大额支出受 DAO 监督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创世铸造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早期投资人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锁定 6 个月 + 18 个月线性释放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按需铸造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流动性激励池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40%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流动性铸币额度按日实时铸造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按需铸造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团队推广池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推荐奖励结算时实时铸造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按需铸造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交易与返佣池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返佣购币不足时补足铸造、运营活动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合约硬顶 10 亿，任何池铸满即停；铸造权限由多签 + 时间锁控制，主网前完成独立安全审计。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6.2 代币用途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返佣结算货币——全部返佣以 EDEX 结算，协议以实收手续费购币发放，构成每日买盘。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推荐体系质押——高阶推荐等级要求质押 EDEX（最高 20 万枚），产生真实锁仓需求。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治理投票——EDEX DAO 治理以 EDEX 计票。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Agent 生态支付——Agent Marketplace 策略购买与租赁（后续开放）。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6.3 销毁机制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交易手续费的 10% 持续回购销毁。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铸造代币提现收取 10% 手续费，其中一半直接销毁。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所有销毁进入黑洞地址，数量每月链上公示。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6.4 承接覆盖率：排放的自动调节器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FlyDEX 用一个公开指标回答“每天铸造的代币，市场接不接得住”：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承接覆盖率 = （当日底池注入资金 + 当日返佣购币金额 + 当日 EDEX 做市新增买盘资金 × 50% + 当日回购与销毁市值）÷ 当日全网新铸造代币市值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tcW w:type="dxa" w:w="30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承接覆盖率（连续 7 日）</w:t>
            </w:r>
          </w:p>
        </w:tc>
        <w:tc>
          <w:tcPr>
            <w:tcW w:type="dxa" w:w="25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全网铸造速度</w:t>
            </w:r>
          </w:p>
        </w:tc>
        <w:tc>
          <w:tcPr>
            <w:tcW w:type="dxa" w:w="35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≥ 80%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0.4%/日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正常铸造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50% – 80%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0.25%/日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软刹车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&lt; 50%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0.1%/日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硬刹车</w:t>
            </w:r>
          </w:p>
        </w:tc>
      </w:tr>
    </w:tbl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资金流入充沛时全速铸造；承接力量减弱时系统自动降速——从机制上杜绝无限抛压。覆盖率及其构成明细每月链上公示，全过程由合约自动执行，参数由 DAO 治理调整。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七、流动性铸币计划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7.1 参与方式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用户以 USDT/USDC 认购流动性档位。认购资金约 20% 自动注入 EDEX/USDT SWAP 底池（LP 归协议国库锁定，成为协议自有流动性），约 80% 进入用户的专属 AI Agent 做市子账户。用户按日获取 EDEX 币本位铸币收益——平台币按天铸造、链上可查、随时提现。铸币额度含本金折算部分，铸造完毕即为该笔认购的完整权益交付，本金不再单独退还。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7.2 七档流动性产品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700"/>
        <w:gridCol w:w="1700"/>
        <w:gridCol w:w="1900"/>
      </w:tblGrid>
      <w:tr>
        <w:trPr>
          <w:tblHeader/>
        </w:trPr>
        <w:tc>
          <w:tcPr>
            <w:tcW w:type="dxa" w:w="22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认购流动性（U）</w:t>
            </w:r>
          </w:p>
        </w:tc>
        <w:tc>
          <w:tcPr>
            <w:tcW w:type="dxa" w:w="15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额度倍数</w:t>
            </w:r>
          </w:p>
        </w:tc>
        <w:tc>
          <w:tcPr>
            <w:tcW w:type="dxa" w:w="17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基础铸造速度</w:t>
            </w:r>
          </w:p>
        </w:tc>
        <w:tc>
          <w:tcPr>
            <w:tcW w:type="dxa" w:w="17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币本位回本点</w:t>
            </w:r>
          </w:p>
        </w:tc>
        <w:tc>
          <w:tcPr>
            <w:tcW w:type="dxa" w:w="19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名义年化*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1.2 倍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0.4%/日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208 天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29%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1,000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1.4 倍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0.4%/日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179 天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58%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3,000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1.6 倍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0.4%/日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156 天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88%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10,000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1.8 倍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0.4%/日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139 天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117%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30,000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2.0 倍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0.4%/日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125 天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146%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100,000 ◆ 机构档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2.3 倍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0.4%/日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109 天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190%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300,000 ★ 巨鲸档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2.6 倍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0.4%/日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96 天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234%</w:t>
            </w:r>
          </w:p>
        </w:tc>
      </w:tr>
    </w:tbl>
    <w:p>
      <w:pPr>
        <w:spacing w:after="160" w:before="6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注：* 名义年化 =（额度倍数 − 1）× 365 ÷ 250：按折币价计价、币价不变假设的币本位名义换算，未计提现税与加速；回本点指累计铸造币数达到本金等值币数的天数。以上均为额度制的名义指标，不构成收益承诺，实际结果取决于市场价格。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7.3 折币与保护价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基本量 = 认购金额 ÷ 折币价；总额度 = 基本量 × 档位倍数。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折币价 = 取「48 小时 TWAP 市场均价」与「转换保护价 0.16 USDT（发行价 × 80%）」中的较高者——币价下行时锁死新增额度的膨胀，保护所有持有者。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7.4 铸造与加速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基础铸造 0.4%/日；两类加速相乘，综合封顶 2.5 倍（最高 1.0%/日）：交易加速——上月个人手续费总额 ≥ 1,000 / 5,000 / 20,000 U 对应 ×1.2 / ×1.5 / ×2.0；团队加速——团队等级 N1 / N3 / N5 / N6 及以上对应 ×1.05 / ×1.10 / ×1.15 / ×1.25。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7.5 池容量与开池节奏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流动性激励池 4 亿枚为额度兑付硬顶；认购按期开放、每期限额、超出排队（排队资金不计息、可随时撤回）。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开池与承接覆盖率联动：上月覆盖率 ≥ 80% 时下期额度上浮，50%–80% 持平，&lt; 50% 下调——进水与出水由同一指标驱动。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7.6 提现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已铸造到账的 EDEX 提取至链上钱包时收取 10% 手续费：50% 归运营，50% 直接销毁；10 万 U 及以上档位适用大额专属结算通道（按周分批、提现税 15%）。铸造本身不收费。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7.7 90 天保价护航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自认购之日起 90 日内：当日铸币市价低于入场折币价 80% 时，平准基金按入场价的 80% 场外回购该日铸币，回购之币全部销毁；当日市价高于入场价 120% 时，该日铸币量的 20% 注入平准基金后再铸给用户。护航以平准基金余额为限——基金独立合约存放、余额链上公示，不构成保本承诺。上行养基金，下行护用户。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7.8 合约保险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使用流动性铸币所得 EDEX 参与币本位合约时，开仓缴纳所用币量 20% 作为保险费注入合约保险池；若仓位全部亏损，亏损币量按每日 0.05% 持续返还。返还之币不再享受保险；返还以保险池余额为限。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八、手续费与返佣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8.1 费率表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00"/>
      </w:tblGrid>
      <w:tr>
        <w:trPr>
          <w:tblHeader/>
        </w:trPr>
        <w:tc>
          <w:tcPr>
            <w:tcW w:type="dxa" w:w="42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币种类别</w:t>
            </w:r>
          </w:p>
        </w:tc>
        <w:tc>
          <w:tcPr>
            <w:tcW w:type="dxa" w:w="24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Maker（挂单）</w:t>
            </w:r>
          </w:p>
        </w:tc>
        <w:tc>
          <w:tcPr>
            <w:tcW w:type="dxa" w:w="24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Taker（吃单）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主推币种（NECO、EDEX）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-0.1%（返佣）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0.45%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主流币种（BTC、ETH、DOGE、SOL、BNB、HYPE）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-0.03%（返佣）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0.15%</w:t>
            </w:r>
          </w:p>
        </w:tc>
      </w:tr>
    </w:tbl>
    <w:p>
      <w:pPr>
        <w:spacing w:after="160" w:before="6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注：现货与合约统一适用。EDEX 是当前对主流币挂单方最友好的订单簿 DEX 之一——Maker 负费率意味着挂单即获返佣。后续将视竞争引入交易量阶梯折扣。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8.2 返佣制度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计提基数为手续费净额（Taker 手续费扣除 Maker 返佣后协议实收部分）。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返佣比例按推荐人等级阶梯确定，最高 85%；具体等级与比例以官方公布的推荐规则为准。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全部返佣以 EDEX 结算：协议优先以实收手续费在市场购币发放——返佣构成每日刚性买盘；不足部分由交易与返佣池铸造补足。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手续费净额中，返佣之外的部分：10% 运营费用、10% 回购销毁。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8.3 反刷量规则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同一地址自对倒零返佣、不计入加速；关联地址对倒经链上分析识别后取消并追溯；高频小额循环等异常模式自动排除；协议保留人工审查与追溯取消权。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九、治理与安全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9.1 EDEX DAO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协议参数（费率、杠杆、覆盖率阈值、铸造池上限）、新交易对上线、排序器运营者选举与重大升级由 EDEX DAO 治理，EDEX Token 计票。重大变更设时间锁与紧急否决机制。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9.2 智能合约安全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核心模块主网前通过至少两家独立审计，铸造合约与结算合约为最高审计等级；审计报告全文公开。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主网上线后启动 Bug Bounty：低危最高 5,000 USDC、中危最高 50,000 USDC、资金安全级最高 500,000 USDC。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保证金计算与清算触发等核心逻辑进行形式化验证。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11111"/>
          <w:sz w:val="26"/>
          <w:szCs w:val="26"/>
        </w:rPr>
        <w:t xml:space="preserve">9.3 透明度</w:t>
      </w:r>
    </w:p>
    <w:p>
      <w:pPr>
        <w:spacing w:after="120" w:before="6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每月链上披露：分池铸造量、承接覆盖率及构成明细、回购销毁量、池余量、SWAP 底池规模、保险基金余额、对冲保证金水位。所有数据可链上验证。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十、路线图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60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Phase 1 · 创世（2026 Q4）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TGE 与 SWAP 底池开盘；流动性铸币计划首期开放；主推币种现货与 U 本位/币本位合约上线（杠杆 2–5 倍起步，达标后逐级开放至 20 倍）；专属 Agent 做市上线；推荐制度生效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Phase 2 · 增长（2026 Q4 – 2027 Q1）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主流币种现货与 U 本位永续上线；外部对冲通道建立；月度透明度报告开始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Phase 3 · 深化（2027 起）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JoyCoin、wHOM 等 NECO Chain 商业生态币种及大宗商品代币完成机制协调后分批上线；高阶推荐质押开放；Agent Marketplace 与委托/自主交易模式；排序器接入 NECO Chain 仲裁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Phase 4 · 扩展（远期）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商业交易模块探索（大宗商品与外汇对冲、商业权益交易、企业服务）；排序器去中心化；跨生态流动性合作</w:t>
            </w:r>
          </w:p>
        </w:tc>
      </w:tr>
    </w:tbl>
    <w:p>
      <w:pPr>
        <w:spacing w:after="160" w:before="6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注：路线图为目标节奏，以实际开发与审计进度为准。商业交易模块以相关司法辖区法律意见与监管清晰度为上线前提。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6FEB"/>
          <w:sz w:val="32"/>
          <w:szCs w:val="32"/>
        </w:rPr>
        <w:t xml:space="preserve">十一、风险提示与声明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EDEX Token 为效用代币，不代表任何公司股权、债权或收益承诺。流动性铸币额度为币本位数量，不构成保本或固定收益承诺，代币价格波动风险由参与者自行承担。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流动性铸币计划中，认购资金按公示比例注入底池与做市账户，铸币额度含本金折算部分，本金不单独退还——参与前请完整阅读认购协议。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本产品不面向中国大陆、美国及受制裁司法辖区居民。各市场的奖励制度适用范围以当地合规要求为准。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90 天保价护航与合约保险均以对应基金/保险池的链上余额为限，余额不足时自动暂停，均不构成保本或兜底承诺。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数字资产交易存在高风险，杠杆交易可能导致本金全部损失。请根据自身风险承受能力谨慎参与。</w:t>
      </w:r>
    </w:p>
    <w:p>
      <w:pPr>
        <w:pStyle w:val="ListParagraph"/>
        <w:numPr>
          <w:ilvl w:val="0"/>
          <w:numId w:val="2"/>
        </w:numPr>
        <w:spacing w:after="8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本白皮书不构成投资建议、招股说明或证券发行文件。FlyDEX Foundation 保留根据 DAO 治理决议更新本文件的权利。</w:t>
      </w:r>
    </w:p>
    <w:p>
      <w:pPr>
        <w:spacing w:after="120" w:before="400" w:line="32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6FEB"/>
          <w:sz w:val="26"/>
          <w:szCs w:val="26"/>
        </w:rPr>
        <w:t xml:space="preserve">一蝶振翅 · 万蝶成海</w:t>
      </w:r>
    </w:p>
    <w:p>
      <w:pPr>
        <w:spacing w:after="120" w:before="60" w:line="3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FlyDEX Foundation · Supported by NECO Foundation · 2026 年 8 月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a46e0c3912ccebdd49237cd9d6e986104337b4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2026-08-10T17:28:22.708Z</dcterms:created>
  <dcterms:modified xsi:type="dcterms:W3CDTF">2026-08-10T17:28:22.708Z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