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ugjb0p9vzd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2/9/2026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Panara bread</w:t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9:00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End Time:</w:t>
      </w:r>
      <w:r w:rsidDel="00000000" w:rsidR="00000000" w:rsidRPr="00000000">
        <w:rPr>
          <w:rtl w:val="0"/>
        </w:rPr>
        <w:t xml:space="preserve">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7n1qwv684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Attendees: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Paul Mele (Sleep in Heavenly Peace – New River Valley)</w:t>
        <w:br w:type="textWrapping"/>
        <w:t xml:space="preserve"> Holden, Asher Tillman, Luis, Andres, Weijin Hsu (Virginia Tech)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Absent: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2fslgrxd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Discussion with SHP–NRV regarding funding sources, build events, operational process, and collaboration for upcoming builds (April 10 &amp; April 25).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sz w:val="26"/>
          <w:szCs w:val="26"/>
        </w:rPr>
      </w:pPr>
      <w:bookmarkStart w:colFirst="0" w:colLast="0" w:name="_87h4vhjezhh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Pre-meeting Materials for Review: </w:t>
      </w:r>
      <w:r w:rsidDel="00000000" w:rsidR="00000000" w:rsidRPr="00000000">
        <w:rPr>
          <w:sz w:val="26"/>
          <w:szCs w:val="26"/>
          <w:rtl w:val="0"/>
        </w:rPr>
        <w:t xml:space="preserve">N/A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k19hsxiho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Overview of SHP–NRV funding sources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How build events are scheduled and advertised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Bed build and delivery process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Potential student involvement and project scope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Expectations for communication and project management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Next steps toward April builds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5j5s7djol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Notes: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Funding Sources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overwhelming majority of funding for SHP–NRV comes from </w:t>
      </w:r>
      <w:r w:rsidDel="00000000" w:rsidR="00000000" w:rsidRPr="00000000">
        <w:rPr>
          <w:b w:val="1"/>
          <w:bCs w:val="1"/>
          <w:rtl w:val="0"/>
        </w:rPr>
        <w:t xml:space="preserve">local sources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Local funding includes: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Individual donors (including recurring monthly donors)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Local organizations and companies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Churches (example provided: a church raising $15,000 in a single donation)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funding is occasional</w:t>
      </w:r>
      <w:r w:rsidDel="00000000" w:rsidR="00000000" w:rsidRPr="00000000">
        <w:rPr>
          <w:rtl w:val="0"/>
        </w:rPr>
        <w:t xml:space="preserve"> and occurs when a large donor contributes to SHP National, which then distributes funds across approximately 350 chapters.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National sponsors (e.g., Lowe’s) sometimes provide funds that are divided among chapters.</w:t>
        <w:br w:type="textWrapping"/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Events &amp; Website Listings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Not all builds are listed publicly on the SHP website.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Builds may be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(invite-only) or </w:t>
      </w:r>
      <w:r w:rsidDel="00000000" w:rsidR="00000000" w:rsidRPr="00000000">
        <w:rPr>
          <w:b w:val="1"/>
          <w:bCs w:val="1"/>
          <w:rtl w:val="0"/>
        </w:rPr>
        <w:t xml:space="preserve">open to the public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Public builds allow volunteers to register online.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Closed builds (e.g., football team, fraternity, or police department builds) are not listed to prevent excessive public sign-ups.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After closed builds, photos and updates are shared on social media instead.</w:t>
        <w:br w:type="textWrapping"/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Bed Build &amp; Delivery Process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Beds are built in components (headboards, footboards, side rails, slats).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Components are assembled using lag bolts and screws.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Beds are stained with a vinegar-and-steel-wool solution for cost efficiency and pest resistance.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Each bed includes: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new mattress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Bedding (“bed-in-a-bag” preferred)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Pillow and sometimes a stuffed animal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Bedding is sourced individually in bulk from retailers such as Amazon, Walmart, and Kohl’s.</w:t>
        <w:br w:type="textWrapping"/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Involvement &amp; April Builds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April 10: Observation/run-through build opportunity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April 25: Primary build event (target: 40 beds)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Students will assist with planning, preparation, and execution rather than redesigning the existing SHP process.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Emphasis on </w:t>
      </w:r>
      <w:r w:rsidDel="00000000" w:rsidR="00000000" w:rsidRPr="00000000">
        <w:rPr>
          <w:b w:val="1"/>
          <w:bCs w:val="1"/>
          <w:rtl w:val="0"/>
        </w:rPr>
        <w:t xml:space="preserve">reverse planning</w:t>
      </w:r>
      <w:r w:rsidDel="00000000" w:rsidR="00000000" w:rsidRPr="00000000">
        <w:rPr>
          <w:rtl w:val="0"/>
        </w:rPr>
        <w:t xml:space="preserve">, milestones, and “lines of effort” (manpower, materials, location, logistics).</w:t>
        <w:br w:type="textWrapping"/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Clear, timely, and precise communication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Defined responsibilities and follow-through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Candid feedback if project constraints conflict with academic requirements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One primary student point of contact for communication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gg4vt8kle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18.0952380952385"/>
        <w:gridCol w:w="1787.8095238095239"/>
        <w:gridCol w:w="1654.095238095238"/>
        <w:tblGridChange w:id="0">
          <w:tblGrid>
            <w:gridCol w:w="5918.0952380952385"/>
            <w:gridCol w:w="1787.8095238095239"/>
            <w:gridCol w:w="1654.0952380952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Develop a project timeline with milestones leading to the April 25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VT 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Identify lines of effort (manpower, materials, location, logistics)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VT 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Plan bedding drive targeting 40 “bed-in-a-bag” 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VT 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Before April 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Coordinate communication structure (single point of contact)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VT 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kih2qjtzm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Unresolved Issues: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Final volunteer recruitment plan (pending sponsor needs)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Storage logistics for collected bedding</w:t>
        <w:br w:type="textWrapping"/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dieol885i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Outstanding Deliverables: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Project timeline and milestone plan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Bedding drive plan (40 twin bed-in-a-bag sets)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Coordination plan for April 25 build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