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2A5FE0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粤港澳大湾区教师的角色定位与自我价值实现</w:t>
      </w:r>
    </w:p>
    <w:p w14:paraId="6D477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 w:val="0"/>
          <w:bCs w:val="0"/>
        </w:rPr>
        <w:t>习近平总书记强调：“教师是立教之本、兴教之源。”作为深圳的一线教师，我们必须明确自身角色定位，将个人价值融入国家发展大局，在湾区建设中培育创新型少年，为教育强国交出特区答卷。</w:t>
      </w:r>
    </w:p>
    <w:p w14:paraId="72E23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交流使者——搭建平台，构筑湾区教育协同“同心桥”。</w:t>
      </w:r>
    </w:p>
    <w:p w14:paraId="53BD5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教育心理学中的社会建构主义强调，认知发展离不开社会互动。深圳是打造“湾区教育共同体”的关键枢纽。在教学中，我立足美术学科，将视觉艺术作为跨越语言障碍的绝佳媒介，促进区域交融。借深港澳基础教育合作深化契机，依托</w:t>
      </w:r>
      <w:r>
        <w:rPr>
          <w:rFonts w:hint="eastAsia" w:ascii="宋体" w:hAnsi="宋体" w:eastAsia="宋体" w:cs="宋体"/>
          <w:b w:val="0"/>
          <w:bCs w:val="0"/>
          <w:u w:val="single"/>
        </w:rPr>
        <w:t>“每周半天计划</w:t>
      </w:r>
      <w:r>
        <w:rPr>
          <w:rFonts w:hint="eastAsia" w:ascii="宋体" w:hAnsi="宋体" w:eastAsia="宋体" w:cs="宋体"/>
          <w:b w:val="0"/>
          <w:bCs w:val="0"/>
        </w:rPr>
        <w:t>”的弹性时空，举办“湾区同心·鹏城创想”少儿艺术节，邀请香港“姊妹学校”师生来深参与“岭南非遗互鉴”、“童画大湾区”等活动。在半天沉浸式交流中，深港澳少年协作挥毫、共绘长卷。这种互动极大激发了儿童多元智能中的人际交往与空间智能，让同伴情谊与文化认同在笔尖悄然生长。</w:t>
      </w:r>
    </w:p>
    <w:p w14:paraId="1860C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变革先锋——融合创见，激活湾区人才培养“新引擎”。</w:t>
      </w:r>
    </w:p>
    <w:p w14:paraId="1C457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u w:val="single"/>
        </w:rPr>
      </w:pPr>
      <w:r>
        <w:rPr>
          <w:rFonts w:hint="eastAsia" w:ascii="宋体" w:hAnsi="宋体" w:eastAsia="宋体" w:cs="宋体"/>
          <w:b w:val="0"/>
          <w:bCs w:val="0"/>
        </w:rPr>
        <w:t>创新是大湾区发展的核心动力。皮亚杰的认知发展理论指出，小学生正处具象向抽象逻辑思维过渡的关键期。作为启蒙创新人才的美术教师，必须变革灌输式教学，唤醒儿童探究欲。我引入项目式学习，设计“湾区同根：绘制我心中的非遗醒狮IP”探究任务。面对“给传统醒狮加入现代科技感”的童趣挑战，孩子们分层协作，经历头脑风暴与草图推演，审美表现力与湾区文化归属感同步提升。</w:t>
      </w:r>
      <w:r>
        <w:rPr>
          <w:rFonts w:hint="eastAsia" w:ascii="宋体" w:hAnsi="宋体" w:eastAsia="宋体" w:cs="宋体"/>
          <w:b w:val="0"/>
          <w:bCs w:val="0"/>
          <w:u w:val="single"/>
        </w:rPr>
        <w:t>同时，我以数字生成艺术变革课堂——敦煌飞天在算法中苏醒，于屏幕绽放全新肌理。孩子们在古今交融的视觉震撼中，真切触摸到“创造性转化”的无限可能。审美素养与创新思维在这场古今对话中悄然拔节，为湾区人才引擎注入蓬勃活力。</w:t>
      </w:r>
    </w:p>
    <w:p w14:paraId="3F67C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终身学者——内修外研，深耕教师专业发展“试验田”。</w:t>
      </w:r>
    </w:p>
    <w:p w14:paraId="6F549582">
      <w:pPr>
        <w:widowControl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Calibri" w:hAnsi="Calibri" w:eastAsia="宋体" w:cs="Calibri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   </w:t>
      </w:r>
      <w:bookmarkStart w:id="0" w:name="_GoBack"/>
      <w:bookmarkEnd w:id="0"/>
      <w:r>
        <w:rPr>
          <w:rFonts w:ascii="Calibri" w:hAnsi="Calibri" w:eastAsia="宋体" w:cs="Calibri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“学然后知不足，教然后知困。”教师专业发展理论指出，优秀教师必然是具备反思能力的终身学习者。面对大湾区中西文化交融的时代背景，提升专业素养、传承优秀传统文化是湾区美术教师的重要使命。为此，我将个人教研深度融入特区发展大局：首先，以“问题导向”夯实专业底蕴。聚焦“岭南传统文化在小学美育中的传承”，探寻传统艺术与特区儿童认知的结合点；其次，依托智慧教研开展微课题攻坚。致力于破解“大湾区美育课程一体化”的教学难点，打磨贴合儿童心理规律的跨学科实践活动；最后，推动美育资源共建共享。积极参与深港澳小学教研互通，将个人成长经验转化为区域教育财富。这不仅锤炼了我的教学本领，更切实以专业教研培育了湾区儿童的文化自信。</w:t>
      </w:r>
    </w:p>
    <w:p w14:paraId="78AA5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</w:rPr>
      </w:pPr>
      <w:r>
        <w:rPr>
          <w:rFonts w:hint="eastAsia" w:ascii="宋体" w:hAnsi="宋体" w:eastAsia="宋体" w:cs="宋体"/>
          <w:b w:val="0"/>
          <w:bCs w:val="0"/>
        </w:rPr>
        <w:t>“心有大我，至诚报国。”借深圳推进基础教育改革与智能普及东风，我将传承特区精神，助力湾区“教联体”建设。愿执五彩画笔滋养湾区少年，探索数字美育路径，践行“躬耕教坛，强国有我”的铮铮誓言，为伟大复兴绘就壮美的画卷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00000000" w:usb1="00000000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1056</Words>
  <Characters>1056</Characters>
  <Lines>0</Lines>
  <Paragraphs>0</Paragraphs>
  <TotalTime>0</TotalTime>
  <ScaleCrop>false</ScaleCrop>
  <LinksUpToDate>false</LinksUpToDate>
  <CharactersWithSpaces>1056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2026-05-13T10:17:00Z</dcterms:created>
  <dc:creator>森谷</dc:creator>
  <cp:lastModifiedBy>iPhone</cp:lastModifiedBy>
  <dcterms:modified xsi:type="dcterms:W3CDTF">2026-05-13T11:26:05Z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CEE8F916659549209E5A551FC0ACFC15_11</vt:lpwstr>
  </property>
  <property fmtid="{D5CDD505-2E9C-101B-9397-08002B2CF9AE}" pid="4" name="KSOTemplateDocerSaveRecord">
    <vt:lpwstr>eyJoZGlkIjoiNmY4MTcyY2IzNTA1ZjIxYzhkNjc5ZmQwNGQ5ZmRiZmEiLCJ1c2VySWQiOiIzMTM5MTcxNzcifQ==</vt:lpwstr>
  </property>
</Properties>
</file>