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BA43A">
      <w:pPr>
        <w:spacing w:line="360" w:lineRule="auto"/>
        <w:ind w:firstLine="562" w:firstLineChars="20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传承中华文脉底蕴 擘画教育强国蓝图</w:t>
      </w:r>
    </w:p>
    <w:p w14:paraId="023B0C5E">
      <w:pPr>
        <w:spacing w:line="360" w:lineRule="auto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文化兴则国运兴，文化强则民族强。习总书记指出：要保护好、传承好、利用好中华优秀传统文化，挖掘其丰富内涵，以利于更好坚定文化自信、凝聚民族精神。作为深圳一线教师，我将依托中华优秀传统文化，厚植学生文化底蕴，提升学生核心素养，为教育强国建设贡献特区力量。</w:t>
      </w:r>
    </w:p>
    <w:p w14:paraId="5F6D6B87">
      <w:pPr>
        <w:spacing w:line="360" w:lineRule="auto"/>
        <w:ind w:firstLine="482" w:firstLineChars="2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守文脉，绘就文化自信“丹青卷”。</w:t>
      </w:r>
    </w:p>
    <w:p w14:paraId="20816BBE">
      <w:pPr>
        <w:spacing w:line="360" w:lineRule="auto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加强中华优秀传统文化教育，融文化于学科，筑精神根基，是教育强国赋予深圳美术教师的时代责任。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其一，融“国潮”赋新能。</w:t>
      </w:r>
      <w:r>
        <w:rPr>
          <w:rFonts w:hint="eastAsia"/>
          <w:sz w:val="24"/>
          <w:szCs w:val="32"/>
          <w:lang w:val="en-US" w:eastAsia="zh-CN"/>
        </w:rPr>
        <w:t>提取“坂田麒麟舞”纹样设计文创，让古老瑞兽与特区基因碰撞，让课堂成为文脉焕新的孵化地。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其二，借“寻根”铸自信。</w:t>
      </w:r>
      <w:r>
        <w:rPr>
          <w:rFonts w:hint="eastAsia"/>
          <w:sz w:val="24"/>
          <w:szCs w:val="32"/>
          <w:lang w:val="en-US" w:eastAsia="zh-CN"/>
        </w:rPr>
        <w:t>赴南头古城写生，描摹青砖与霓虹交叠，于触摸千年城垣中唤醒深港同源认同，筑牢精神底座。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其三，炼“匠心”育品德。</w:t>
      </w:r>
      <w:r>
        <w:rPr>
          <w:rFonts w:hint="eastAsia"/>
          <w:sz w:val="24"/>
          <w:szCs w:val="32"/>
          <w:lang w:val="en-US" w:eastAsia="zh-CN"/>
        </w:rPr>
        <w:t>走进观澜版画村，让学生在起稿、拓印中体悟劳动艰辛，于千万次雕刻里淬炼专注精益的工匠精神。立德树人融入每一道刻痕。我们在“寻根”与“向善”中，正以美育为笔，勾勒教育强国的生动模样。</w:t>
      </w:r>
    </w:p>
    <w:p w14:paraId="7038498F">
      <w:pPr>
        <w:spacing w:line="360" w:lineRule="auto"/>
        <w:ind w:firstLine="482" w:firstLineChars="200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促融合，绽放跨界创新“万花筒”。</w:t>
      </w:r>
    </w:p>
    <w:p w14:paraId="2F9431A8">
      <w:pPr>
        <w:spacing w:line="360" w:lineRule="auto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拥抱智能时代变革，打破学科边界，是传承文脉的创新路径。在“AI绘古韵：赛博岭南瑞兽”跨学科课程中，我联合信息技术教师，将课堂升级为“无边界数字空间”。孩子们化身“数字传承人”，利用人工智能大模型输入“醒狮、广彩、木棉”等岭南特征词，开展“人机共创”——古老图腾在算法驱动下蜕变出流光溢彩的赛博朋克形态；戴上VR设备进行空间作画，结合3D建模与全息投影，让一只只威武的“数字醒狮”伴随编程鼓点腾跃于校园操场！当传统非遗与智能大模型激烈碰撞，中华文脉在“人机协同”的跨界实践中扎根拔节，绽放出属于未来智能时代的创新光芒。</w:t>
      </w:r>
    </w:p>
    <w:p w14:paraId="60F187D9">
      <w:pPr>
        <w:spacing w:line="360" w:lineRule="auto"/>
        <w:ind w:firstLine="482" w:firstLineChars="2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锻师能，筑牢教育强国“压舱石”。</w:t>
      </w:r>
    </w:p>
    <w:p w14:paraId="46686AC7">
      <w:pPr>
        <w:spacing w:line="360" w:lineRule="auto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“强教必先强师。”锚定教育强国目标，我将“教育家精神”与数智教研深度融合。秉持深圳“跨界先行”特质，我深挖“沙头角鱼灯”等传统非遗开展行动研究，构建“AI+非遗”跨学科新范式；依托数字工坊重构审美场景，让中华古老文脉在虚实交织中焕发新生。同时，我借助深港澳教研“云端互通”，推动大湾区优秀传统美育资源的跨域共享。教研相长，我将持续淬炼师能，做新时代美育的“大先生”，以扎实的教研厚植学子文化自信，让“立德树人”落地生根，为强国建设注入源头活水。</w:t>
      </w:r>
    </w:p>
    <w:p w14:paraId="4F88E6B3">
      <w:pPr>
        <w:spacing w:line="360" w:lineRule="auto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文脉如水，润物无声；以美培元，铸魂育人。特区教师不仅是创新奇迹的“开拓者”，更当做中华优秀传统文化的“守台人”。回应教育强国的时代呼唤，我们将牢记“躬耕教坛”使命，以大爱执笔，努力培育兼具审美骨气与家国担当的时代新人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F7FF8"/>
    <w:rsid w:val="4D4E46A9"/>
    <w:rsid w:val="598E1947"/>
    <w:rsid w:val="634F7D08"/>
    <w:rsid w:val="7A9B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1102</Words>
  <Characters>1110</Characters>
  <Lines>0</Lines>
  <Paragraphs>0</Paragraphs>
  <TotalTime>107</TotalTime>
  <ScaleCrop>false</ScaleCrop>
  <LinksUpToDate>false</LinksUpToDate>
  <CharactersWithSpaces>1111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2026-04-08T08:16:00Z</dcterms:created>
  <dc:creator>颜嘉岑</dc:creator>
  <cp:lastModifiedBy>森谷</cp:lastModifiedBy>
  <cp:lastPrinted>2026-04-08T10:01:00Z</cp:lastPrinted>
  <dcterms:modified xsi:type="dcterms:W3CDTF">2026-05-20T11:02:41Z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eyJoZGlkIjoiNmY4MTcyY2IzNTA1ZjIxYzhkNjc5ZmQwNGQ5ZmRiZmEiLCJ1c2VySWQiOiIzMTM5MTcxNzcifQ==</vt:lpwstr>
  </property>
  <property fmtid="{D5CDD505-2E9C-101B-9397-08002B2CF9AE}" pid="4" name="ICV">
    <vt:lpwstr>B7D6C9F23AEB469A969B51C75B873D9D_13</vt:lpwstr>
  </property>
</Properties>
</file>