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71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聚数智之力 铸创新之魂</w:t>
      </w:r>
    </w:p>
    <w:p w14:paraId="78751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——以深圳“双创”精神为引领的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教育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实践探索</w:t>
      </w:r>
    </w:p>
    <w:p w14:paraId="6FD89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习近平总书记深刻指出：“创新是引领发展的第一动力，人才是支撑发展的第一资源。”从一六年深圳湾“创客精神”，到二六年数字大会“智能奇点”，十年盛会交响，抛出时代同题：何谓创新人才？创新型人才，应兼具追问“为什么”的内驱力、跨界融合力、试错创造力及家国情怀。作为特区教师，我从四个维度探索创新教育之道。</w:t>
      </w:r>
    </w:p>
    <w:p w14:paraId="50467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聚焦立德树人，重塑“把准方向”的创新教育理念。</w:t>
      </w:r>
    </w:p>
    <w:p w14:paraId="25B90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育人之本，首在铸魂定向，重在培育有责任感与创新精神的时代新人。智能时代，AI无法替代真实的价值信仰。教学中，我借助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社会导向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引导价值观：一是“勾勒”大国重器，借嫦娥六号月背采样，展现中国航天人自立自强的精神；二是“着色”青春榜样，用巴黎奥运健儿逆风翻盘的英姿，诠释新时代青年平视世界的自信拼搏；三是“镌刻”文化根基，借《黑神话》带火古建出圈，引导学生用画笔传承非遗、彰显文化底气。我借前沿视点厚植家国情怀，唯有如此把准方向，方能以立德之锚确保创新教育与国家战略同频共振。</w:t>
      </w:r>
    </w:p>
    <w:p w14:paraId="46DCD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深化跨界融合，构建“无边界”的创新课程体系。</w:t>
      </w:r>
    </w:p>
    <w:p w14:paraId="3B2C0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打破学科边界、深耕跨界融合，是新时代培育拔尖创新人才的必由之路。正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FEF2CB" w:themeFill="accent3" w:themeFillTint="32"/>
        </w:rPr>
        <w:t>如怀进鹏部长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所言，要发挥学科交叉倍增效应。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例如，</w:t>
      </w:r>
      <w:r>
        <w:rPr>
          <w:rFonts w:hint="eastAsia" w:asciiTheme="minorEastAsia" w:hAnsiTheme="minorEastAsia" w:cstheme="minorEastAsia"/>
          <w:sz w:val="24"/>
          <w:szCs w:val="24"/>
          <w:u w:val="single"/>
          <w:lang w:val="en-US" w:eastAsia="zh-CN"/>
        </w:rPr>
        <w:t>我研究了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“赛博鹏城：平湖纸龙的未来跃迁”跨学科课程。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面对“让古老纸龙飞向未来”的挑战，孩子们不再局限传统纸扎，而是跨界融合工程学，在竹篾中植入微型电路，让纸龙闪烁可编程霓虹。同时，依托数字技术让“沙头角鱼灯”在全息引擎中苏醒。当数字鱼群凌空游弋，孩子们在古今激荡中触摸“创造性转化”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课程无边界，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让创新的种子悄然种下。</w:t>
      </w:r>
    </w:p>
    <w:p w14:paraId="72874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依托数智赋能，创设“真实情境”的探究式方法手段。</w:t>
      </w:r>
    </w:p>
    <w:p w14:paraId="24F8B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数智时代的课堂重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构，是以真实情境为锚点，须向“生本探究唤醒”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范式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</w:rPr>
        <w:t>转变</w:t>
      </w:r>
      <w:r>
        <w:rPr>
          <w:rFonts w:hint="eastAsia" w:asciiTheme="minorEastAsia" w:hAnsiTheme="minorEastAsia" w:eastAsiaTheme="minorEastAsia" w:cstheme="minorEastAsia"/>
          <w:sz w:val="24"/>
          <w:szCs w:val="24"/>
          <w:u w:val="single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shd w:val="clear" w:fill="FEF2CB" w:themeFill="accent3" w:themeFillTint="32"/>
        </w:rPr>
        <w:t>怀部长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强调要在“真环境”中感受“真问题”。为此，我依托深圳“每周半天计划”，紧扣“深中通道”与深圳“山海连城”生态规划，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对学生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抛出驱动任务：“如何为‘山海连城’步道设计一款兼具本土特色与科技感的生态吉祥物？”孩子们实地调研后，借助AI提取红树林“黑脸琵鹭”与机器人形态融合重组，最终将草图3D打印为文创盲盒。当真实情境成为探究的土壤，数智之翼便托举起创新思维的拔地而起。</w:t>
      </w:r>
    </w:p>
    <w:p w14:paraId="224D6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创新教育治理，推进“素养导向”的多维评价新生态。</w:t>
      </w:r>
    </w:p>
    <w:p w14:paraId="62E50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智能时代重塑教育生态，评价必须从知识分数转向问题解决与创新素养。我为学生建立数字化“创客档案袋”，将被揉皱的草图、团队的争吵妥协、反复推翻的数字图纸皆纳入核心评价。期末的“双创艺术展”没有冰冷等级，只有孩子们站在作品前，像当年会场上的科技大咖一样，自信“路演”设计理念的闪光眼眸。多维评价如春雨，彻底激活了学生向美而行的生命力。以素养导向的评价新生态，为每一颗创新的种子提供破土而出的力量，这恰是教育治理最动人的回响。</w:t>
      </w:r>
    </w:p>
    <w:p w14:paraId="28744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筑教育强国之基，须扬创新育人之帆；绘民族复兴之卷，更需执美育启智之笔。我愿以讲台为阵地，以画笔为长矛，在科技理性与人文精神的交汇中，让每个孩子都能仰望星空、脚踏实地，为建设教育强国输送源源不竭的创新力量！</w:t>
      </w:r>
    </w:p>
    <w:p w14:paraId="756E9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652A4"/>
    <w:rsid w:val="10463305"/>
    <w:rsid w:val="1D396B88"/>
    <w:rsid w:val="240B6341"/>
    <w:rsid w:val="36415191"/>
    <w:rsid w:val="3FCB43E6"/>
    <w:rsid w:val="476E197B"/>
    <w:rsid w:val="50B620BA"/>
    <w:rsid w:val="52E61B8D"/>
    <w:rsid w:val="58C652A4"/>
    <w:rsid w:val="6A777F57"/>
    <w:rsid w:val="7276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1251</Words>
  <Characters>1254</Characters>
  <Lines>0</Lines>
  <Paragraphs>0</Paragraphs>
  <TotalTime>29</TotalTime>
  <ScaleCrop>false</ScaleCrop>
  <LinksUpToDate>false</LinksUpToDate>
  <CharactersWithSpaces>1255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2026-05-17T16:11:00Z</dcterms:created>
  <dc:creator>森谷</dc:creator>
  <cp:lastModifiedBy>森谷</cp:lastModifiedBy>
  <dcterms:modified xsi:type="dcterms:W3CDTF">2026-05-20T11:12:39Z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C569FE6A2E12441788BCDBEDEA2EE3C8_13</vt:lpwstr>
  </property>
  <property fmtid="{D5CDD505-2E9C-101B-9397-08002B2CF9AE}" pid="4" name="KSOTemplateDocerSaveRecord">
    <vt:lpwstr>eyJoZGlkIjoiNmY4MTcyY2IzNTA1ZjIxYzhkNjc5ZmQwNGQ5ZmRiZmEiLCJ1c2VySWQiOiIzMTM5MTcxNzcifQ==</vt:lpwstr>
  </property>
</Properties>
</file>