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7BC44">
      <w:pPr>
        <w:keepNext w:val="0"/>
        <w:keepLines w:val="0"/>
        <w:pageBreakBefore w:val="0"/>
        <w:widowControl w:val="0"/>
        <w:kinsoku/>
        <w:wordWrap/>
        <w:overflowPunct/>
        <w:topLinePunct w:val="0"/>
        <w:autoSpaceDE/>
        <w:autoSpaceDN/>
        <w:bidi w:val="0"/>
        <w:adjustRightInd/>
        <w:snapToGrid/>
        <w:spacing w:before="3121" w:beforeLines="1000"/>
        <w:jc w:val="center"/>
        <w:textAlignment w:val="auto"/>
        <w:rPr>
          <w:rFonts w:hint="eastAsia"/>
          <w:b/>
          <w:bCs/>
          <w:sz w:val="72"/>
          <w:szCs w:val="72"/>
        </w:rPr>
      </w:pPr>
      <w:r>
        <w:rPr>
          <w:rFonts w:hint="eastAsia"/>
          <w:b/>
          <w:bCs/>
          <w:sz w:val="72"/>
          <w:szCs w:val="72"/>
        </w:rPr>
        <w:t>智慧工地建设与工程现场数字化管理</w:t>
      </w:r>
    </w:p>
    <w:p w14:paraId="5A891AF1">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bCs/>
          <w:sz w:val="24"/>
          <w:szCs w:val="24"/>
          <w:lang w:val="en-US" w:eastAsia="zh-CN"/>
        </w:rPr>
      </w:pPr>
    </w:p>
    <w:p w14:paraId="2F52FA47">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bCs/>
          <w:sz w:val="24"/>
          <w:szCs w:val="24"/>
          <w:lang w:val="en-US" w:eastAsia="zh-CN"/>
        </w:rPr>
      </w:pPr>
    </w:p>
    <w:p w14:paraId="1FFE2EE3">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bCs/>
          <w:sz w:val="24"/>
          <w:szCs w:val="24"/>
          <w:lang w:val="en-US" w:eastAsia="zh-CN"/>
        </w:rPr>
      </w:pPr>
    </w:p>
    <w:p w14:paraId="59367F31">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bCs/>
          <w:sz w:val="24"/>
          <w:szCs w:val="24"/>
          <w:lang w:val="en-US" w:eastAsia="zh-CN"/>
        </w:rPr>
      </w:pPr>
    </w:p>
    <w:p w14:paraId="345A19AC">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bCs/>
          <w:sz w:val="24"/>
          <w:szCs w:val="24"/>
          <w:lang w:val="en-US" w:eastAsia="zh-CN"/>
        </w:rPr>
      </w:pPr>
    </w:p>
    <w:p w14:paraId="548D1D10">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bCs/>
          <w:sz w:val="24"/>
          <w:szCs w:val="24"/>
          <w:lang w:val="en-US" w:eastAsia="zh-CN"/>
        </w:rPr>
      </w:pPr>
    </w:p>
    <w:p w14:paraId="436C1F0F">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bCs/>
          <w:sz w:val="24"/>
          <w:szCs w:val="24"/>
          <w:lang w:val="en-US" w:eastAsia="zh-CN"/>
        </w:rPr>
      </w:pPr>
    </w:p>
    <w:p w14:paraId="0101BF03">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bCs/>
          <w:sz w:val="24"/>
          <w:szCs w:val="24"/>
          <w:lang w:val="en-US" w:eastAsia="zh-CN"/>
        </w:rPr>
      </w:pPr>
    </w:p>
    <w:p w14:paraId="6B2196E1">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bCs/>
          <w:sz w:val="24"/>
          <w:szCs w:val="24"/>
          <w:lang w:val="en-US" w:eastAsia="zh-CN"/>
        </w:rPr>
      </w:pPr>
    </w:p>
    <w:p w14:paraId="7BA3EFE3">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val="0"/>
          <w:bCs w:val="0"/>
          <w:sz w:val="24"/>
          <w:szCs w:val="24"/>
          <w:lang w:val="en-US" w:eastAsia="zh-CN"/>
        </w:rPr>
      </w:pPr>
      <w:r>
        <w:rPr>
          <w:rFonts w:hint="default" w:ascii="Times New Roman" w:hAnsi="Times New Roman" w:eastAsia="宋体" w:cs="Times New Roman"/>
          <w:b w:val="0"/>
          <w:bCs w:val="0"/>
          <w:sz w:val="24"/>
          <w:szCs w:val="24"/>
          <w:lang w:val="en-US" w:eastAsia="zh-CN"/>
        </w:rPr>
        <w:t>xxx</w:t>
      </w:r>
      <w:r>
        <w:rPr>
          <w:rFonts w:hint="eastAsia" w:eastAsia="宋体"/>
          <w:b w:val="0"/>
          <w:bCs w:val="0"/>
          <w:sz w:val="24"/>
          <w:szCs w:val="24"/>
          <w:lang w:val="en-US" w:eastAsia="zh-CN"/>
        </w:rPr>
        <w:t>著</w:t>
      </w:r>
    </w:p>
    <w:p w14:paraId="58A4FAA0">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val="0"/>
          <w:bCs w:val="0"/>
          <w:sz w:val="24"/>
          <w:szCs w:val="24"/>
          <w:lang w:val="en-US" w:eastAsia="zh-CN"/>
        </w:rPr>
      </w:pPr>
    </w:p>
    <w:p w14:paraId="6F15C08D">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val="0"/>
          <w:bCs w:val="0"/>
          <w:sz w:val="24"/>
          <w:szCs w:val="24"/>
          <w:lang w:val="en-US" w:eastAsia="zh-CN"/>
        </w:rPr>
      </w:pPr>
    </w:p>
    <w:p w14:paraId="47398C1E">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val="0"/>
          <w:bCs w:val="0"/>
          <w:sz w:val="24"/>
          <w:szCs w:val="24"/>
          <w:lang w:val="en-US" w:eastAsia="zh-CN"/>
        </w:rPr>
      </w:pPr>
    </w:p>
    <w:p w14:paraId="0C3CE00D">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val="0"/>
          <w:bCs w:val="0"/>
          <w:sz w:val="24"/>
          <w:szCs w:val="24"/>
          <w:lang w:val="en-US" w:eastAsia="zh-CN"/>
        </w:rPr>
      </w:pPr>
    </w:p>
    <w:p w14:paraId="3ACEADB9">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val="0"/>
          <w:bCs w:val="0"/>
          <w:sz w:val="24"/>
          <w:szCs w:val="24"/>
          <w:lang w:val="en-US" w:eastAsia="zh-CN"/>
        </w:rPr>
      </w:pPr>
    </w:p>
    <w:p w14:paraId="38EF074D">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val="0"/>
          <w:bCs w:val="0"/>
          <w:sz w:val="24"/>
          <w:szCs w:val="24"/>
          <w:lang w:val="en-US" w:eastAsia="zh-CN"/>
        </w:rPr>
      </w:pPr>
    </w:p>
    <w:p w14:paraId="05A30AEB">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val="0"/>
          <w:bCs w:val="0"/>
          <w:sz w:val="24"/>
          <w:szCs w:val="24"/>
          <w:lang w:val="en-US" w:eastAsia="zh-CN"/>
        </w:rPr>
      </w:pPr>
    </w:p>
    <w:p w14:paraId="6EDE3849">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val="0"/>
          <w:bCs w:val="0"/>
          <w:sz w:val="24"/>
          <w:szCs w:val="24"/>
          <w:lang w:val="en-US" w:eastAsia="zh-CN"/>
        </w:rPr>
      </w:pPr>
    </w:p>
    <w:p w14:paraId="2ACE8922">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val="0"/>
          <w:bCs w:val="0"/>
          <w:sz w:val="24"/>
          <w:szCs w:val="24"/>
          <w:lang w:val="en-US" w:eastAsia="zh-CN"/>
        </w:rPr>
      </w:pPr>
    </w:p>
    <w:p w14:paraId="2EA7789F">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val="0"/>
          <w:bCs w:val="0"/>
          <w:sz w:val="24"/>
          <w:szCs w:val="24"/>
          <w:lang w:val="en-US" w:eastAsia="zh-CN"/>
        </w:rPr>
      </w:pPr>
    </w:p>
    <w:p w14:paraId="2C1B7948">
      <w:pPr>
        <w:keepNext w:val="0"/>
        <w:keepLines w:val="0"/>
        <w:pageBreakBefore w:val="0"/>
        <w:widowControl w:val="0"/>
        <w:kinsoku/>
        <w:wordWrap/>
        <w:overflowPunct/>
        <w:topLinePunct w:val="0"/>
        <w:autoSpaceDE/>
        <w:autoSpaceDN/>
        <w:bidi w:val="0"/>
        <w:adjustRightInd/>
        <w:snapToGrid/>
        <w:jc w:val="center"/>
        <w:textAlignment w:val="auto"/>
        <w:rPr>
          <w:rFonts w:hint="default" w:eastAsia="宋体"/>
          <w:b w:val="0"/>
          <w:bCs w:val="0"/>
          <w:sz w:val="24"/>
          <w:szCs w:val="24"/>
          <w:lang w:val="en-US" w:eastAsia="zh-CN"/>
        </w:rPr>
      </w:pPr>
      <w:r>
        <w:rPr>
          <w:rFonts w:hint="default" w:ascii="Times New Roman" w:hAnsi="Times New Roman" w:eastAsia="仿宋" w:cs="Times New Roman"/>
          <w:b w:val="0"/>
          <w:bCs w:val="0"/>
          <w:sz w:val="24"/>
          <w:szCs w:val="24"/>
          <w:lang w:val="en-US" w:eastAsia="zh-CN"/>
        </w:rPr>
        <w:t>——</w:t>
      </w:r>
      <w:r>
        <w:rPr>
          <w:rFonts w:hint="eastAsia" w:eastAsia="宋体"/>
          <w:b w:val="0"/>
          <w:bCs w:val="0"/>
          <w:sz w:val="24"/>
          <w:szCs w:val="24"/>
          <w:lang w:val="en-US" w:eastAsia="zh-CN"/>
        </w:rPr>
        <w:t>出版社</w:t>
      </w:r>
    </w:p>
    <w:p w14:paraId="46B8308B">
      <w:pPr>
        <w:keepNext w:val="0"/>
        <w:keepLines w:val="0"/>
        <w:pageBreakBefore w:val="0"/>
        <w:widowControl w:val="0"/>
        <w:kinsoku/>
        <w:wordWrap/>
        <w:overflowPunct/>
        <w:topLinePunct w:val="0"/>
        <w:autoSpaceDE/>
        <w:autoSpaceDN/>
        <w:bidi w:val="0"/>
        <w:adjustRightInd/>
        <w:snapToGrid/>
        <w:spacing w:before="3121" w:beforeLines="1000"/>
        <w:jc w:val="center"/>
        <w:textAlignment w:val="auto"/>
        <w:rPr>
          <w:rFonts w:hint="eastAsia"/>
          <w:b/>
          <w:bCs/>
          <w:sz w:val="72"/>
          <w:szCs w:val="72"/>
        </w:rPr>
        <w:sectPr>
          <w:pgSz w:w="10431" w:h="14740"/>
          <w:pgMar w:top="1440" w:right="1800" w:bottom="1440" w:left="1800" w:header="851" w:footer="992" w:gutter="0"/>
          <w:cols w:space="425" w:num="1"/>
          <w:docGrid w:type="lines" w:linePitch="312" w:charSpace="0"/>
        </w:sectPr>
      </w:pPr>
    </w:p>
    <w:p w14:paraId="47C7EAA5">
      <w:pPr>
        <w:bidi w:val="0"/>
      </w:pPr>
    </w:p>
    <w:p w14:paraId="113EFC3D">
      <w:pPr>
        <w:bidi w:val="0"/>
        <w:rPr>
          <w:rFonts w:ascii="Arial" w:hAnsi="Arial" w:eastAsia="黑体" w:cstheme="minorBidi"/>
          <w:kern w:val="2"/>
          <w:sz w:val="21"/>
          <w:szCs w:val="24"/>
          <w:lang w:val="en-US" w:eastAsia="zh-CN" w:bidi="ar-SA"/>
        </w:rPr>
      </w:pPr>
    </w:p>
    <w:p w14:paraId="1A90EA2A">
      <w:pPr>
        <w:bidi w:val="0"/>
        <w:rPr>
          <w:lang w:val="en-US" w:eastAsia="zh-CN"/>
        </w:rPr>
      </w:pPr>
    </w:p>
    <w:p w14:paraId="68A8248B">
      <w:pPr>
        <w:bidi w:val="0"/>
        <w:rPr>
          <w:lang w:val="en-US" w:eastAsia="zh-CN"/>
        </w:rPr>
      </w:pPr>
    </w:p>
    <w:p w14:paraId="72242F79">
      <w:pPr>
        <w:bidi w:val="0"/>
        <w:rPr>
          <w:lang w:val="en-US" w:eastAsia="zh-CN"/>
        </w:rPr>
      </w:pPr>
    </w:p>
    <w:p w14:paraId="772985D9">
      <w:pPr>
        <w:bidi w:val="0"/>
        <w:rPr>
          <w:lang w:val="en-US" w:eastAsia="zh-CN"/>
        </w:rPr>
      </w:pPr>
    </w:p>
    <w:p w14:paraId="2ECE9B2C">
      <w:pPr>
        <w:bidi w:val="0"/>
        <w:rPr>
          <w:lang w:val="en-US" w:eastAsia="zh-CN"/>
        </w:rPr>
      </w:pPr>
    </w:p>
    <w:p w14:paraId="765A5FCD">
      <w:pPr>
        <w:bidi w:val="0"/>
        <w:rPr>
          <w:lang w:val="en-US" w:eastAsia="zh-CN"/>
        </w:rPr>
      </w:pPr>
    </w:p>
    <w:p w14:paraId="5686DA9F">
      <w:pPr>
        <w:bidi w:val="0"/>
        <w:rPr>
          <w:lang w:val="en-US" w:eastAsia="zh-CN"/>
        </w:rPr>
      </w:pPr>
    </w:p>
    <w:p w14:paraId="1692D2D8">
      <w:pPr>
        <w:bidi w:val="0"/>
        <w:rPr>
          <w:lang w:val="en-US" w:eastAsia="zh-CN"/>
        </w:rPr>
      </w:pPr>
    </w:p>
    <w:p w14:paraId="5987C254">
      <w:pPr>
        <w:bidi w:val="0"/>
        <w:rPr>
          <w:lang w:val="en-US" w:eastAsia="zh-CN"/>
        </w:rPr>
      </w:pPr>
    </w:p>
    <w:p w14:paraId="3509D248">
      <w:pPr>
        <w:bidi w:val="0"/>
        <w:rPr>
          <w:lang w:val="en-US" w:eastAsia="zh-CN"/>
        </w:rPr>
      </w:pPr>
    </w:p>
    <w:p w14:paraId="3913469C">
      <w:pPr>
        <w:tabs>
          <w:tab w:val="left" w:pos="1946"/>
        </w:tabs>
        <w:bidi w:val="0"/>
        <w:jc w:val="left"/>
        <w:rPr>
          <w:lang w:val="en-US" w:eastAsia="zh-CN"/>
        </w:rPr>
        <w:sectPr>
          <w:headerReference r:id="rId3" w:type="default"/>
          <w:footerReference r:id="rId5" w:type="default"/>
          <w:headerReference r:id="rId4" w:type="even"/>
          <w:footerReference r:id="rId6" w:type="even"/>
          <w:pgSz w:w="10431" w:h="14740"/>
          <w:pgMar w:top="1440" w:right="1800" w:bottom="1440" w:left="1800" w:header="851" w:footer="992" w:gutter="0"/>
          <w:cols w:space="425" w:num="1"/>
          <w:docGrid w:type="lines" w:linePitch="312" w:charSpace="0"/>
        </w:sectPr>
      </w:pPr>
      <w:r>
        <w:rPr>
          <w:rFonts w:hint="eastAsia"/>
          <w:lang w:val="en-US" w:eastAsia="zh-CN"/>
        </w:rPr>
        <w:tab/>
      </w:r>
    </w:p>
    <w:p w14:paraId="33763EB3">
      <w:pPr>
        <w:pStyle w:val="2"/>
        <w:bidi w:val="0"/>
      </w:pPr>
      <w:bookmarkStart w:id="0" w:name="_Toc6325"/>
      <w:r>
        <w:t>内容简介</w:t>
      </w:r>
      <w:bookmarkEnd w:id="0"/>
    </w:p>
    <w:p w14:paraId="62FA2FC6">
      <w:pPr>
        <w:rPr>
          <w:rFonts w:hint="eastAsia"/>
          <w:lang w:val="en-US" w:eastAsia="zh-CN"/>
        </w:rPr>
      </w:pPr>
    </w:p>
    <w:p w14:paraId="247D9171">
      <w:pPr>
        <w:pStyle w:val="11"/>
        <w:rPr>
          <w:rFonts w:ascii="Times New Roman" w:hAnsi="Calibri" w:eastAsia="宋体" w:cs="Times New Roman"/>
          <w:sz w:val="21"/>
        </w:rPr>
        <w:sectPr>
          <w:headerReference r:id="rId7" w:type="default"/>
          <w:footerReference r:id="rId9" w:type="default"/>
          <w:headerReference r:id="rId8" w:type="even"/>
          <w:footerReference r:id="rId10" w:type="even"/>
          <w:pgSz w:w="10431" w:h="14740"/>
          <w:pgMar w:top="1440" w:right="1800" w:bottom="1440" w:left="1800" w:header="851" w:footer="992" w:gutter="0"/>
          <w:pgNumType w:fmt="upperRoman" w:start="1"/>
          <w:cols w:space="425" w:num="1"/>
          <w:docGrid w:type="lines" w:linePitch="312" w:charSpace="0"/>
        </w:sectPr>
      </w:pPr>
      <w:r>
        <w:rPr>
          <w:rFonts w:ascii="Times New Roman" w:hAnsi="Calibri" w:eastAsia="宋体" w:cs="Times New Roman"/>
          <w:sz w:val="21"/>
        </w:rPr>
        <w:t>《智慧工地建设与工程现场数字化管理》聚焦建筑业数字化转型与工程现场精细化治理需求，围绕施工现场</w:t>
      </w:r>
      <w:r>
        <w:rPr>
          <w:rFonts w:hint="eastAsia" w:ascii="Times New Roman" w:hAnsi="Times New Roman" w:eastAsia="宋体" w:cs="Times New Roman"/>
          <w:sz w:val="21"/>
          <w:lang w:eastAsia="zh-CN"/>
        </w:rPr>
        <w:t>“</w:t>
      </w:r>
      <w:r>
        <w:rPr>
          <w:rFonts w:ascii="Times New Roman" w:hAnsi="Calibri" w:eastAsia="宋体" w:cs="Times New Roman"/>
          <w:sz w:val="21"/>
        </w:rPr>
        <w:t>人、机、料、法、环</w:t>
      </w:r>
      <w:r>
        <w:rPr>
          <w:rFonts w:hint="eastAsia" w:ascii="Times New Roman" w:hAnsi="Times New Roman" w:eastAsia="宋体" w:cs="Times New Roman"/>
          <w:sz w:val="21"/>
          <w:lang w:eastAsia="zh-CN"/>
        </w:rPr>
        <w:t>”</w:t>
      </w:r>
      <w:r>
        <w:rPr>
          <w:rFonts w:ascii="Times New Roman" w:hAnsi="Calibri" w:eastAsia="宋体" w:cs="Times New Roman"/>
          <w:sz w:val="21"/>
        </w:rPr>
        <w:t>全要素协同管理，系统阐述智慧工地建设的理论基础、实施机制、平台架构与应用路径。全书从智慧工地的生成逻辑、价值定位与发展趋势出发，深入分析建设目标、组织协同、标准规则及分阶段推进方法，构建覆盖数据底座、模型技术、感知终端、系统贯通与运行保障的技术支撑体系。在此基础上，着重讨论进度、劳务、机械设备、材料供应、质量安全、投资评审、造价合同、政府投资项目及专项工程等核心场景的数字化管理模式，并结合空间感知、工程测绘、定位监测、三维重构等技术，揭示其对现场组织优化与风险防控的支撑作用。全书还围绕竣工交付、验收支撑、监管评价、建设复盘与持续优化等内容，形成贯穿项目策划、建设实施、过程控制、成果验收与迭代提升的完整知识链条。本书注重理论阐释与工程实践结合，兼顾学术性、系统性与应用性，可为建筑企业管理人员、工程技术人员、政府监管人员以及高校相关专业教学研究提供参考。</w:t>
      </w:r>
    </w:p>
    <w:p w14:paraId="35D58BCF">
      <w:pPr>
        <w:bidi w:val="0"/>
      </w:pPr>
    </w:p>
    <w:p w14:paraId="3674677C">
      <w:pPr>
        <w:bidi w:val="0"/>
        <w:rPr>
          <w:rFonts w:ascii="Arial" w:hAnsi="Arial" w:eastAsia="黑体" w:cstheme="minorBidi"/>
          <w:kern w:val="2"/>
          <w:sz w:val="21"/>
          <w:szCs w:val="24"/>
          <w:lang w:val="en-US" w:eastAsia="zh-CN" w:bidi="ar-SA"/>
        </w:rPr>
      </w:pPr>
    </w:p>
    <w:p w14:paraId="11A6FC17">
      <w:pPr>
        <w:bidi w:val="0"/>
        <w:rPr>
          <w:lang w:val="en-US" w:eastAsia="zh-CN"/>
        </w:rPr>
      </w:pPr>
    </w:p>
    <w:p w14:paraId="4112C6F9">
      <w:pPr>
        <w:bidi w:val="0"/>
        <w:rPr>
          <w:lang w:val="en-US" w:eastAsia="zh-CN"/>
        </w:rPr>
      </w:pPr>
    </w:p>
    <w:p w14:paraId="0610CC04">
      <w:pPr>
        <w:bidi w:val="0"/>
        <w:rPr>
          <w:lang w:val="en-US" w:eastAsia="zh-CN"/>
        </w:rPr>
      </w:pPr>
    </w:p>
    <w:p w14:paraId="14A95FB8">
      <w:pPr>
        <w:bidi w:val="0"/>
        <w:rPr>
          <w:lang w:val="en-US" w:eastAsia="zh-CN"/>
        </w:rPr>
      </w:pPr>
    </w:p>
    <w:p w14:paraId="3548B41A">
      <w:pPr>
        <w:bidi w:val="0"/>
        <w:rPr>
          <w:lang w:val="en-US" w:eastAsia="zh-CN"/>
        </w:rPr>
      </w:pPr>
    </w:p>
    <w:p w14:paraId="3BFD6417">
      <w:pPr>
        <w:bidi w:val="0"/>
        <w:rPr>
          <w:lang w:val="en-US" w:eastAsia="zh-CN"/>
        </w:rPr>
      </w:pPr>
    </w:p>
    <w:p w14:paraId="71DC29FC">
      <w:pPr>
        <w:bidi w:val="0"/>
        <w:rPr>
          <w:lang w:val="en-US" w:eastAsia="zh-CN"/>
        </w:rPr>
      </w:pPr>
    </w:p>
    <w:p w14:paraId="7874BAD4">
      <w:pPr>
        <w:tabs>
          <w:tab w:val="left" w:pos="2596"/>
        </w:tabs>
        <w:bidi w:val="0"/>
        <w:jc w:val="left"/>
        <w:rPr>
          <w:lang w:val="en-US" w:eastAsia="zh-CN"/>
        </w:rPr>
        <w:sectPr>
          <w:headerReference r:id="rId11" w:type="default"/>
          <w:headerReference r:id="rId12" w:type="even"/>
          <w:pgSz w:w="10431" w:h="14740"/>
          <w:pgMar w:top="1440" w:right="1800" w:bottom="1440" w:left="1800" w:header="851" w:footer="992" w:gutter="0"/>
          <w:pgNumType w:fmt="upperRoman"/>
          <w:cols w:space="425" w:num="1"/>
          <w:docGrid w:type="lines" w:linePitch="312" w:charSpace="0"/>
        </w:sectPr>
      </w:pPr>
      <w:r>
        <w:rPr>
          <w:rFonts w:hint="eastAsia"/>
          <w:lang w:val="en-US" w:eastAsia="zh-CN"/>
        </w:rPr>
        <w:tab/>
      </w:r>
    </w:p>
    <w:p w14:paraId="762422E2">
      <w:pPr>
        <w:pStyle w:val="2"/>
      </w:pPr>
      <w:bookmarkStart w:id="1" w:name="_Toc19388"/>
      <w:r>
        <w:t>前言</w:t>
      </w:r>
      <w:bookmarkEnd w:id="1"/>
    </w:p>
    <w:p w14:paraId="415225C6">
      <w:pPr>
        <w:rPr>
          <w:rFonts w:hint="eastAsia"/>
          <w:lang w:val="en-US" w:eastAsia="zh-CN"/>
        </w:rPr>
      </w:pPr>
    </w:p>
    <w:p w14:paraId="26DF94B7">
      <w:pPr>
        <w:pStyle w:val="11"/>
        <w:rPr>
          <w:rFonts w:ascii="Times New Roman" w:hAnsi="Calibri" w:eastAsia="宋体" w:cs="Times New Roman"/>
          <w:sz w:val="21"/>
        </w:rPr>
      </w:pPr>
      <w:r>
        <w:rPr>
          <w:rFonts w:ascii="Times New Roman" w:hAnsi="Calibri" w:eastAsia="宋体" w:cs="Times New Roman"/>
          <w:sz w:val="21"/>
        </w:rPr>
        <w:t>建筑业正在由传统粗放管理加快转向数字化、精细化与协同化治理，施工现场也由以结果验收为主，逐步转向以过程感知、动态控制和责任追溯并重的运行方式。本书立足这一现实背景，围绕工程现场</w:t>
      </w:r>
      <w:r>
        <w:rPr>
          <w:rFonts w:hint="eastAsia" w:ascii="Times New Roman" w:hAnsi="Times New Roman" w:eastAsia="宋体" w:cs="Times New Roman"/>
          <w:sz w:val="21"/>
          <w:lang w:eastAsia="zh-CN"/>
        </w:rPr>
        <w:t>“</w:t>
      </w:r>
      <w:r>
        <w:rPr>
          <w:rFonts w:ascii="Times New Roman" w:hAnsi="Calibri" w:eastAsia="宋体" w:cs="Times New Roman"/>
          <w:sz w:val="21"/>
        </w:rPr>
        <w:t>人、机、料、法、环</w:t>
      </w:r>
      <w:r>
        <w:rPr>
          <w:rFonts w:hint="eastAsia" w:ascii="Times New Roman" w:hAnsi="Times New Roman" w:eastAsia="宋体" w:cs="Times New Roman"/>
          <w:sz w:val="21"/>
          <w:lang w:eastAsia="zh-CN"/>
        </w:rPr>
        <w:t>”</w:t>
      </w:r>
      <w:r>
        <w:rPr>
          <w:rFonts w:ascii="Times New Roman" w:hAnsi="Calibri" w:eastAsia="宋体" w:cs="Times New Roman"/>
          <w:sz w:val="21"/>
        </w:rPr>
        <w:t>全要素管控，系统梳理智慧工地的生成逻辑、概念内涵、实施机制、平台架构与应用路径，并将进度、劳务、机械设备、材料供应、质量安全、投资评审、造价合同、政府投资项目及专项工程等核心场景纳入统一分析框架。</w:t>
      </w:r>
    </w:p>
    <w:p w14:paraId="43FDA0CF">
      <w:pPr>
        <w:pStyle w:val="11"/>
        <w:rPr>
          <w:rFonts w:ascii="Times New Roman" w:hAnsi="Calibri" w:eastAsia="宋体" w:cs="Times New Roman"/>
          <w:sz w:val="21"/>
        </w:rPr>
      </w:pPr>
      <w:r>
        <w:rPr>
          <w:rFonts w:ascii="Times New Roman" w:hAnsi="Calibri" w:eastAsia="宋体" w:cs="Times New Roman"/>
          <w:sz w:val="21"/>
        </w:rPr>
        <w:t>全书同时把空间感知、工程测绘、定位监测、三维重构、竣工交付、监管评价、数据合规与持续优化贯通起来，力求回应智慧工地建设中</w:t>
      </w:r>
      <w:r>
        <w:rPr>
          <w:rFonts w:hint="eastAsia" w:ascii="Times New Roman" w:hAnsi="Times New Roman" w:eastAsia="宋体" w:cs="Times New Roman"/>
          <w:sz w:val="21"/>
          <w:lang w:eastAsia="zh-CN"/>
        </w:rPr>
        <w:t>“</w:t>
      </w:r>
      <w:r>
        <w:rPr>
          <w:rFonts w:ascii="Times New Roman" w:hAnsi="Calibri" w:eastAsia="宋体" w:cs="Times New Roman"/>
          <w:sz w:val="21"/>
        </w:rPr>
        <w:t>为什么建、建什么、如何建、怎样用、如何持续改进</w:t>
      </w:r>
      <w:r>
        <w:rPr>
          <w:rFonts w:hint="eastAsia" w:ascii="Times New Roman" w:hAnsi="Times New Roman" w:eastAsia="宋体" w:cs="Times New Roman"/>
          <w:sz w:val="21"/>
          <w:lang w:eastAsia="zh-CN"/>
        </w:rPr>
        <w:t>”</w:t>
      </w:r>
      <w:r>
        <w:rPr>
          <w:rFonts w:ascii="Times New Roman" w:hAnsi="Calibri" w:eastAsia="宋体" w:cs="Times New Roman"/>
          <w:sz w:val="21"/>
        </w:rPr>
        <w:t>等关键问题。写作中注重理论阐释与工程实践结合，既关注技术进入现场后的组织逻辑变化，也强调数字化成果如何真正转化为治理能力。期望本书能够为建筑企业管理人员、工程技术人员、政府监管人员以及高校相关专业教学研究提供较为系统、可操作的参考。</w:t>
      </w:r>
    </w:p>
    <w:p w14:paraId="68F895D0">
      <w:pPr>
        <w:pStyle w:val="11"/>
        <w:rPr>
          <w:rFonts w:ascii="Calibri" w:hAnsi="Calibri" w:eastAsia="宋体" w:cs="Times New Roman"/>
          <w:sz w:val="21"/>
        </w:rPr>
      </w:pPr>
      <w:r>
        <w:rPr>
          <w:rFonts w:ascii="Calibri" w:hAnsi="Calibri" w:eastAsia="宋体" w:cs="Times New Roman"/>
          <w:sz w:val="21"/>
        </w:rPr>
        <w:t>本书由</w:t>
      </w:r>
      <w:r>
        <w:rPr>
          <w:rFonts w:hint="eastAsia" w:ascii="Calibri" w:hAnsi="Calibri" w:eastAsia="宋体" w:cs="Times New Roman"/>
          <w:sz w:val="21"/>
        </w:rPr>
        <w:t>徐光智、孙涛、张英</w:t>
      </w:r>
      <w:r>
        <w:rPr>
          <w:rFonts w:hint="eastAsia" w:ascii="Calibri" w:cs="Times New Roman"/>
          <w:sz w:val="21"/>
          <w:lang w:val="en-US" w:eastAsia="zh-CN"/>
        </w:rPr>
        <w:t>合作完成</w:t>
      </w:r>
      <w:r>
        <w:rPr>
          <w:rFonts w:ascii="Calibri" w:hAnsi="Calibri" w:eastAsia="宋体" w:cs="Times New Roman"/>
          <w:sz w:val="21"/>
        </w:rPr>
        <w:t>，撰写工作具体分工如下：</w:t>
      </w:r>
      <w:r>
        <w:rPr>
          <w:rFonts w:hint="eastAsia" w:ascii="Calibri" w:hAnsi="Calibri" w:eastAsia="宋体" w:cs="Times New Roman"/>
          <w:sz w:val="21"/>
        </w:rPr>
        <w:t>徐光智</w:t>
      </w:r>
      <w:r>
        <w:rPr>
          <w:rFonts w:ascii="Calibri" w:hAnsi="Calibri" w:eastAsia="宋体" w:cs="Times New Roman"/>
          <w:sz w:val="21"/>
        </w:rPr>
        <w:t>撰写</w:t>
      </w:r>
      <w:r>
        <w:rPr>
          <w:rFonts w:hint="eastAsia" w:ascii="Calibri" w:hAnsi="Calibri" w:eastAsia="宋体" w:cs="Times New Roman"/>
          <w:sz w:val="21"/>
        </w:rPr>
        <w:t>第一章至第四章</w:t>
      </w:r>
      <w:r>
        <w:rPr>
          <w:rFonts w:hint="eastAsia" w:ascii="Calibri" w:cs="Times New Roman"/>
          <w:sz w:val="21"/>
          <w:lang w:eastAsia="zh-CN"/>
        </w:rPr>
        <w:t>（</w:t>
      </w:r>
      <w:r>
        <w:rPr>
          <w:rFonts w:hint="eastAsia" w:ascii="Calibri" w:cs="Times New Roman"/>
          <w:sz w:val="21"/>
          <w:lang w:val="en-US" w:eastAsia="zh-CN"/>
        </w:rPr>
        <w:t>合计9万余字</w:t>
      </w:r>
      <w:r>
        <w:rPr>
          <w:rFonts w:hint="eastAsia" w:ascii="Calibri" w:cs="Times New Roman"/>
          <w:sz w:val="21"/>
          <w:lang w:eastAsia="zh-CN"/>
        </w:rPr>
        <w:t>）</w:t>
      </w:r>
      <w:r>
        <w:rPr>
          <w:rFonts w:ascii="Calibri" w:hAnsi="Calibri" w:eastAsia="宋体" w:cs="Times New Roman"/>
          <w:sz w:val="21"/>
        </w:rPr>
        <w:t>；</w:t>
      </w:r>
      <w:r>
        <w:rPr>
          <w:rFonts w:hint="eastAsia" w:ascii="Calibri" w:hAnsi="Calibri" w:eastAsia="宋体" w:cs="Times New Roman"/>
          <w:sz w:val="21"/>
        </w:rPr>
        <w:t>孙涛</w:t>
      </w:r>
      <w:r>
        <w:rPr>
          <w:rFonts w:ascii="Calibri" w:hAnsi="Calibri" w:eastAsia="宋体" w:cs="Times New Roman"/>
          <w:sz w:val="21"/>
        </w:rPr>
        <w:t>撰写第</w:t>
      </w:r>
      <w:r>
        <w:rPr>
          <w:rFonts w:hint="eastAsia" w:ascii="Calibri" w:cs="Times New Roman"/>
          <w:sz w:val="21"/>
          <w:lang w:val="en-US" w:eastAsia="zh-CN"/>
        </w:rPr>
        <w:t>五</w:t>
      </w:r>
      <w:r>
        <w:rPr>
          <w:rFonts w:ascii="Calibri" w:hAnsi="Calibri" w:eastAsia="宋体" w:cs="Times New Roman"/>
          <w:sz w:val="21"/>
        </w:rPr>
        <w:t>章、第</w:t>
      </w:r>
      <w:r>
        <w:rPr>
          <w:rFonts w:hint="eastAsia" w:ascii="Calibri" w:cs="Times New Roman"/>
          <w:sz w:val="21"/>
          <w:lang w:val="en-US" w:eastAsia="zh-CN"/>
        </w:rPr>
        <w:t>六</w:t>
      </w:r>
      <w:r>
        <w:rPr>
          <w:rFonts w:ascii="Calibri" w:hAnsi="Calibri" w:eastAsia="宋体" w:cs="Times New Roman"/>
          <w:sz w:val="21"/>
        </w:rPr>
        <w:t>章</w:t>
      </w:r>
      <w:bookmarkStart w:id="49" w:name="_GoBack"/>
      <w:bookmarkEnd w:id="49"/>
      <w:r>
        <w:rPr>
          <w:rFonts w:ascii="Calibri" w:hAnsi="Calibri" w:eastAsia="宋体" w:cs="Times New Roman"/>
          <w:sz w:val="21"/>
        </w:rPr>
        <w:t>（合计6万余字）；</w:t>
      </w:r>
      <w:r>
        <w:rPr>
          <w:rFonts w:hint="eastAsia" w:ascii="Calibri" w:hAnsi="Calibri" w:eastAsia="宋体" w:cs="Times New Roman"/>
          <w:sz w:val="21"/>
        </w:rPr>
        <w:t>张英</w:t>
      </w:r>
      <w:r>
        <w:rPr>
          <w:rFonts w:ascii="Calibri" w:hAnsi="Calibri" w:eastAsia="宋体" w:cs="Times New Roman"/>
          <w:sz w:val="21"/>
        </w:rPr>
        <w:t>撰写第</w:t>
      </w:r>
      <w:r>
        <w:rPr>
          <w:rFonts w:hint="eastAsia" w:ascii="Calibri" w:cs="Times New Roman"/>
          <w:sz w:val="21"/>
          <w:lang w:val="en-US" w:eastAsia="zh-CN"/>
        </w:rPr>
        <w:t>七</w:t>
      </w:r>
      <w:r>
        <w:rPr>
          <w:rFonts w:ascii="Calibri" w:hAnsi="Calibri" w:eastAsia="宋体" w:cs="Times New Roman"/>
          <w:sz w:val="21"/>
        </w:rPr>
        <w:t>章、第八章（合计</w:t>
      </w:r>
      <w:r>
        <w:rPr>
          <w:rFonts w:hint="eastAsia" w:ascii="Calibri" w:cs="Times New Roman"/>
          <w:sz w:val="21"/>
          <w:lang w:val="en-US" w:eastAsia="zh-CN"/>
        </w:rPr>
        <w:t>5</w:t>
      </w:r>
      <w:r>
        <w:rPr>
          <w:rFonts w:ascii="Calibri" w:hAnsi="Calibri" w:eastAsia="宋体" w:cs="Times New Roman"/>
          <w:sz w:val="21"/>
        </w:rPr>
        <w:t>万余字）。</w:t>
      </w:r>
    </w:p>
    <w:p w14:paraId="674FB438">
      <w:pPr>
        <w:pStyle w:val="11"/>
        <w:rPr>
          <w:rFonts w:hint="eastAsia" w:ascii="Calibri" w:hAnsi="Calibri" w:eastAsia="宋体" w:cs="Times New Roman"/>
          <w:sz w:val="21"/>
          <w:lang w:eastAsia="zh-CN"/>
        </w:rPr>
        <w:sectPr>
          <w:pgSz w:w="10431" w:h="14740"/>
          <w:pgMar w:top="1440" w:right="1800" w:bottom="1440" w:left="1800" w:header="851" w:footer="992" w:gutter="0"/>
          <w:pgNumType w:fmt="upperRoman"/>
          <w:cols w:space="425" w:num="1"/>
          <w:docGrid w:type="lines" w:linePitch="312" w:charSpace="0"/>
        </w:sectPr>
      </w:pPr>
      <w:r>
        <w:rPr>
          <w:rFonts w:hint="eastAsia" w:ascii="Calibri" w:hAnsi="Calibri" w:eastAsia="宋体" w:cs="Times New Roman"/>
          <w:sz w:val="21"/>
          <w:lang w:eastAsia="zh-CN"/>
        </w:rPr>
        <w:t>在本书的撰写过程中，作者不仅参阅、引用了很多相关文献资料，而且得到了同事亲朋的鼎力相助，在此一并表示衷心的感谢。书中难免存在错误及疏漏，对此表示深深的歉意，并恳请同行专家以及广大读者批评指正。</w:t>
      </w:r>
    </w:p>
    <w:p w14:paraId="07829CC2">
      <w:pPr>
        <w:rPr>
          <w:rFonts w:hint="eastAsia"/>
          <w:lang w:val="en-US" w:eastAsia="zh-CN"/>
        </w:rPr>
        <w:sectPr>
          <w:pgSz w:w="10431" w:h="14740"/>
          <w:pgMar w:top="1440" w:right="1800" w:bottom="1440" w:left="1800" w:header="851" w:footer="992" w:gutter="0"/>
          <w:pgNumType w:fmt="upperRoman"/>
          <w:cols w:space="425" w:num="1"/>
          <w:docGrid w:type="lines" w:linePitch="312" w:charSpace="0"/>
        </w:sectPr>
      </w:pPr>
    </w:p>
    <w:sdt>
      <w:sdtPr>
        <w:rPr>
          <w:rFonts w:ascii="宋体" w:hAnsi="宋体" w:eastAsia="宋体" w:cstheme="minorBidi"/>
          <w:kern w:val="2"/>
          <w:sz w:val="21"/>
          <w:szCs w:val="24"/>
          <w:lang w:val="en-US" w:eastAsia="zh-CN" w:bidi="ar-SA"/>
        </w:rPr>
        <w:id w:val="147469833"/>
        <w15:color w:val="DBDBDB"/>
        <w:docPartObj>
          <w:docPartGallery w:val="Table of Contents"/>
          <w:docPartUnique/>
        </w:docPartObj>
      </w:sdtPr>
      <w:sdtEndPr>
        <w:rPr>
          <w:rFonts w:hint="eastAsia" w:ascii="Arial" w:hAnsi="Arial" w:eastAsia="黑体" w:cstheme="minorBidi"/>
          <w:kern w:val="2"/>
          <w:sz w:val="21"/>
          <w:szCs w:val="24"/>
          <w:lang w:val="en-US" w:eastAsia="zh-CN" w:bidi="ar-SA"/>
        </w:rPr>
      </w:sdtEndPr>
      <w:sdtContent>
        <w:p w14:paraId="0E92C0DB">
          <w:pPr>
            <w:keepNext w:val="0"/>
            <w:keepLines w:val="0"/>
            <w:pageBreakBefore w:val="0"/>
            <w:widowControl w:val="0"/>
            <w:kinsoku/>
            <w:wordWrap/>
            <w:overflowPunct/>
            <w:topLinePunct w:val="0"/>
            <w:autoSpaceDE/>
            <w:autoSpaceDN/>
            <w:bidi w:val="0"/>
            <w:adjustRightInd/>
            <w:snapToGrid/>
            <w:spacing w:before="1717" w:beforeLines="550" w:after="1717" w:afterLines="550" w:line="240" w:lineRule="auto"/>
            <w:ind w:left="0" w:leftChars="0" w:right="0" w:rightChars="0" w:firstLine="0" w:firstLineChars="0"/>
            <w:jc w:val="center"/>
            <w:textAlignment w:val="auto"/>
          </w:pPr>
          <w:r>
            <w:rPr>
              <w:rFonts w:ascii="宋体" w:hAnsi="宋体" w:eastAsia="黑体" w:cs="宋体"/>
              <w:b/>
              <w:bCs/>
              <w:kern w:val="44"/>
              <w:sz w:val="40"/>
              <w:szCs w:val="30"/>
            </w:rPr>
            <w:t>目录</w:t>
          </w:r>
        </w:p>
        <w:p w14:paraId="0E2F8E4B">
          <w:pPr>
            <w:pStyle w:val="14"/>
            <w:tabs>
              <w:tab w:val="right" w:leader="dot" w:pos="6831"/>
            </w:tabs>
          </w:pPr>
          <w:r>
            <w:rPr>
              <w:rFonts w:hint="eastAsia"/>
              <w:lang w:val="en-US" w:eastAsia="zh-CN"/>
            </w:rPr>
            <w:fldChar w:fldCharType="begin"/>
          </w:r>
          <w:r>
            <w:rPr>
              <w:rFonts w:hint="eastAsia"/>
              <w:lang w:val="en-US" w:eastAsia="zh-CN"/>
            </w:rPr>
            <w:instrText xml:space="preserve">TOC \o "1-2"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_Toc6325 </w:instrText>
          </w:r>
          <w:r>
            <w:rPr>
              <w:rFonts w:hint="eastAsia"/>
              <w:lang w:val="en-US" w:eastAsia="zh-CN"/>
            </w:rPr>
            <w:fldChar w:fldCharType="separate"/>
          </w:r>
          <w:r>
            <w:t>内容简介</w:t>
          </w:r>
          <w:r>
            <w:tab/>
          </w:r>
          <w:r>
            <w:fldChar w:fldCharType="begin"/>
          </w:r>
          <w:r>
            <w:instrText xml:space="preserve"> PAGEREF _Toc6325 \h </w:instrText>
          </w:r>
          <w:r>
            <w:fldChar w:fldCharType="separate"/>
          </w:r>
          <w:r>
            <w:t>I</w:t>
          </w:r>
          <w:r>
            <w:fldChar w:fldCharType="end"/>
          </w:r>
          <w:r>
            <w:rPr>
              <w:rFonts w:hint="eastAsia"/>
              <w:lang w:val="en-US" w:eastAsia="zh-CN"/>
            </w:rPr>
            <w:fldChar w:fldCharType="end"/>
          </w:r>
        </w:p>
        <w:p w14:paraId="75442546">
          <w:pPr>
            <w:pStyle w:val="14"/>
            <w:tabs>
              <w:tab w:val="right" w:leader="dot" w:pos="6831"/>
            </w:tabs>
          </w:pPr>
          <w:r>
            <w:rPr>
              <w:rFonts w:hint="eastAsia"/>
              <w:lang w:val="en-US" w:eastAsia="zh-CN"/>
            </w:rPr>
            <w:fldChar w:fldCharType="begin"/>
          </w:r>
          <w:r>
            <w:rPr>
              <w:rFonts w:hint="eastAsia"/>
              <w:lang w:val="en-US" w:eastAsia="zh-CN"/>
            </w:rPr>
            <w:instrText xml:space="preserve"> HYPERLINK \l _Toc19388 </w:instrText>
          </w:r>
          <w:r>
            <w:rPr>
              <w:rFonts w:hint="eastAsia"/>
              <w:lang w:val="en-US" w:eastAsia="zh-CN"/>
            </w:rPr>
            <w:fldChar w:fldCharType="separate"/>
          </w:r>
          <w:r>
            <w:t>前言</w:t>
          </w:r>
          <w:r>
            <w:tab/>
          </w:r>
          <w:r>
            <w:fldChar w:fldCharType="begin"/>
          </w:r>
          <w:r>
            <w:instrText xml:space="preserve"> PAGEREF _Toc19388 \h </w:instrText>
          </w:r>
          <w:r>
            <w:fldChar w:fldCharType="separate"/>
          </w:r>
          <w:r>
            <w:t>III</w:t>
          </w:r>
          <w:r>
            <w:fldChar w:fldCharType="end"/>
          </w:r>
          <w:r>
            <w:rPr>
              <w:rFonts w:hint="eastAsia"/>
              <w:lang w:val="en-US" w:eastAsia="zh-CN"/>
            </w:rPr>
            <w:fldChar w:fldCharType="end"/>
          </w:r>
        </w:p>
        <w:p w14:paraId="242F2BD6">
          <w:pPr>
            <w:pStyle w:val="14"/>
            <w:tabs>
              <w:tab w:val="right" w:leader="dot" w:pos="6831"/>
            </w:tabs>
          </w:pPr>
          <w:r>
            <w:rPr>
              <w:rFonts w:hint="eastAsia"/>
              <w:lang w:val="en-US" w:eastAsia="zh-CN"/>
            </w:rPr>
            <w:fldChar w:fldCharType="begin"/>
          </w:r>
          <w:r>
            <w:rPr>
              <w:rFonts w:hint="eastAsia"/>
              <w:lang w:val="en-US" w:eastAsia="zh-CN"/>
            </w:rPr>
            <w:instrText xml:space="preserve"> HYPERLINK \l _Toc15741 </w:instrText>
          </w:r>
          <w:r>
            <w:rPr>
              <w:rFonts w:hint="eastAsia"/>
              <w:lang w:val="en-US" w:eastAsia="zh-CN"/>
            </w:rPr>
            <w:fldChar w:fldCharType="separate"/>
          </w:r>
          <w:r>
            <w:rPr>
              <w:rFonts w:hint="eastAsia" w:ascii="宋体" w:hAnsi="宋体" w:eastAsia="黑体" w:cs="宋体"/>
              <w:bCs/>
              <w:kern w:val="44"/>
              <w:szCs w:val="30"/>
            </w:rPr>
            <w:t>第一章</w:t>
          </w:r>
          <w:r>
            <w:rPr>
              <w:rFonts w:hint="eastAsia" w:cs="宋体"/>
              <w:bCs/>
              <w:kern w:val="44"/>
              <w:szCs w:val="30"/>
              <w:lang w:val="en-US" w:eastAsia="zh-CN"/>
            </w:rPr>
            <w:t xml:space="preserve"> </w:t>
          </w:r>
          <w:r>
            <w:t>智慧工地的生成逻辑与价值定位</w:t>
          </w:r>
          <w:r>
            <w:tab/>
          </w:r>
          <w:r>
            <w:fldChar w:fldCharType="begin"/>
          </w:r>
          <w:r>
            <w:instrText xml:space="preserve"> PAGEREF _Toc15741 \h </w:instrText>
          </w:r>
          <w:r>
            <w:fldChar w:fldCharType="separate"/>
          </w:r>
          <w:r>
            <w:t>1</w:t>
          </w:r>
          <w:r>
            <w:fldChar w:fldCharType="end"/>
          </w:r>
          <w:r>
            <w:rPr>
              <w:rFonts w:hint="eastAsia"/>
              <w:lang w:val="en-US" w:eastAsia="zh-CN"/>
            </w:rPr>
            <w:fldChar w:fldCharType="end"/>
          </w:r>
        </w:p>
        <w:p w14:paraId="4F2435E0">
          <w:pPr>
            <w:pStyle w:val="16"/>
            <w:tabs>
              <w:tab w:val="right" w:leader="dot" w:pos="6831"/>
            </w:tabs>
          </w:pPr>
          <w:r>
            <w:rPr>
              <w:rFonts w:hint="eastAsia"/>
              <w:lang w:val="en-US" w:eastAsia="zh-CN"/>
            </w:rPr>
            <w:fldChar w:fldCharType="begin"/>
          </w:r>
          <w:r>
            <w:rPr>
              <w:rFonts w:hint="eastAsia"/>
              <w:lang w:val="en-US" w:eastAsia="zh-CN"/>
            </w:rPr>
            <w:instrText xml:space="preserve"> HYPERLINK \l _Toc9449 </w:instrText>
          </w:r>
          <w:r>
            <w:rPr>
              <w:rFonts w:hint="eastAsia"/>
              <w:lang w:val="en-US" w:eastAsia="zh-CN"/>
            </w:rPr>
            <w:fldChar w:fldCharType="separate"/>
          </w:r>
          <w:r>
            <w:rPr>
              <w:rFonts w:hint="eastAsia" w:ascii="宋体" w:hAnsi="宋体" w:eastAsia="宋体" w:cs="宋体"/>
              <w:bCs/>
              <w:kern w:val="44"/>
              <w:szCs w:val="30"/>
            </w:rPr>
            <w:t>第一节</w:t>
          </w:r>
          <w:r>
            <w:rPr>
              <w:rFonts w:hint="eastAsia" w:cs="宋体"/>
              <w:bCs/>
              <w:kern w:val="44"/>
              <w:szCs w:val="30"/>
              <w:lang w:val="en-US" w:eastAsia="zh-CN"/>
            </w:rPr>
            <w:t xml:space="preserve"> </w:t>
          </w:r>
          <w:r>
            <w:t>建筑业数字化转型的现实背景</w:t>
          </w:r>
          <w:r>
            <w:tab/>
          </w:r>
          <w:r>
            <w:fldChar w:fldCharType="begin"/>
          </w:r>
          <w:r>
            <w:instrText xml:space="preserve"> PAGEREF _Toc9449 \h </w:instrText>
          </w:r>
          <w:r>
            <w:fldChar w:fldCharType="separate"/>
          </w:r>
          <w:r>
            <w:t>1</w:t>
          </w:r>
          <w:r>
            <w:fldChar w:fldCharType="end"/>
          </w:r>
          <w:r>
            <w:rPr>
              <w:rFonts w:hint="eastAsia"/>
              <w:lang w:val="en-US" w:eastAsia="zh-CN"/>
            </w:rPr>
            <w:fldChar w:fldCharType="end"/>
          </w:r>
        </w:p>
        <w:p w14:paraId="296EB41B">
          <w:pPr>
            <w:pStyle w:val="16"/>
            <w:tabs>
              <w:tab w:val="right" w:leader="dot" w:pos="6831"/>
            </w:tabs>
          </w:pPr>
          <w:r>
            <w:rPr>
              <w:rFonts w:hint="eastAsia"/>
              <w:lang w:val="en-US" w:eastAsia="zh-CN"/>
            </w:rPr>
            <w:fldChar w:fldCharType="begin"/>
          </w:r>
          <w:r>
            <w:rPr>
              <w:rFonts w:hint="eastAsia"/>
              <w:lang w:val="en-US" w:eastAsia="zh-CN"/>
            </w:rPr>
            <w:instrText xml:space="preserve"> HYPERLINK \l _Toc24840 </w:instrText>
          </w:r>
          <w:r>
            <w:rPr>
              <w:rFonts w:hint="eastAsia"/>
              <w:lang w:val="en-US" w:eastAsia="zh-CN"/>
            </w:rPr>
            <w:fldChar w:fldCharType="separate"/>
          </w:r>
          <w:r>
            <w:rPr>
              <w:rFonts w:hint="eastAsia" w:ascii="宋体" w:hAnsi="宋体" w:eastAsia="宋体" w:cs="宋体"/>
              <w:bCs/>
              <w:kern w:val="44"/>
              <w:szCs w:val="30"/>
            </w:rPr>
            <w:t>第二节</w:t>
          </w:r>
          <w:r>
            <w:rPr>
              <w:rFonts w:hint="eastAsia" w:cs="宋体"/>
              <w:bCs/>
              <w:kern w:val="44"/>
              <w:szCs w:val="30"/>
              <w:lang w:val="en-US" w:eastAsia="zh-CN"/>
            </w:rPr>
            <w:t xml:space="preserve"> </w:t>
          </w:r>
          <w:r>
            <w:t>智慧工地的概念内涵</w:t>
          </w:r>
          <w:r>
            <w:tab/>
          </w:r>
          <w:r>
            <w:fldChar w:fldCharType="begin"/>
          </w:r>
          <w:r>
            <w:instrText xml:space="preserve"> PAGEREF _Toc24840 \h </w:instrText>
          </w:r>
          <w:r>
            <w:fldChar w:fldCharType="separate"/>
          </w:r>
          <w:r>
            <w:t>4</w:t>
          </w:r>
          <w:r>
            <w:fldChar w:fldCharType="end"/>
          </w:r>
          <w:r>
            <w:rPr>
              <w:rFonts w:hint="eastAsia"/>
              <w:lang w:val="en-US" w:eastAsia="zh-CN"/>
            </w:rPr>
            <w:fldChar w:fldCharType="end"/>
          </w:r>
        </w:p>
        <w:p w14:paraId="7A48C385">
          <w:pPr>
            <w:pStyle w:val="16"/>
            <w:tabs>
              <w:tab w:val="right" w:leader="dot" w:pos="6831"/>
            </w:tabs>
          </w:pPr>
          <w:r>
            <w:rPr>
              <w:rFonts w:hint="eastAsia"/>
              <w:lang w:val="en-US" w:eastAsia="zh-CN"/>
            </w:rPr>
            <w:fldChar w:fldCharType="begin"/>
          </w:r>
          <w:r>
            <w:rPr>
              <w:rFonts w:hint="eastAsia"/>
              <w:lang w:val="en-US" w:eastAsia="zh-CN"/>
            </w:rPr>
            <w:instrText xml:space="preserve"> HYPERLINK \l _Toc7220 </w:instrText>
          </w:r>
          <w:r>
            <w:rPr>
              <w:rFonts w:hint="eastAsia"/>
              <w:lang w:val="en-US" w:eastAsia="zh-CN"/>
            </w:rPr>
            <w:fldChar w:fldCharType="separate"/>
          </w:r>
          <w:r>
            <w:rPr>
              <w:rFonts w:hint="eastAsia" w:ascii="宋体" w:hAnsi="宋体" w:eastAsia="宋体" w:cs="宋体"/>
              <w:bCs/>
              <w:kern w:val="44"/>
              <w:szCs w:val="30"/>
            </w:rPr>
            <w:t>第三节</w:t>
          </w:r>
          <w:r>
            <w:rPr>
              <w:rFonts w:hint="eastAsia" w:cs="宋体"/>
              <w:bCs/>
              <w:kern w:val="44"/>
              <w:szCs w:val="30"/>
              <w:lang w:val="en-US" w:eastAsia="zh-CN"/>
            </w:rPr>
            <w:t xml:space="preserve"> </w:t>
          </w:r>
          <w:r>
            <w:t>工程现场数字化管理的理论支撑</w:t>
          </w:r>
          <w:r>
            <w:tab/>
          </w:r>
          <w:r>
            <w:fldChar w:fldCharType="begin"/>
          </w:r>
          <w:r>
            <w:instrText xml:space="preserve"> PAGEREF _Toc7220 \h </w:instrText>
          </w:r>
          <w:r>
            <w:fldChar w:fldCharType="separate"/>
          </w:r>
          <w:r>
            <w:t>8</w:t>
          </w:r>
          <w:r>
            <w:fldChar w:fldCharType="end"/>
          </w:r>
          <w:r>
            <w:rPr>
              <w:rFonts w:hint="eastAsia"/>
              <w:lang w:val="en-US" w:eastAsia="zh-CN"/>
            </w:rPr>
            <w:fldChar w:fldCharType="end"/>
          </w:r>
        </w:p>
        <w:p w14:paraId="4AFC353F">
          <w:pPr>
            <w:pStyle w:val="16"/>
            <w:tabs>
              <w:tab w:val="right" w:leader="dot" w:pos="6831"/>
            </w:tabs>
          </w:pPr>
          <w:r>
            <w:rPr>
              <w:rFonts w:hint="eastAsia"/>
              <w:lang w:val="en-US" w:eastAsia="zh-CN"/>
            </w:rPr>
            <w:fldChar w:fldCharType="begin"/>
          </w:r>
          <w:r>
            <w:rPr>
              <w:rFonts w:hint="eastAsia"/>
              <w:lang w:val="en-US" w:eastAsia="zh-CN"/>
            </w:rPr>
            <w:instrText xml:space="preserve"> HYPERLINK \l _Toc2050 </w:instrText>
          </w:r>
          <w:r>
            <w:rPr>
              <w:rFonts w:hint="eastAsia"/>
              <w:lang w:val="en-US" w:eastAsia="zh-CN"/>
            </w:rPr>
            <w:fldChar w:fldCharType="separate"/>
          </w:r>
          <w:r>
            <w:rPr>
              <w:rFonts w:hint="eastAsia" w:ascii="宋体" w:hAnsi="宋体" w:eastAsia="宋体" w:cs="宋体"/>
              <w:bCs/>
              <w:kern w:val="44"/>
              <w:szCs w:val="30"/>
            </w:rPr>
            <w:t>第四节</w:t>
          </w:r>
          <w:r>
            <w:rPr>
              <w:rFonts w:hint="eastAsia" w:cs="宋体"/>
              <w:bCs/>
              <w:kern w:val="44"/>
              <w:szCs w:val="30"/>
              <w:lang w:val="en-US" w:eastAsia="zh-CN"/>
            </w:rPr>
            <w:t xml:space="preserve"> </w:t>
          </w:r>
          <w:r>
            <w:t>智慧工地的发展阶段与演进趋势</w:t>
          </w:r>
          <w:r>
            <w:tab/>
          </w:r>
          <w:r>
            <w:fldChar w:fldCharType="begin"/>
          </w:r>
          <w:r>
            <w:instrText xml:space="preserve"> PAGEREF _Toc2050 \h </w:instrText>
          </w:r>
          <w:r>
            <w:fldChar w:fldCharType="separate"/>
          </w:r>
          <w:r>
            <w:t>11</w:t>
          </w:r>
          <w:r>
            <w:fldChar w:fldCharType="end"/>
          </w:r>
          <w:r>
            <w:rPr>
              <w:rFonts w:hint="eastAsia"/>
              <w:lang w:val="en-US" w:eastAsia="zh-CN"/>
            </w:rPr>
            <w:fldChar w:fldCharType="end"/>
          </w:r>
        </w:p>
        <w:p w14:paraId="5C00400E">
          <w:pPr>
            <w:pStyle w:val="14"/>
            <w:tabs>
              <w:tab w:val="right" w:leader="dot" w:pos="6831"/>
            </w:tabs>
          </w:pPr>
          <w:r>
            <w:rPr>
              <w:rFonts w:hint="eastAsia"/>
              <w:lang w:val="en-US" w:eastAsia="zh-CN"/>
            </w:rPr>
            <w:fldChar w:fldCharType="begin"/>
          </w:r>
          <w:r>
            <w:rPr>
              <w:rFonts w:hint="eastAsia"/>
              <w:lang w:val="en-US" w:eastAsia="zh-CN"/>
            </w:rPr>
            <w:instrText xml:space="preserve"> HYPERLINK \l _Toc26836 </w:instrText>
          </w:r>
          <w:r>
            <w:rPr>
              <w:rFonts w:hint="eastAsia"/>
              <w:lang w:val="en-US" w:eastAsia="zh-CN"/>
            </w:rPr>
            <w:fldChar w:fldCharType="separate"/>
          </w:r>
          <w:r>
            <w:rPr>
              <w:rFonts w:hint="eastAsia" w:ascii="宋体" w:hAnsi="宋体" w:eastAsia="黑体" w:cs="宋体"/>
              <w:bCs/>
              <w:kern w:val="44"/>
              <w:szCs w:val="30"/>
            </w:rPr>
            <w:t>第二章</w:t>
          </w:r>
          <w:r>
            <w:rPr>
              <w:rFonts w:hint="eastAsia" w:cs="宋体"/>
              <w:bCs/>
              <w:kern w:val="44"/>
              <w:szCs w:val="30"/>
              <w:lang w:val="en-US" w:eastAsia="zh-CN"/>
            </w:rPr>
            <w:t xml:space="preserve"> </w:t>
          </w:r>
          <w:r>
            <w:t>智慧工地建设目标与实施机制</w:t>
          </w:r>
          <w:r>
            <w:tab/>
          </w:r>
          <w:r>
            <w:fldChar w:fldCharType="begin"/>
          </w:r>
          <w:r>
            <w:instrText xml:space="preserve"> PAGEREF _Toc26836 \h </w:instrText>
          </w:r>
          <w:r>
            <w:fldChar w:fldCharType="separate"/>
          </w:r>
          <w:r>
            <w:t>17</w:t>
          </w:r>
          <w:r>
            <w:fldChar w:fldCharType="end"/>
          </w:r>
          <w:r>
            <w:rPr>
              <w:rFonts w:hint="eastAsia"/>
              <w:lang w:val="en-US" w:eastAsia="zh-CN"/>
            </w:rPr>
            <w:fldChar w:fldCharType="end"/>
          </w:r>
        </w:p>
        <w:p w14:paraId="571AFFC7">
          <w:pPr>
            <w:pStyle w:val="16"/>
            <w:tabs>
              <w:tab w:val="right" w:leader="dot" w:pos="6831"/>
            </w:tabs>
          </w:pPr>
          <w:r>
            <w:rPr>
              <w:rFonts w:hint="eastAsia"/>
              <w:lang w:val="en-US" w:eastAsia="zh-CN"/>
            </w:rPr>
            <w:fldChar w:fldCharType="begin"/>
          </w:r>
          <w:r>
            <w:rPr>
              <w:rFonts w:hint="eastAsia"/>
              <w:lang w:val="en-US" w:eastAsia="zh-CN"/>
            </w:rPr>
            <w:instrText xml:space="preserve"> HYPERLINK \l _Toc9500 </w:instrText>
          </w:r>
          <w:r>
            <w:rPr>
              <w:rFonts w:hint="eastAsia"/>
              <w:lang w:val="en-US" w:eastAsia="zh-CN"/>
            </w:rPr>
            <w:fldChar w:fldCharType="separate"/>
          </w:r>
          <w:r>
            <w:rPr>
              <w:rFonts w:hint="eastAsia" w:ascii="宋体" w:hAnsi="宋体" w:eastAsia="宋体" w:cs="宋体"/>
              <w:bCs/>
              <w:kern w:val="44"/>
              <w:szCs w:val="30"/>
            </w:rPr>
            <w:t>第一节</w:t>
          </w:r>
          <w:r>
            <w:rPr>
              <w:rFonts w:hint="eastAsia" w:cs="宋体"/>
              <w:bCs/>
              <w:kern w:val="44"/>
              <w:szCs w:val="30"/>
              <w:lang w:val="en-US" w:eastAsia="zh-CN"/>
            </w:rPr>
            <w:t xml:space="preserve"> </w:t>
          </w:r>
          <w:r>
            <w:t>智慧工地建设的目标体系</w:t>
          </w:r>
          <w:r>
            <w:tab/>
          </w:r>
          <w:r>
            <w:fldChar w:fldCharType="begin"/>
          </w:r>
          <w:r>
            <w:instrText xml:space="preserve"> PAGEREF _Toc9500 \h </w:instrText>
          </w:r>
          <w:r>
            <w:fldChar w:fldCharType="separate"/>
          </w:r>
          <w:r>
            <w:t>17</w:t>
          </w:r>
          <w:r>
            <w:fldChar w:fldCharType="end"/>
          </w:r>
          <w:r>
            <w:rPr>
              <w:rFonts w:hint="eastAsia"/>
              <w:lang w:val="en-US" w:eastAsia="zh-CN"/>
            </w:rPr>
            <w:fldChar w:fldCharType="end"/>
          </w:r>
        </w:p>
        <w:p w14:paraId="1D850E51">
          <w:pPr>
            <w:pStyle w:val="16"/>
            <w:tabs>
              <w:tab w:val="right" w:leader="dot" w:pos="6831"/>
            </w:tabs>
          </w:pPr>
          <w:r>
            <w:rPr>
              <w:rFonts w:hint="eastAsia"/>
              <w:lang w:val="en-US" w:eastAsia="zh-CN"/>
            </w:rPr>
            <w:fldChar w:fldCharType="begin"/>
          </w:r>
          <w:r>
            <w:rPr>
              <w:rFonts w:hint="eastAsia"/>
              <w:lang w:val="en-US" w:eastAsia="zh-CN"/>
            </w:rPr>
            <w:instrText xml:space="preserve"> HYPERLINK \l _Toc12737 </w:instrText>
          </w:r>
          <w:r>
            <w:rPr>
              <w:rFonts w:hint="eastAsia"/>
              <w:lang w:val="en-US" w:eastAsia="zh-CN"/>
            </w:rPr>
            <w:fldChar w:fldCharType="separate"/>
          </w:r>
          <w:r>
            <w:rPr>
              <w:rFonts w:hint="eastAsia" w:ascii="宋体" w:hAnsi="宋体" w:eastAsia="宋体" w:cs="宋体"/>
              <w:bCs/>
              <w:kern w:val="44"/>
              <w:szCs w:val="30"/>
            </w:rPr>
            <w:t>第二节</w:t>
          </w:r>
          <w:r>
            <w:rPr>
              <w:rFonts w:hint="eastAsia" w:cs="宋体"/>
              <w:bCs/>
              <w:kern w:val="44"/>
              <w:szCs w:val="30"/>
              <w:lang w:val="en-US" w:eastAsia="zh-CN"/>
            </w:rPr>
            <w:t xml:space="preserve"> </w:t>
          </w:r>
          <w:r>
            <w:t>建设原则与场景识别</w:t>
          </w:r>
          <w:r>
            <w:tab/>
          </w:r>
          <w:r>
            <w:fldChar w:fldCharType="begin"/>
          </w:r>
          <w:r>
            <w:instrText xml:space="preserve"> PAGEREF _Toc12737 \h </w:instrText>
          </w:r>
          <w:r>
            <w:fldChar w:fldCharType="separate"/>
          </w:r>
          <w:r>
            <w:t>22</w:t>
          </w:r>
          <w:r>
            <w:fldChar w:fldCharType="end"/>
          </w:r>
          <w:r>
            <w:rPr>
              <w:rFonts w:hint="eastAsia"/>
              <w:lang w:val="en-US" w:eastAsia="zh-CN"/>
            </w:rPr>
            <w:fldChar w:fldCharType="end"/>
          </w:r>
        </w:p>
        <w:p w14:paraId="4C766AF1">
          <w:pPr>
            <w:pStyle w:val="16"/>
            <w:tabs>
              <w:tab w:val="right" w:leader="dot" w:pos="6831"/>
            </w:tabs>
          </w:pPr>
          <w:r>
            <w:rPr>
              <w:rFonts w:hint="eastAsia"/>
              <w:lang w:val="en-US" w:eastAsia="zh-CN"/>
            </w:rPr>
            <w:fldChar w:fldCharType="begin"/>
          </w:r>
          <w:r>
            <w:rPr>
              <w:rFonts w:hint="eastAsia"/>
              <w:lang w:val="en-US" w:eastAsia="zh-CN"/>
            </w:rPr>
            <w:instrText xml:space="preserve"> HYPERLINK \l _Toc28234 </w:instrText>
          </w:r>
          <w:r>
            <w:rPr>
              <w:rFonts w:hint="eastAsia"/>
              <w:lang w:val="en-US" w:eastAsia="zh-CN"/>
            </w:rPr>
            <w:fldChar w:fldCharType="separate"/>
          </w:r>
          <w:r>
            <w:rPr>
              <w:rFonts w:hint="eastAsia" w:ascii="宋体" w:hAnsi="宋体" w:eastAsia="宋体" w:cs="宋体"/>
              <w:bCs/>
              <w:kern w:val="44"/>
              <w:szCs w:val="30"/>
            </w:rPr>
            <w:t>第三节</w:t>
          </w:r>
          <w:r>
            <w:rPr>
              <w:rFonts w:hint="eastAsia" w:cs="宋体"/>
              <w:bCs/>
              <w:kern w:val="44"/>
              <w:szCs w:val="30"/>
              <w:lang w:val="en-US" w:eastAsia="zh-CN"/>
            </w:rPr>
            <w:t xml:space="preserve"> </w:t>
          </w:r>
          <w:r>
            <w:t>组织体系与协同机制</w:t>
          </w:r>
          <w:r>
            <w:tab/>
          </w:r>
          <w:r>
            <w:fldChar w:fldCharType="begin"/>
          </w:r>
          <w:r>
            <w:instrText xml:space="preserve"> PAGEREF _Toc28234 \h </w:instrText>
          </w:r>
          <w:r>
            <w:fldChar w:fldCharType="separate"/>
          </w:r>
          <w:r>
            <w:t>24</w:t>
          </w:r>
          <w:r>
            <w:fldChar w:fldCharType="end"/>
          </w:r>
          <w:r>
            <w:rPr>
              <w:rFonts w:hint="eastAsia"/>
              <w:lang w:val="en-US" w:eastAsia="zh-CN"/>
            </w:rPr>
            <w:fldChar w:fldCharType="end"/>
          </w:r>
        </w:p>
        <w:p w14:paraId="4A42DE86">
          <w:pPr>
            <w:pStyle w:val="16"/>
            <w:tabs>
              <w:tab w:val="right" w:leader="dot" w:pos="6831"/>
            </w:tabs>
          </w:pPr>
          <w:r>
            <w:rPr>
              <w:rFonts w:hint="eastAsia"/>
              <w:lang w:val="en-US" w:eastAsia="zh-CN"/>
            </w:rPr>
            <w:fldChar w:fldCharType="begin"/>
          </w:r>
          <w:r>
            <w:rPr>
              <w:rFonts w:hint="eastAsia"/>
              <w:lang w:val="en-US" w:eastAsia="zh-CN"/>
            </w:rPr>
            <w:instrText xml:space="preserve"> HYPERLINK \l _Toc23668 </w:instrText>
          </w:r>
          <w:r>
            <w:rPr>
              <w:rFonts w:hint="eastAsia"/>
              <w:lang w:val="en-US" w:eastAsia="zh-CN"/>
            </w:rPr>
            <w:fldChar w:fldCharType="separate"/>
          </w:r>
          <w:r>
            <w:rPr>
              <w:rFonts w:hint="eastAsia" w:ascii="宋体" w:hAnsi="宋体" w:eastAsia="宋体" w:cs="宋体"/>
              <w:bCs/>
              <w:kern w:val="44"/>
              <w:szCs w:val="30"/>
            </w:rPr>
            <w:t>第四节</w:t>
          </w:r>
          <w:r>
            <w:rPr>
              <w:rFonts w:hint="eastAsia" w:cs="宋体"/>
              <w:bCs/>
              <w:kern w:val="44"/>
              <w:szCs w:val="30"/>
              <w:lang w:val="en-US" w:eastAsia="zh-CN"/>
            </w:rPr>
            <w:t xml:space="preserve"> </w:t>
          </w:r>
          <w:r>
            <w:t>标准规则与制度安排</w:t>
          </w:r>
          <w:r>
            <w:tab/>
          </w:r>
          <w:r>
            <w:fldChar w:fldCharType="begin"/>
          </w:r>
          <w:r>
            <w:instrText xml:space="preserve"> PAGEREF _Toc23668 \h </w:instrText>
          </w:r>
          <w:r>
            <w:fldChar w:fldCharType="separate"/>
          </w:r>
          <w:r>
            <w:t>27</w:t>
          </w:r>
          <w:r>
            <w:fldChar w:fldCharType="end"/>
          </w:r>
          <w:r>
            <w:rPr>
              <w:rFonts w:hint="eastAsia"/>
              <w:lang w:val="en-US" w:eastAsia="zh-CN"/>
            </w:rPr>
            <w:fldChar w:fldCharType="end"/>
          </w:r>
        </w:p>
        <w:p w14:paraId="70F532DD">
          <w:pPr>
            <w:pStyle w:val="16"/>
            <w:tabs>
              <w:tab w:val="right" w:leader="dot" w:pos="6831"/>
            </w:tabs>
          </w:pPr>
          <w:r>
            <w:rPr>
              <w:rFonts w:hint="eastAsia"/>
              <w:lang w:val="en-US" w:eastAsia="zh-CN"/>
            </w:rPr>
            <w:fldChar w:fldCharType="begin"/>
          </w:r>
          <w:r>
            <w:rPr>
              <w:rFonts w:hint="eastAsia"/>
              <w:lang w:val="en-US" w:eastAsia="zh-CN"/>
            </w:rPr>
            <w:instrText xml:space="preserve"> HYPERLINK \l _Toc1304 </w:instrText>
          </w:r>
          <w:r>
            <w:rPr>
              <w:rFonts w:hint="eastAsia"/>
              <w:lang w:val="en-US" w:eastAsia="zh-CN"/>
            </w:rPr>
            <w:fldChar w:fldCharType="separate"/>
          </w:r>
          <w:r>
            <w:rPr>
              <w:rFonts w:hint="eastAsia" w:ascii="宋体" w:hAnsi="宋体" w:eastAsia="宋体" w:cs="宋体"/>
              <w:bCs/>
              <w:kern w:val="44"/>
              <w:szCs w:val="30"/>
            </w:rPr>
            <w:t>第五节</w:t>
          </w:r>
          <w:r>
            <w:rPr>
              <w:rFonts w:hint="eastAsia" w:cs="宋体"/>
              <w:bCs/>
              <w:kern w:val="44"/>
              <w:szCs w:val="30"/>
              <w:lang w:val="en-US" w:eastAsia="zh-CN"/>
            </w:rPr>
            <w:t xml:space="preserve"> </w:t>
          </w:r>
          <w:r>
            <w:t>分阶段推进与落地路径</w:t>
          </w:r>
          <w:r>
            <w:tab/>
          </w:r>
          <w:r>
            <w:fldChar w:fldCharType="begin"/>
          </w:r>
          <w:r>
            <w:instrText xml:space="preserve"> PAGEREF _Toc1304 \h </w:instrText>
          </w:r>
          <w:r>
            <w:fldChar w:fldCharType="separate"/>
          </w:r>
          <w:r>
            <w:t>30</w:t>
          </w:r>
          <w:r>
            <w:fldChar w:fldCharType="end"/>
          </w:r>
          <w:r>
            <w:rPr>
              <w:rFonts w:hint="eastAsia"/>
              <w:lang w:val="en-US" w:eastAsia="zh-CN"/>
            </w:rPr>
            <w:fldChar w:fldCharType="end"/>
          </w:r>
        </w:p>
        <w:p w14:paraId="4477304B">
          <w:pPr>
            <w:pStyle w:val="14"/>
            <w:tabs>
              <w:tab w:val="right" w:leader="dot" w:pos="6831"/>
            </w:tabs>
          </w:pPr>
          <w:r>
            <w:rPr>
              <w:rFonts w:hint="eastAsia"/>
              <w:lang w:val="en-US" w:eastAsia="zh-CN"/>
            </w:rPr>
            <w:fldChar w:fldCharType="begin"/>
          </w:r>
          <w:r>
            <w:rPr>
              <w:rFonts w:hint="eastAsia"/>
              <w:lang w:val="en-US" w:eastAsia="zh-CN"/>
            </w:rPr>
            <w:instrText xml:space="preserve"> HYPERLINK \l _Toc22134 </w:instrText>
          </w:r>
          <w:r>
            <w:rPr>
              <w:rFonts w:hint="eastAsia"/>
              <w:lang w:val="en-US" w:eastAsia="zh-CN"/>
            </w:rPr>
            <w:fldChar w:fldCharType="separate"/>
          </w:r>
          <w:r>
            <w:rPr>
              <w:rFonts w:hint="eastAsia" w:ascii="宋体" w:hAnsi="宋体" w:eastAsia="黑体" w:cs="宋体"/>
              <w:bCs/>
              <w:kern w:val="44"/>
              <w:szCs w:val="30"/>
            </w:rPr>
            <w:t>第三章</w:t>
          </w:r>
          <w:r>
            <w:rPr>
              <w:rFonts w:hint="eastAsia" w:cs="宋体"/>
              <w:bCs/>
              <w:kern w:val="44"/>
              <w:szCs w:val="30"/>
              <w:lang w:val="en-US" w:eastAsia="zh-CN"/>
            </w:rPr>
            <w:t xml:space="preserve"> </w:t>
          </w:r>
          <w:r>
            <w:t>工程现场数据底座与平台架构</w:t>
          </w:r>
          <w:r>
            <w:tab/>
          </w:r>
          <w:r>
            <w:fldChar w:fldCharType="begin"/>
          </w:r>
          <w:r>
            <w:instrText xml:space="preserve"> PAGEREF _Toc22134 \h </w:instrText>
          </w:r>
          <w:r>
            <w:fldChar w:fldCharType="separate"/>
          </w:r>
          <w:r>
            <w:t>35</w:t>
          </w:r>
          <w:r>
            <w:fldChar w:fldCharType="end"/>
          </w:r>
          <w:r>
            <w:rPr>
              <w:rFonts w:hint="eastAsia"/>
              <w:lang w:val="en-US" w:eastAsia="zh-CN"/>
            </w:rPr>
            <w:fldChar w:fldCharType="end"/>
          </w:r>
        </w:p>
        <w:p w14:paraId="0339547E">
          <w:pPr>
            <w:pStyle w:val="16"/>
            <w:tabs>
              <w:tab w:val="right" w:leader="dot" w:pos="6831"/>
            </w:tabs>
          </w:pPr>
          <w:r>
            <w:rPr>
              <w:rFonts w:hint="eastAsia"/>
              <w:lang w:val="en-US" w:eastAsia="zh-CN"/>
            </w:rPr>
            <w:fldChar w:fldCharType="begin"/>
          </w:r>
          <w:r>
            <w:rPr>
              <w:rFonts w:hint="eastAsia"/>
              <w:lang w:val="en-US" w:eastAsia="zh-CN"/>
            </w:rPr>
            <w:instrText xml:space="preserve"> HYPERLINK \l _Toc21097 </w:instrText>
          </w:r>
          <w:r>
            <w:rPr>
              <w:rFonts w:hint="eastAsia"/>
              <w:lang w:val="en-US" w:eastAsia="zh-CN"/>
            </w:rPr>
            <w:fldChar w:fldCharType="separate"/>
          </w:r>
          <w:r>
            <w:rPr>
              <w:rFonts w:hint="eastAsia" w:ascii="宋体" w:hAnsi="宋体" w:eastAsia="宋体" w:cs="宋体"/>
              <w:bCs/>
              <w:kern w:val="44"/>
              <w:szCs w:val="30"/>
            </w:rPr>
            <w:t>第一节</w:t>
          </w:r>
          <w:r>
            <w:rPr>
              <w:rFonts w:hint="eastAsia" w:cs="宋体"/>
              <w:bCs/>
              <w:kern w:val="44"/>
              <w:szCs w:val="30"/>
              <w:lang w:val="en-US" w:eastAsia="zh-CN"/>
            </w:rPr>
            <w:t xml:space="preserve"> </w:t>
          </w:r>
          <w:r>
            <w:t>工程现场数据资源体系</w:t>
          </w:r>
          <w:r>
            <w:tab/>
          </w:r>
          <w:r>
            <w:fldChar w:fldCharType="begin"/>
          </w:r>
          <w:r>
            <w:instrText xml:space="preserve"> PAGEREF _Toc21097 \h </w:instrText>
          </w:r>
          <w:r>
            <w:fldChar w:fldCharType="separate"/>
          </w:r>
          <w:r>
            <w:t>35</w:t>
          </w:r>
          <w:r>
            <w:fldChar w:fldCharType="end"/>
          </w:r>
          <w:r>
            <w:rPr>
              <w:rFonts w:hint="eastAsia"/>
              <w:lang w:val="en-US" w:eastAsia="zh-CN"/>
            </w:rPr>
            <w:fldChar w:fldCharType="end"/>
          </w:r>
        </w:p>
        <w:p w14:paraId="060AFCCE">
          <w:pPr>
            <w:pStyle w:val="16"/>
            <w:tabs>
              <w:tab w:val="right" w:leader="dot" w:pos="6831"/>
            </w:tabs>
          </w:pPr>
          <w:r>
            <w:rPr>
              <w:rFonts w:hint="eastAsia"/>
              <w:lang w:val="en-US" w:eastAsia="zh-CN"/>
            </w:rPr>
            <w:fldChar w:fldCharType="begin"/>
          </w:r>
          <w:r>
            <w:rPr>
              <w:rFonts w:hint="eastAsia"/>
              <w:lang w:val="en-US" w:eastAsia="zh-CN"/>
            </w:rPr>
            <w:instrText xml:space="preserve"> HYPERLINK \l _Toc22683 </w:instrText>
          </w:r>
          <w:r>
            <w:rPr>
              <w:rFonts w:hint="eastAsia"/>
              <w:lang w:val="en-US" w:eastAsia="zh-CN"/>
            </w:rPr>
            <w:fldChar w:fldCharType="separate"/>
          </w:r>
          <w:r>
            <w:rPr>
              <w:rFonts w:hint="eastAsia" w:ascii="宋体" w:hAnsi="宋体" w:eastAsia="宋体" w:cs="宋体"/>
              <w:bCs/>
              <w:kern w:val="44"/>
              <w:szCs w:val="30"/>
            </w:rPr>
            <w:t>第二节</w:t>
          </w:r>
          <w:r>
            <w:rPr>
              <w:rFonts w:hint="eastAsia" w:cs="宋体"/>
              <w:bCs/>
              <w:kern w:val="44"/>
              <w:szCs w:val="30"/>
              <w:lang w:val="en-US" w:eastAsia="zh-CN"/>
            </w:rPr>
            <w:t xml:space="preserve"> </w:t>
          </w:r>
          <w:r>
            <w:t>数据质量控制与治理基础</w:t>
          </w:r>
          <w:r>
            <w:tab/>
          </w:r>
          <w:r>
            <w:fldChar w:fldCharType="begin"/>
          </w:r>
          <w:r>
            <w:instrText xml:space="preserve"> PAGEREF _Toc22683 \h </w:instrText>
          </w:r>
          <w:r>
            <w:fldChar w:fldCharType="separate"/>
          </w:r>
          <w:r>
            <w:t>38</w:t>
          </w:r>
          <w:r>
            <w:fldChar w:fldCharType="end"/>
          </w:r>
          <w:r>
            <w:rPr>
              <w:rFonts w:hint="eastAsia"/>
              <w:lang w:val="en-US" w:eastAsia="zh-CN"/>
            </w:rPr>
            <w:fldChar w:fldCharType="end"/>
          </w:r>
        </w:p>
        <w:p w14:paraId="4A5F50C8">
          <w:pPr>
            <w:pStyle w:val="16"/>
            <w:tabs>
              <w:tab w:val="right" w:leader="dot" w:pos="6831"/>
            </w:tabs>
          </w:pPr>
          <w:r>
            <w:rPr>
              <w:rFonts w:hint="eastAsia"/>
              <w:lang w:val="en-US" w:eastAsia="zh-CN"/>
            </w:rPr>
            <w:fldChar w:fldCharType="begin"/>
          </w:r>
          <w:r>
            <w:rPr>
              <w:rFonts w:hint="eastAsia"/>
              <w:lang w:val="en-US" w:eastAsia="zh-CN"/>
            </w:rPr>
            <w:instrText xml:space="preserve"> HYPERLINK \l _Toc14679 </w:instrText>
          </w:r>
          <w:r>
            <w:rPr>
              <w:rFonts w:hint="eastAsia"/>
              <w:lang w:val="en-US" w:eastAsia="zh-CN"/>
            </w:rPr>
            <w:fldChar w:fldCharType="separate"/>
          </w:r>
          <w:r>
            <w:rPr>
              <w:rFonts w:hint="eastAsia" w:ascii="宋体" w:hAnsi="宋体" w:eastAsia="宋体" w:cs="宋体"/>
              <w:bCs/>
              <w:kern w:val="44"/>
              <w:szCs w:val="30"/>
            </w:rPr>
            <w:t>第三节</w:t>
          </w:r>
          <w:r>
            <w:rPr>
              <w:rFonts w:hint="eastAsia" w:cs="宋体"/>
              <w:bCs/>
              <w:kern w:val="44"/>
              <w:szCs w:val="30"/>
              <w:lang w:val="en-US" w:eastAsia="zh-CN"/>
            </w:rPr>
            <w:t xml:space="preserve"> </w:t>
          </w:r>
          <w:r>
            <w:t>智慧工地平台的总体架构</w:t>
          </w:r>
          <w:r>
            <w:tab/>
          </w:r>
          <w:r>
            <w:fldChar w:fldCharType="begin"/>
          </w:r>
          <w:r>
            <w:instrText xml:space="preserve"> PAGEREF _Toc14679 \h </w:instrText>
          </w:r>
          <w:r>
            <w:fldChar w:fldCharType="separate"/>
          </w:r>
          <w:r>
            <w:t>41</w:t>
          </w:r>
          <w:r>
            <w:fldChar w:fldCharType="end"/>
          </w:r>
          <w:r>
            <w:rPr>
              <w:rFonts w:hint="eastAsia"/>
              <w:lang w:val="en-US" w:eastAsia="zh-CN"/>
            </w:rPr>
            <w:fldChar w:fldCharType="end"/>
          </w:r>
        </w:p>
        <w:p w14:paraId="0CA3F755">
          <w:pPr>
            <w:pStyle w:val="16"/>
            <w:tabs>
              <w:tab w:val="right" w:leader="dot" w:pos="6831"/>
            </w:tabs>
          </w:pPr>
          <w:r>
            <w:rPr>
              <w:rFonts w:hint="eastAsia"/>
              <w:lang w:val="en-US" w:eastAsia="zh-CN"/>
            </w:rPr>
            <w:fldChar w:fldCharType="begin"/>
          </w:r>
          <w:r>
            <w:rPr>
              <w:rFonts w:hint="eastAsia"/>
              <w:lang w:val="en-US" w:eastAsia="zh-CN"/>
            </w:rPr>
            <w:instrText xml:space="preserve"> HYPERLINK \l _Toc22746 </w:instrText>
          </w:r>
          <w:r>
            <w:rPr>
              <w:rFonts w:hint="eastAsia"/>
              <w:lang w:val="en-US" w:eastAsia="zh-CN"/>
            </w:rPr>
            <w:fldChar w:fldCharType="separate"/>
          </w:r>
          <w:r>
            <w:rPr>
              <w:rFonts w:hint="eastAsia" w:ascii="宋体" w:hAnsi="宋体" w:eastAsia="宋体" w:cs="宋体"/>
              <w:bCs/>
              <w:kern w:val="44"/>
              <w:szCs w:val="30"/>
            </w:rPr>
            <w:t>第四节</w:t>
          </w:r>
          <w:r>
            <w:rPr>
              <w:rFonts w:hint="eastAsia" w:cs="宋体"/>
              <w:bCs/>
              <w:kern w:val="44"/>
              <w:szCs w:val="30"/>
              <w:lang w:val="en-US" w:eastAsia="zh-CN"/>
            </w:rPr>
            <w:t xml:space="preserve"> </w:t>
          </w:r>
          <w:r>
            <w:t>模型技术与场景映射</w:t>
          </w:r>
          <w:r>
            <w:tab/>
          </w:r>
          <w:r>
            <w:fldChar w:fldCharType="begin"/>
          </w:r>
          <w:r>
            <w:instrText xml:space="preserve"> PAGEREF _Toc22746 \h </w:instrText>
          </w:r>
          <w:r>
            <w:fldChar w:fldCharType="separate"/>
          </w:r>
          <w:r>
            <w:t>45</w:t>
          </w:r>
          <w:r>
            <w:fldChar w:fldCharType="end"/>
          </w:r>
          <w:r>
            <w:rPr>
              <w:rFonts w:hint="eastAsia"/>
              <w:lang w:val="en-US" w:eastAsia="zh-CN"/>
            </w:rPr>
            <w:fldChar w:fldCharType="end"/>
          </w:r>
        </w:p>
        <w:p w14:paraId="0EDEBB53">
          <w:pPr>
            <w:pStyle w:val="16"/>
            <w:tabs>
              <w:tab w:val="right" w:leader="dot" w:pos="6831"/>
            </w:tabs>
          </w:pPr>
          <w:r>
            <w:rPr>
              <w:rFonts w:hint="eastAsia"/>
              <w:lang w:val="en-US" w:eastAsia="zh-CN"/>
            </w:rPr>
            <w:fldChar w:fldCharType="begin"/>
          </w:r>
          <w:r>
            <w:rPr>
              <w:rFonts w:hint="eastAsia"/>
              <w:lang w:val="en-US" w:eastAsia="zh-CN"/>
            </w:rPr>
            <w:instrText xml:space="preserve"> HYPERLINK \l _Toc8732 </w:instrText>
          </w:r>
          <w:r>
            <w:rPr>
              <w:rFonts w:hint="eastAsia"/>
              <w:lang w:val="en-US" w:eastAsia="zh-CN"/>
            </w:rPr>
            <w:fldChar w:fldCharType="separate"/>
          </w:r>
          <w:r>
            <w:rPr>
              <w:rFonts w:hint="eastAsia" w:ascii="宋体" w:hAnsi="宋体" w:eastAsia="宋体" w:cs="宋体"/>
              <w:bCs/>
              <w:kern w:val="44"/>
              <w:szCs w:val="30"/>
            </w:rPr>
            <w:t>第五节</w:t>
          </w:r>
          <w:r>
            <w:rPr>
              <w:rFonts w:hint="eastAsia" w:cs="宋体"/>
              <w:bCs/>
              <w:kern w:val="44"/>
              <w:szCs w:val="30"/>
              <w:lang w:val="en-US" w:eastAsia="zh-CN"/>
            </w:rPr>
            <w:t xml:space="preserve"> </w:t>
          </w:r>
          <w:r>
            <w:t>感知终端与系统接入</w:t>
          </w:r>
          <w:r>
            <w:tab/>
          </w:r>
          <w:r>
            <w:fldChar w:fldCharType="begin"/>
          </w:r>
          <w:r>
            <w:instrText xml:space="preserve"> PAGEREF _Toc8732 \h </w:instrText>
          </w:r>
          <w:r>
            <w:fldChar w:fldCharType="separate"/>
          </w:r>
          <w:r>
            <w:t>48</w:t>
          </w:r>
          <w:r>
            <w:fldChar w:fldCharType="end"/>
          </w:r>
          <w:r>
            <w:rPr>
              <w:rFonts w:hint="eastAsia"/>
              <w:lang w:val="en-US" w:eastAsia="zh-CN"/>
            </w:rPr>
            <w:fldChar w:fldCharType="end"/>
          </w:r>
        </w:p>
        <w:p w14:paraId="32844875">
          <w:pPr>
            <w:pStyle w:val="16"/>
            <w:tabs>
              <w:tab w:val="right" w:leader="dot" w:pos="6831"/>
            </w:tabs>
          </w:pPr>
          <w:r>
            <w:rPr>
              <w:rFonts w:hint="eastAsia"/>
              <w:lang w:val="en-US" w:eastAsia="zh-CN"/>
            </w:rPr>
            <w:fldChar w:fldCharType="begin"/>
          </w:r>
          <w:r>
            <w:rPr>
              <w:rFonts w:hint="eastAsia"/>
              <w:lang w:val="en-US" w:eastAsia="zh-CN"/>
            </w:rPr>
            <w:instrText xml:space="preserve"> HYPERLINK \l _Toc18465 </w:instrText>
          </w:r>
          <w:r>
            <w:rPr>
              <w:rFonts w:hint="eastAsia"/>
              <w:lang w:val="en-US" w:eastAsia="zh-CN"/>
            </w:rPr>
            <w:fldChar w:fldCharType="separate"/>
          </w:r>
          <w:r>
            <w:rPr>
              <w:rFonts w:hint="eastAsia" w:ascii="宋体" w:hAnsi="宋体" w:eastAsia="宋体" w:cs="宋体"/>
              <w:bCs/>
              <w:kern w:val="44"/>
              <w:szCs w:val="30"/>
            </w:rPr>
            <w:t>第六节</w:t>
          </w:r>
          <w:r>
            <w:rPr>
              <w:rFonts w:hint="eastAsia" w:cs="宋体"/>
              <w:bCs/>
              <w:kern w:val="44"/>
              <w:szCs w:val="30"/>
              <w:lang w:val="en-US" w:eastAsia="zh-CN"/>
            </w:rPr>
            <w:t xml:space="preserve"> </w:t>
          </w:r>
          <w:r>
            <w:t>系统贯通与运行保障</w:t>
          </w:r>
          <w:r>
            <w:tab/>
          </w:r>
          <w:r>
            <w:fldChar w:fldCharType="begin"/>
          </w:r>
          <w:r>
            <w:instrText xml:space="preserve"> PAGEREF _Toc18465 \h </w:instrText>
          </w:r>
          <w:r>
            <w:fldChar w:fldCharType="separate"/>
          </w:r>
          <w:r>
            <w:t>52</w:t>
          </w:r>
          <w:r>
            <w:fldChar w:fldCharType="end"/>
          </w:r>
          <w:r>
            <w:rPr>
              <w:rFonts w:hint="eastAsia"/>
              <w:lang w:val="en-US" w:eastAsia="zh-CN"/>
            </w:rPr>
            <w:fldChar w:fldCharType="end"/>
          </w:r>
        </w:p>
        <w:p w14:paraId="64767B0C">
          <w:pPr>
            <w:pStyle w:val="14"/>
            <w:tabs>
              <w:tab w:val="right" w:leader="dot" w:pos="6831"/>
            </w:tabs>
          </w:pPr>
          <w:r>
            <w:rPr>
              <w:rFonts w:hint="eastAsia"/>
              <w:lang w:val="en-US" w:eastAsia="zh-CN"/>
            </w:rPr>
            <w:fldChar w:fldCharType="begin"/>
          </w:r>
          <w:r>
            <w:rPr>
              <w:rFonts w:hint="eastAsia"/>
              <w:lang w:val="en-US" w:eastAsia="zh-CN"/>
            </w:rPr>
            <w:instrText xml:space="preserve"> HYPERLINK \l _Toc9507 </w:instrText>
          </w:r>
          <w:r>
            <w:rPr>
              <w:rFonts w:hint="eastAsia"/>
              <w:lang w:val="en-US" w:eastAsia="zh-CN"/>
            </w:rPr>
            <w:fldChar w:fldCharType="separate"/>
          </w:r>
          <w:r>
            <w:rPr>
              <w:rFonts w:hint="eastAsia" w:ascii="宋体" w:hAnsi="宋体" w:eastAsia="黑体" w:cs="宋体"/>
              <w:bCs/>
              <w:kern w:val="44"/>
              <w:szCs w:val="30"/>
            </w:rPr>
            <w:t>第四章</w:t>
          </w:r>
          <w:r>
            <w:rPr>
              <w:rFonts w:hint="eastAsia" w:cs="宋体"/>
              <w:bCs/>
              <w:kern w:val="44"/>
              <w:szCs w:val="30"/>
              <w:lang w:val="en-US" w:eastAsia="zh-CN"/>
            </w:rPr>
            <w:t xml:space="preserve"> </w:t>
          </w:r>
          <w:r>
            <w:t>施工现场生产组织的数字化重构</w:t>
          </w:r>
          <w:r>
            <w:tab/>
          </w:r>
          <w:r>
            <w:fldChar w:fldCharType="begin"/>
          </w:r>
          <w:r>
            <w:instrText xml:space="preserve"> PAGEREF _Toc9507 \h </w:instrText>
          </w:r>
          <w:r>
            <w:fldChar w:fldCharType="separate"/>
          </w:r>
          <w:r>
            <w:t>61</w:t>
          </w:r>
          <w:r>
            <w:fldChar w:fldCharType="end"/>
          </w:r>
          <w:r>
            <w:rPr>
              <w:rFonts w:hint="eastAsia"/>
              <w:lang w:val="en-US" w:eastAsia="zh-CN"/>
            </w:rPr>
            <w:fldChar w:fldCharType="end"/>
          </w:r>
        </w:p>
        <w:p w14:paraId="32AB49CA">
          <w:pPr>
            <w:pStyle w:val="16"/>
            <w:tabs>
              <w:tab w:val="right" w:leader="dot" w:pos="6831"/>
            </w:tabs>
          </w:pPr>
          <w:r>
            <w:rPr>
              <w:rFonts w:hint="eastAsia"/>
              <w:lang w:val="en-US" w:eastAsia="zh-CN"/>
            </w:rPr>
            <w:fldChar w:fldCharType="begin"/>
          </w:r>
          <w:r>
            <w:rPr>
              <w:rFonts w:hint="eastAsia"/>
              <w:lang w:val="en-US" w:eastAsia="zh-CN"/>
            </w:rPr>
            <w:instrText xml:space="preserve"> HYPERLINK \l _Toc25497 </w:instrText>
          </w:r>
          <w:r>
            <w:rPr>
              <w:rFonts w:hint="eastAsia"/>
              <w:lang w:val="en-US" w:eastAsia="zh-CN"/>
            </w:rPr>
            <w:fldChar w:fldCharType="separate"/>
          </w:r>
          <w:r>
            <w:rPr>
              <w:rFonts w:hint="eastAsia" w:ascii="宋体" w:hAnsi="宋体" w:eastAsia="宋体" w:cs="宋体"/>
              <w:bCs/>
              <w:kern w:val="44"/>
              <w:szCs w:val="30"/>
            </w:rPr>
            <w:t>第一节</w:t>
          </w:r>
          <w:r>
            <w:rPr>
              <w:rFonts w:hint="eastAsia" w:cs="宋体"/>
              <w:bCs/>
              <w:kern w:val="44"/>
              <w:szCs w:val="30"/>
              <w:lang w:val="en-US" w:eastAsia="zh-CN"/>
            </w:rPr>
            <w:t xml:space="preserve"> </w:t>
          </w:r>
          <w:r>
            <w:t>进度计划的数字化控制</w:t>
          </w:r>
          <w:r>
            <w:tab/>
          </w:r>
          <w:r>
            <w:fldChar w:fldCharType="begin"/>
          </w:r>
          <w:r>
            <w:instrText xml:space="preserve"> PAGEREF _Toc25497 \h </w:instrText>
          </w:r>
          <w:r>
            <w:fldChar w:fldCharType="separate"/>
          </w:r>
          <w:r>
            <w:t>61</w:t>
          </w:r>
          <w:r>
            <w:fldChar w:fldCharType="end"/>
          </w:r>
          <w:r>
            <w:rPr>
              <w:rFonts w:hint="eastAsia"/>
              <w:lang w:val="en-US" w:eastAsia="zh-CN"/>
            </w:rPr>
            <w:fldChar w:fldCharType="end"/>
          </w:r>
        </w:p>
        <w:p w14:paraId="40AEE5EB">
          <w:pPr>
            <w:pStyle w:val="16"/>
            <w:tabs>
              <w:tab w:val="right" w:leader="dot" w:pos="6831"/>
            </w:tabs>
          </w:pPr>
          <w:r>
            <w:rPr>
              <w:rFonts w:hint="eastAsia"/>
              <w:lang w:val="en-US" w:eastAsia="zh-CN"/>
            </w:rPr>
            <w:fldChar w:fldCharType="begin"/>
          </w:r>
          <w:r>
            <w:rPr>
              <w:rFonts w:hint="eastAsia"/>
              <w:lang w:val="en-US" w:eastAsia="zh-CN"/>
            </w:rPr>
            <w:instrText xml:space="preserve"> HYPERLINK \l _Toc8112 </w:instrText>
          </w:r>
          <w:r>
            <w:rPr>
              <w:rFonts w:hint="eastAsia"/>
              <w:lang w:val="en-US" w:eastAsia="zh-CN"/>
            </w:rPr>
            <w:fldChar w:fldCharType="separate"/>
          </w:r>
          <w:r>
            <w:rPr>
              <w:rFonts w:hint="eastAsia" w:ascii="宋体" w:hAnsi="宋体" w:eastAsia="宋体" w:cs="宋体"/>
              <w:bCs/>
              <w:kern w:val="44"/>
              <w:szCs w:val="30"/>
            </w:rPr>
            <w:t>第二节</w:t>
          </w:r>
          <w:r>
            <w:rPr>
              <w:rFonts w:hint="eastAsia" w:cs="宋体"/>
              <w:bCs/>
              <w:kern w:val="44"/>
              <w:szCs w:val="30"/>
              <w:lang w:val="en-US" w:eastAsia="zh-CN"/>
            </w:rPr>
            <w:t xml:space="preserve"> </w:t>
          </w:r>
          <w:r>
            <w:t>劳务管理的在线协同</w:t>
          </w:r>
          <w:r>
            <w:tab/>
          </w:r>
          <w:r>
            <w:fldChar w:fldCharType="begin"/>
          </w:r>
          <w:r>
            <w:instrText xml:space="preserve"> PAGEREF _Toc8112 \h </w:instrText>
          </w:r>
          <w:r>
            <w:fldChar w:fldCharType="separate"/>
          </w:r>
          <w:r>
            <w:t>65</w:t>
          </w:r>
          <w:r>
            <w:fldChar w:fldCharType="end"/>
          </w:r>
          <w:r>
            <w:rPr>
              <w:rFonts w:hint="eastAsia"/>
              <w:lang w:val="en-US" w:eastAsia="zh-CN"/>
            </w:rPr>
            <w:fldChar w:fldCharType="end"/>
          </w:r>
        </w:p>
        <w:p w14:paraId="50218FAD">
          <w:pPr>
            <w:pStyle w:val="16"/>
            <w:tabs>
              <w:tab w:val="right" w:leader="dot" w:pos="6831"/>
            </w:tabs>
          </w:pPr>
          <w:r>
            <w:rPr>
              <w:rFonts w:hint="eastAsia"/>
              <w:lang w:val="en-US" w:eastAsia="zh-CN"/>
            </w:rPr>
            <w:fldChar w:fldCharType="begin"/>
          </w:r>
          <w:r>
            <w:rPr>
              <w:rFonts w:hint="eastAsia"/>
              <w:lang w:val="en-US" w:eastAsia="zh-CN"/>
            </w:rPr>
            <w:instrText xml:space="preserve"> HYPERLINK \l _Toc23860 </w:instrText>
          </w:r>
          <w:r>
            <w:rPr>
              <w:rFonts w:hint="eastAsia"/>
              <w:lang w:val="en-US" w:eastAsia="zh-CN"/>
            </w:rPr>
            <w:fldChar w:fldCharType="separate"/>
          </w:r>
          <w:r>
            <w:rPr>
              <w:rFonts w:hint="eastAsia" w:ascii="宋体" w:hAnsi="宋体" w:eastAsia="宋体" w:cs="宋体"/>
              <w:bCs/>
              <w:kern w:val="44"/>
              <w:szCs w:val="30"/>
            </w:rPr>
            <w:t>第三节</w:t>
          </w:r>
          <w:r>
            <w:rPr>
              <w:rFonts w:hint="eastAsia" w:cs="宋体"/>
              <w:bCs/>
              <w:kern w:val="44"/>
              <w:szCs w:val="30"/>
              <w:lang w:val="en-US" w:eastAsia="zh-CN"/>
            </w:rPr>
            <w:t xml:space="preserve"> </w:t>
          </w:r>
          <w:r>
            <w:t>机械设备与周转资源管控</w:t>
          </w:r>
          <w:r>
            <w:tab/>
          </w:r>
          <w:r>
            <w:fldChar w:fldCharType="begin"/>
          </w:r>
          <w:r>
            <w:instrText xml:space="preserve"> PAGEREF _Toc23860 \h </w:instrText>
          </w:r>
          <w:r>
            <w:fldChar w:fldCharType="separate"/>
          </w:r>
          <w:r>
            <w:t>70</w:t>
          </w:r>
          <w:r>
            <w:fldChar w:fldCharType="end"/>
          </w:r>
          <w:r>
            <w:rPr>
              <w:rFonts w:hint="eastAsia"/>
              <w:lang w:val="en-US" w:eastAsia="zh-CN"/>
            </w:rPr>
            <w:fldChar w:fldCharType="end"/>
          </w:r>
        </w:p>
        <w:p w14:paraId="7F8DC748">
          <w:pPr>
            <w:pStyle w:val="16"/>
            <w:tabs>
              <w:tab w:val="right" w:leader="dot" w:pos="6831"/>
            </w:tabs>
          </w:pPr>
          <w:r>
            <w:rPr>
              <w:rFonts w:hint="eastAsia"/>
              <w:lang w:val="en-US" w:eastAsia="zh-CN"/>
            </w:rPr>
            <w:fldChar w:fldCharType="begin"/>
          </w:r>
          <w:r>
            <w:rPr>
              <w:rFonts w:hint="eastAsia"/>
              <w:lang w:val="en-US" w:eastAsia="zh-CN"/>
            </w:rPr>
            <w:instrText xml:space="preserve"> HYPERLINK \l _Toc1729 </w:instrText>
          </w:r>
          <w:r>
            <w:rPr>
              <w:rFonts w:hint="eastAsia"/>
              <w:lang w:val="en-US" w:eastAsia="zh-CN"/>
            </w:rPr>
            <w:fldChar w:fldCharType="separate"/>
          </w:r>
          <w:r>
            <w:rPr>
              <w:rFonts w:hint="eastAsia" w:ascii="宋体" w:hAnsi="宋体" w:eastAsia="宋体" w:cs="宋体"/>
              <w:bCs/>
              <w:kern w:val="44"/>
              <w:szCs w:val="30"/>
            </w:rPr>
            <w:t>第四节</w:t>
          </w:r>
          <w:r>
            <w:rPr>
              <w:rFonts w:hint="eastAsia" w:cs="宋体"/>
              <w:bCs/>
              <w:kern w:val="44"/>
              <w:szCs w:val="30"/>
              <w:lang w:val="en-US" w:eastAsia="zh-CN"/>
            </w:rPr>
            <w:t xml:space="preserve"> </w:t>
          </w:r>
          <w:r>
            <w:t>材料供应与现场配置管理</w:t>
          </w:r>
          <w:r>
            <w:tab/>
          </w:r>
          <w:r>
            <w:fldChar w:fldCharType="begin"/>
          </w:r>
          <w:r>
            <w:instrText xml:space="preserve"> PAGEREF _Toc1729 \h </w:instrText>
          </w:r>
          <w:r>
            <w:fldChar w:fldCharType="separate"/>
          </w:r>
          <w:r>
            <w:t>74</w:t>
          </w:r>
          <w:r>
            <w:fldChar w:fldCharType="end"/>
          </w:r>
          <w:r>
            <w:rPr>
              <w:rFonts w:hint="eastAsia"/>
              <w:lang w:val="en-US" w:eastAsia="zh-CN"/>
            </w:rPr>
            <w:fldChar w:fldCharType="end"/>
          </w:r>
        </w:p>
        <w:p w14:paraId="0CDADB19">
          <w:pPr>
            <w:pStyle w:val="16"/>
            <w:tabs>
              <w:tab w:val="right" w:leader="dot" w:pos="6831"/>
            </w:tabs>
          </w:pPr>
          <w:r>
            <w:rPr>
              <w:rFonts w:hint="eastAsia"/>
              <w:lang w:val="en-US" w:eastAsia="zh-CN"/>
            </w:rPr>
            <w:fldChar w:fldCharType="begin"/>
          </w:r>
          <w:r>
            <w:rPr>
              <w:rFonts w:hint="eastAsia"/>
              <w:lang w:val="en-US" w:eastAsia="zh-CN"/>
            </w:rPr>
            <w:instrText xml:space="preserve"> HYPERLINK \l _Toc32122 </w:instrText>
          </w:r>
          <w:r>
            <w:rPr>
              <w:rFonts w:hint="eastAsia"/>
              <w:lang w:val="en-US" w:eastAsia="zh-CN"/>
            </w:rPr>
            <w:fldChar w:fldCharType="separate"/>
          </w:r>
          <w:r>
            <w:rPr>
              <w:rFonts w:hint="eastAsia" w:ascii="宋体" w:hAnsi="宋体" w:eastAsia="宋体" w:cs="宋体"/>
              <w:bCs/>
              <w:kern w:val="44"/>
              <w:szCs w:val="30"/>
            </w:rPr>
            <w:t>第五节</w:t>
          </w:r>
          <w:r>
            <w:rPr>
              <w:rFonts w:hint="eastAsia" w:cs="宋体"/>
              <w:bCs/>
              <w:kern w:val="44"/>
              <w:szCs w:val="30"/>
              <w:lang w:val="en-US" w:eastAsia="zh-CN"/>
            </w:rPr>
            <w:t xml:space="preserve"> </w:t>
          </w:r>
          <w:r>
            <w:t>质量安全过程控制</w:t>
          </w:r>
          <w:r>
            <w:tab/>
          </w:r>
          <w:r>
            <w:fldChar w:fldCharType="begin"/>
          </w:r>
          <w:r>
            <w:instrText xml:space="preserve"> PAGEREF _Toc32122 \h </w:instrText>
          </w:r>
          <w:r>
            <w:fldChar w:fldCharType="separate"/>
          </w:r>
          <w:r>
            <w:t>79</w:t>
          </w:r>
          <w:r>
            <w:fldChar w:fldCharType="end"/>
          </w:r>
          <w:r>
            <w:rPr>
              <w:rFonts w:hint="eastAsia"/>
              <w:lang w:val="en-US" w:eastAsia="zh-CN"/>
            </w:rPr>
            <w:fldChar w:fldCharType="end"/>
          </w:r>
        </w:p>
        <w:p w14:paraId="64A5BCC0">
          <w:pPr>
            <w:pStyle w:val="14"/>
            <w:tabs>
              <w:tab w:val="right" w:leader="dot" w:pos="6831"/>
            </w:tabs>
          </w:pPr>
          <w:r>
            <w:rPr>
              <w:rFonts w:hint="eastAsia"/>
              <w:lang w:val="en-US" w:eastAsia="zh-CN"/>
            </w:rPr>
            <w:fldChar w:fldCharType="begin"/>
          </w:r>
          <w:r>
            <w:rPr>
              <w:rFonts w:hint="eastAsia"/>
              <w:lang w:val="en-US" w:eastAsia="zh-CN"/>
            </w:rPr>
            <w:instrText xml:space="preserve"> HYPERLINK \l _Toc12831 </w:instrText>
          </w:r>
          <w:r>
            <w:rPr>
              <w:rFonts w:hint="eastAsia"/>
              <w:lang w:val="en-US" w:eastAsia="zh-CN"/>
            </w:rPr>
            <w:fldChar w:fldCharType="separate"/>
          </w:r>
          <w:r>
            <w:rPr>
              <w:rFonts w:hint="eastAsia" w:ascii="宋体" w:hAnsi="宋体" w:eastAsia="黑体" w:cs="宋体"/>
              <w:bCs/>
              <w:kern w:val="44"/>
              <w:szCs w:val="30"/>
            </w:rPr>
            <w:t>第五章</w:t>
          </w:r>
          <w:r>
            <w:rPr>
              <w:rFonts w:hint="eastAsia" w:cs="宋体"/>
              <w:bCs/>
              <w:kern w:val="44"/>
              <w:szCs w:val="30"/>
              <w:lang w:val="en-US" w:eastAsia="zh-CN"/>
            </w:rPr>
            <w:t xml:space="preserve"> </w:t>
          </w:r>
          <w:r>
            <w:t>工程投资评审与造价合同管理</w:t>
          </w:r>
          <w:r>
            <w:tab/>
          </w:r>
          <w:r>
            <w:fldChar w:fldCharType="begin"/>
          </w:r>
          <w:r>
            <w:instrText xml:space="preserve"> PAGEREF _Toc12831 \h </w:instrText>
          </w:r>
          <w:r>
            <w:fldChar w:fldCharType="separate"/>
          </w:r>
          <w:r>
            <w:t>87</w:t>
          </w:r>
          <w:r>
            <w:fldChar w:fldCharType="end"/>
          </w:r>
          <w:r>
            <w:rPr>
              <w:rFonts w:hint="eastAsia"/>
              <w:lang w:val="en-US" w:eastAsia="zh-CN"/>
            </w:rPr>
            <w:fldChar w:fldCharType="end"/>
          </w:r>
        </w:p>
        <w:p w14:paraId="1C327521">
          <w:pPr>
            <w:pStyle w:val="16"/>
            <w:tabs>
              <w:tab w:val="right" w:leader="dot" w:pos="6831"/>
            </w:tabs>
          </w:pPr>
          <w:r>
            <w:rPr>
              <w:rFonts w:hint="eastAsia"/>
              <w:lang w:val="en-US" w:eastAsia="zh-CN"/>
            </w:rPr>
            <w:fldChar w:fldCharType="begin"/>
          </w:r>
          <w:r>
            <w:rPr>
              <w:rFonts w:hint="eastAsia"/>
              <w:lang w:val="en-US" w:eastAsia="zh-CN"/>
            </w:rPr>
            <w:instrText xml:space="preserve"> HYPERLINK \l _Toc12528 </w:instrText>
          </w:r>
          <w:r>
            <w:rPr>
              <w:rFonts w:hint="eastAsia"/>
              <w:lang w:val="en-US" w:eastAsia="zh-CN"/>
            </w:rPr>
            <w:fldChar w:fldCharType="separate"/>
          </w:r>
          <w:r>
            <w:rPr>
              <w:rFonts w:hint="eastAsia" w:ascii="宋体" w:hAnsi="宋体" w:eastAsia="宋体" w:cs="宋体"/>
              <w:bCs/>
              <w:kern w:val="44"/>
              <w:szCs w:val="30"/>
            </w:rPr>
            <w:t>第一节</w:t>
          </w:r>
          <w:r>
            <w:rPr>
              <w:rFonts w:hint="eastAsia" w:cs="宋体"/>
              <w:bCs/>
              <w:kern w:val="44"/>
              <w:szCs w:val="30"/>
              <w:lang w:val="en-US" w:eastAsia="zh-CN"/>
            </w:rPr>
            <w:t xml:space="preserve"> </w:t>
          </w:r>
          <w:r>
            <w:t>工程投资控制的数字化基础</w:t>
          </w:r>
          <w:r>
            <w:tab/>
          </w:r>
          <w:r>
            <w:fldChar w:fldCharType="begin"/>
          </w:r>
          <w:r>
            <w:instrText xml:space="preserve"> PAGEREF _Toc12528 \h </w:instrText>
          </w:r>
          <w:r>
            <w:fldChar w:fldCharType="separate"/>
          </w:r>
          <w:r>
            <w:t>87</w:t>
          </w:r>
          <w:r>
            <w:fldChar w:fldCharType="end"/>
          </w:r>
          <w:r>
            <w:rPr>
              <w:rFonts w:hint="eastAsia"/>
              <w:lang w:val="en-US" w:eastAsia="zh-CN"/>
            </w:rPr>
            <w:fldChar w:fldCharType="end"/>
          </w:r>
        </w:p>
        <w:p w14:paraId="1C08DC9E">
          <w:pPr>
            <w:pStyle w:val="16"/>
            <w:tabs>
              <w:tab w:val="right" w:leader="dot" w:pos="6831"/>
            </w:tabs>
          </w:pPr>
          <w:r>
            <w:rPr>
              <w:rFonts w:hint="eastAsia"/>
              <w:lang w:val="en-US" w:eastAsia="zh-CN"/>
            </w:rPr>
            <w:fldChar w:fldCharType="begin"/>
          </w:r>
          <w:r>
            <w:rPr>
              <w:rFonts w:hint="eastAsia"/>
              <w:lang w:val="en-US" w:eastAsia="zh-CN"/>
            </w:rPr>
            <w:instrText xml:space="preserve"> HYPERLINK \l _Toc26799 </w:instrText>
          </w:r>
          <w:r>
            <w:rPr>
              <w:rFonts w:hint="eastAsia"/>
              <w:lang w:val="en-US" w:eastAsia="zh-CN"/>
            </w:rPr>
            <w:fldChar w:fldCharType="separate"/>
          </w:r>
          <w:r>
            <w:rPr>
              <w:rFonts w:hint="eastAsia" w:ascii="宋体" w:hAnsi="宋体" w:eastAsia="宋体" w:cs="宋体"/>
              <w:bCs/>
              <w:kern w:val="44"/>
              <w:szCs w:val="30"/>
            </w:rPr>
            <w:t>第二节</w:t>
          </w:r>
          <w:r>
            <w:rPr>
              <w:rFonts w:hint="eastAsia" w:cs="宋体"/>
              <w:bCs/>
              <w:kern w:val="44"/>
              <w:szCs w:val="30"/>
              <w:lang w:val="en-US" w:eastAsia="zh-CN"/>
            </w:rPr>
            <w:t xml:space="preserve"> </w:t>
          </w:r>
          <w:r>
            <w:t>概算预算与目标成本管理</w:t>
          </w:r>
          <w:r>
            <w:tab/>
          </w:r>
          <w:r>
            <w:fldChar w:fldCharType="begin"/>
          </w:r>
          <w:r>
            <w:instrText xml:space="preserve"> PAGEREF _Toc26799 \h </w:instrText>
          </w:r>
          <w:r>
            <w:fldChar w:fldCharType="separate"/>
          </w:r>
          <w:r>
            <w:t>91</w:t>
          </w:r>
          <w:r>
            <w:fldChar w:fldCharType="end"/>
          </w:r>
          <w:r>
            <w:rPr>
              <w:rFonts w:hint="eastAsia"/>
              <w:lang w:val="en-US" w:eastAsia="zh-CN"/>
            </w:rPr>
            <w:fldChar w:fldCharType="end"/>
          </w:r>
        </w:p>
        <w:p w14:paraId="29C861BC">
          <w:pPr>
            <w:pStyle w:val="16"/>
            <w:tabs>
              <w:tab w:val="right" w:leader="dot" w:pos="6831"/>
            </w:tabs>
          </w:pPr>
          <w:r>
            <w:rPr>
              <w:rFonts w:hint="eastAsia"/>
              <w:lang w:val="en-US" w:eastAsia="zh-CN"/>
            </w:rPr>
            <w:fldChar w:fldCharType="begin"/>
          </w:r>
          <w:r>
            <w:rPr>
              <w:rFonts w:hint="eastAsia"/>
              <w:lang w:val="en-US" w:eastAsia="zh-CN"/>
            </w:rPr>
            <w:instrText xml:space="preserve"> HYPERLINK \l _Toc17809 </w:instrText>
          </w:r>
          <w:r>
            <w:rPr>
              <w:rFonts w:hint="eastAsia"/>
              <w:lang w:val="en-US" w:eastAsia="zh-CN"/>
            </w:rPr>
            <w:fldChar w:fldCharType="separate"/>
          </w:r>
          <w:r>
            <w:rPr>
              <w:rFonts w:hint="eastAsia" w:ascii="宋体" w:hAnsi="宋体" w:eastAsia="宋体" w:cs="宋体"/>
              <w:bCs/>
              <w:kern w:val="44"/>
              <w:szCs w:val="30"/>
            </w:rPr>
            <w:t>第三节</w:t>
          </w:r>
          <w:r>
            <w:rPr>
              <w:rFonts w:hint="eastAsia" w:cs="宋体"/>
              <w:bCs/>
              <w:kern w:val="44"/>
              <w:szCs w:val="30"/>
              <w:lang w:val="en-US" w:eastAsia="zh-CN"/>
            </w:rPr>
            <w:t xml:space="preserve"> </w:t>
          </w:r>
          <w:r>
            <w:t>施工阶段造价动态控制</w:t>
          </w:r>
          <w:r>
            <w:tab/>
          </w:r>
          <w:r>
            <w:fldChar w:fldCharType="begin"/>
          </w:r>
          <w:r>
            <w:instrText xml:space="preserve"> PAGEREF _Toc17809 \h </w:instrText>
          </w:r>
          <w:r>
            <w:fldChar w:fldCharType="separate"/>
          </w:r>
          <w:r>
            <w:t>97</w:t>
          </w:r>
          <w:r>
            <w:fldChar w:fldCharType="end"/>
          </w:r>
          <w:r>
            <w:rPr>
              <w:rFonts w:hint="eastAsia"/>
              <w:lang w:val="en-US" w:eastAsia="zh-CN"/>
            </w:rPr>
            <w:fldChar w:fldCharType="end"/>
          </w:r>
        </w:p>
        <w:p w14:paraId="34DB2AF0">
          <w:pPr>
            <w:pStyle w:val="16"/>
            <w:tabs>
              <w:tab w:val="right" w:leader="dot" w:pos="6831"/>
            </w:tabs>
          </w:pPr>
          <w:r>
            <w:rPr>
              <w:rFonts w:hint="eastAsia"/>
              <w:lang w:val="en-US" w:eastAsia="zh-CN"/>
            </w:rPr>
            <w:fldChar w:fldCharType="begin"/>
          </w:r>
          <w:r>
            <w:rPr>
              <w:rFonts w:hint="eastAsia"/>
              <w:lang w:val="en-US" w:eastAsia="zh-CN"/>
            </w:rPr>
            <w:instrText xml:space="preserve"> HYPERLINK \l _Toc125 </w:instrText>
          </w:r>
          <w:r>
            <w:rPr>
              <w:rFonts w:hint="eastAsia"/>
              <w:lang w:val="en-US" w:eastAsia="zh-CN"/>
            </w:rPr>
            <w:fldChar w:fldCharType="separate"/>
          </w:r>
          <w:r>
            <w:rPr>
              <w:rFonts w:hint="eastAsia" w:ascii="宋体" w:hAnsi="宋体" w:eastAsia="宋体" w:cs="宋体"/>
              <w:bCs/>
              <w:kern w:val="44"/>
              <w:szCs w:val="30"/>
            </w:rPr>
            <w:t>第四节</w:t>
          </w:r>
          <w:r>
            <w:rPr>
              <w:rFonts w:hint="eastAsia" w:cs="宋体"/>
              <w:bCs/>
              <w:kern w:val="44"/>
              <w:szCs w:val="30"/>
              <w:lang w:val="en-US" w:eastAsia="zh-CN"/>
            </w:rPr>
            <w:t xml:space="preserve"> </w:t>
          </w:r>
          <w:r>
            <w:t>合同履约的数字化协同</w:t>
          </w:r>
          <w:r>
            <w:tab/>
          </w:r>
          <w:r>
            <w:fldChar w:fldCharType="begin"/>
          </w:r>
          <w:r>
            <w:instrText xml:space="preserve"> PAGEREF _Toc125 \h </w:instrText>
          </w:r>
          <w:r>
            <w:fldChar w:fldCharType="separate"/>
          </w:r>
          <w:r>
            <w:t>103</w:t>
          </w:r>
          <w:r>
            <w:fldChar w:fldCharType="end"/>
          </w:r>
          <w:r>
            <w:rPr>
              <w:rFonts w:hint="eastAsia"/>
              <w:lang w:val="en-US" w:eastAsia="zh-CN"/>
            </w:rPr>
            <w:fldChar w:fldCharType="end"/>
          </w:r>
        </w:p>
        <w:p w14:paraId="54BA71DF">
          <w:pPr>
            <w:pStyle w:val="16"/>
            <w:tabs>
              <w:tab w:val="right" w:leader="dot" w:pos="6831"/>
            </w:tabs>
          </w:pPr>
          <w:r>
            <w:rPr>
              <w:rFonts w:hint="eastAsia"/>
              <w:lang w:val="en-US" w:eastAsia="zh-CN"/>
            </w:rPr>
            <w:fldChar w:fldCharType="begin"/>
          </w:r>
          <w:r>
            <w:rPr>
              <w:rFonts w:hint="eastAsia"/>
              <w:lang w:val="en-US" w:eastAsia="zh-CN"/>
            </w:rPr>
            <w:instrText xml:space="preserve"> HYPERLINK \l _Toc303 </w:instrText>
          </w:r>
          <w:r>
            <w:rPr>
              <w:rFonts w:hint="eastAsia"/>
              <w:lang w:val="en-US" w:eastAsia="zh-CN"/>
            </w:rPr>
            <w:fldChar w:fldCharType="separate"/>
          </w:r>
          <w:r>
            <w:rPr>
              <w:rFonts w:hint="eastAsia" w:ascii="宋体" w:hAnsi="宋体" w:eastAsia="宋体" w:cs="宋体"/>
              <w:bCs/>
              <w:kern w:val="44"/>
              <w:szCs w:val="30"/>
            </w:rPr>
            <w:t>第五节</w:t>
          </w:r>
          <w:r>
            <w:rPr>
              <w:rFonts w:hint="eastAsia" w:cs="宋体"/>
              <w:bCs/>
              <w:kern w:val="44"/>
              <w:szCs w:val="30"/>
              <w:lang w:val="en-US" w:eastAsia="zh-CN"/>
            </w:rPr>
            <w:t xml:space="preserve"> </w:t>
          </w:r>
          <w:r>
            <w:t>结算审核与财政评审</w:t>
          </w:r>
          <w:r>
            <w:tab/>
          </w:r>
          <w:r>
            <w:fldChar w:fldCharType="begin"/>
          </w:r>
          <w:r>
            <w:instrText xml:space="preserve"> PAGEREF _Toc303 \h </w:instrText>
          </w:r>
          <w:r>
            <w:fldChar w:fldCharType="separate"/>
          </w:r>
          <w:r>
            <w:t>109</w:t>
          </w:r>
          <w:r>
            <w:fldChar w:fldCharType="end"/>
          </w:r>
          <w:r>
            <w:rPr>
              <w:rFonts w:hint="eastAsia"/>
              <w:lang w:val="en-US" w:eastAsia="zh-CN"/>
            </w:rPr>
            <w:fldChar w:fldCharType="end"/>
          </w:r>
        </w:p>
        <w:p w14:paraId="7760A23C">
          <w:pPr>
            <w:pStyle w:val="14"/>
            <w:tabs>
              <w:tab w:val="right" w:leader="dot" w:pos="6831"/>
            </w:tabs>
          </w:pPr>
          <w:r>
            <w:rPr>
              <w:rFonts w:hint="eastAsia"/>
              <w:lang w:val="en-US" w:eastAsia="zh-CN"/>
            </w:rPr>
            <w:fldChar w:fldCharType="begin"/>
          </w:r>
          <w:r>
            <w:rPr>
              <w:rFonts w:hint="eastAsia"/>
              <w:lang w:val="en-US" w:eastAsia="zh-CN"/>
            </w:rPr>
            <w:instrText xml:space="preserve"> HYPERLINK \l _Toc14377 </w:instrText>
          </w:r>
          <w:r>
            <w:rPr>
              <w:rFonts w:hint="eastAsia"/>
              <w:lang w:val="en-US" w:eastAsia="zh-CN"/>
            </w:rPr>
            <w:fldChar w:fldCharType="separate"/>
          </w:r>
          <w:r>
            <w:rPr>
              <w:rFonts w:hint="eastAsia" w:ascii="宋体" w:hAnsi="宋体" w:eastAsia="黑体" w:cs="宋体"/>
              <w:bCs/>
              <w:kern w:val="44"/>
              <w:szCs w:val="30"/>
            </w:rPr>
            <w:t>第六章</w:t>
          </w:r>
          <w:r>
            <w:rPr>
              <w:rFonts w:hint="eastAsia" w:cs="宋体"/>
              <w:bCs/>
              <w:kern w:val="44"/>
              <w:szCs w:val="30"/>
              <w:lang w:val="en-US" w:eastAsia="zh-CN"/>
            </w:rPr>
            <w:t xml:space="preserve"> </w:t>
          </w:r>
          <w:r>
            <w:t>政府投资项目与专项工程数字化实施</w:t>
          </w:r>
          <w:r>
            <w:tab/>
          </w:r>
          <w:r>
            <w:fldChar w:fldCharType="begin"/>
          </w:r>
          <w:r>
            <w:instrText xml:space="preserve"> PAGEREF _Toc14377 \h </w:instrText>
          </w:r>
          <w:r>
            <w:fldChar w:fldCharType="separate"/>
          </w:r>
          <w:r>
            <w:t>115</w:t>
          </w:r>
          <w:r>
            <w:fldChar w:fldCharType="end"/>
          </w:r>
          <w:r>
            <w:rPr>
              <w:rFonts w:hint="eastAsia"/>
              <w:lang w:val="en-US" w:eastAsia="zh-CN"/>
            </w:rPr>
            <w:fldChar w:fldCharType="end"/>
          </w:r>
        </w:p>
        <w:p w14:paraId="2E4521CF">
          <w:pPr>
            <w:pStyle w:val="16"/>
            <w:tabs>
              <w:tab w:val="right" w:leader="dot" w:pos="6831"/>
            </w:tabs>
          </w:pPr>
          <w:r>
            <w:rPr>
              <w:rFonts w:hint="eastAsia"/>
              <w:lang w:val="en-US" w:eastAsia="zh-CN"/>
            </w:rPr>
            <w:fldChar w:fldCharType="begin"/>
          </w:r>
          <w:r>
            <w:rPr>
              <w:rFonts w:hint="eastAsia"/>
              <w:lang w:val="en-US" w:eastAsia="zh-CN"/>
            </w:rPr>
            <w:instrText xml:space="preserve"> HYPERLINK \l _Toc16310 </w:instrText>
          </w:r>
          <w:r>
            <w:rPr>
              <w:rFonts w:hint="eastAsia"/>
              <w:lang w:val="en-US" w:eastAsia="zh-CN"/>
            </w:rPr>
            <w:fldChar w:fldCharType="separate"/>
          </w:r>
          <w:r>
            <w:rPr>
              <w:rFonts w:hint="eastAsia" w:ascii="宋体" w:hAnsi="宋体" w:eastAsia="宋体" w:cs="宋体"/>
              <w:bCs/>
              <w:kern w:val="44"/>
              <w:szCs w:val="30"/>
            </w:rPr>
            <w:t>第一节</w:t>
          </w:r>
          <w:r>
            <w:rPr>
              <w:rFonts w:hint="eastAsia" w:cs="宋体"/>
              <w:bCs/>
              <w:kern w:val="44"/>
              <w:szCs w:val="30"/>
              <w:lang w:val="en-US" w:eastAsia="zh-CN"/>
            </w:rPr>
            <w:t xml:space="preserve"> </w:t>
          </w:r>
          <w:r>
            <w:t>政府投资项目的管理特征</w:t>
          </w:r>
          <w:r>
            <w:tab/>
          </w:r>
          <w:r>
            <w:fldChar w:fldCharType="begin"/>
          </w:r>
          <w:r>
            <w:instrText xml:space="preserve"> PAGEREF _Toc16310 \h </w:instrText>
          </w:r>
          <w:r>
            <w:fldChar w:fldCharType="separate"/>
          </w:r>
          <w:r>
            <w:t>115</w:t>
          </w:r>
          <w:r>
            <w:fldChar w:fldCharType="end"/>
          </w:r>
          <w:r>
            <w:rPr>
              <w:rFonts w:hint="eastAsia"/>
              <w:lang w:val="en-US" w:eastAsia="zh-CN"/>
            </w:rPr>
            <w:fldChar w:fldCharType="end"/>
          </w:r>
        </w:p>
        <w:p w14:paraId="489541ED">
          <w:pPr>
            <w:pStyle w:val="16"/>
            <w:tabs>
              <w:tab w:val="right" w:leader="dot" w:pos="6831"/>
            </w:tabs>
          </w:pPr>
          <w:r>
            <w:rPr>
              <w:rFonts w:hint="eastAsia"/>
              <w:lang w:val="en-US" w:eastAsia="zh-CN"/>
            </w:rPr>
            <w:fldChar w:fldCharType="begin"/>
          </w:r>
          <w:r>
            <w:rPr>
              <w:rFonts w:hint="eastAsia"/>
              <w:lang w:val="en-US" w:eastAsia="zh-CN"/>
            </w:rPr>
            <w:instrText xml:space="preserve"> HYPERLINK \l _Toc23698 </w:instrText>
          </w:r>
          <w:r>
            <w:rPr>
              <w:rFonts w:hint="eastAsia"/>
              <w:lang w:val="en-US" w:eastAsia="zh-CN"/>
            </w:rPr>
            <w:fldChar w:fldCharType="separate"/>
          </w:r>
          <w:r>
            <w:rPr>
              <w:rFonts w:hint="eastAsia" w:ascii="宋体" w:hAnsi="宋体" w:eastAsia="宋体" w:cs="宋体"/>
              <w:bCs/>
              <w:kern w:val="44"/>
              <w:szCs w:val="30"/>
            </w:rPr>
            <w:t>第二节</w:t>
          </w:r>
          <w:r>
            <w:rPr>
              <w:rFonts w:hint="eastAsia" w:cs="宋体"/>
              <w:bCs/>
              <w:kern w:val="44"/>
              <w:szCs w:val="30"/>
              <w:lang w:val="en-US" w:eastAsia="zh-CN"/>
            </w:rPr>
            <w:t xml:space="preserve"> </w:t>
          </w:r>
          <w:r>
            <w:t>公共建筑项目的数字化组织</w:t>
          </w:r>
          <w:r>
            <w:tab/>
          </w:r>
          <w:r>
            <w:fldChar w:fldCharType="begin"/>
          </w:r>
          <w:r>
            <w:instrText xml:space="preserve"> PAGEREF _Toc23698 \h </w:instrText>
          </w:r>
          <w:r>
            <w:fldChar w:fldCharType="separate"/>
          </w:r>
          <w:r>
            <w:t>121</w:t>
          </w:r>
          <w:r>
            <w:fldChar w:fldCharType="end"/>
          </w:r>
          <w:r>
            <w:rPr>
              <w:rFonts w:hint="eastAsia"/>
              <w:lang w:val="en-US" w:eastAsia="zh-CN"/>
            </w:rPr>
            <w:fldChar w:fldCharType="end"/>
          </w:r>
        </w:p>
        <w:p w14:paraId="0CB08131">
          <w:pPr>
            <w:pStyle w:val="16"/>
            <w:tabs>
              <w:tab w:val="right" w:leader="dot" w:pos="6831"/>
            </w:tabs>
          </w:pPr>
          <w:r>
            <w:rPr>
              <w:rFonts w:hint="eastAsia"/>
              <w:lang w:val="en-US" w:eastAsia="zh-CN"/>
            </w:rPr>
            <w:fldChar w:fldCharType="begin"/>
          </w:r>
          <w:r>
            <w:rPr>
              <w:rFonts w:hint="eastAsia"/>
              <w:lang w:val="en-US" w:eastAsia="zh-CN"/>
            </w:rPr>
            <w:instrText xml:space="preserve"> HYPERLINK \l _Toc163 </w:instrText>
          </w:r>
          <w:r>
            <w:rPr>
              <w:rFonts w:hint="eastAsia"/>
              <w:lang w:val="en-US" w:eastAsia="zh-CN"/>
            </w:rPr>
            <w:fldChar w:fldCharType="separate"/>
          </w:r>
          <w:r>
            <w:rPr>
              <w:rFonts w:hint="eastAsia" w:ascii="宋体" w:hAnsi="宋体" w:eastAsia="宋体" w:cs="宋体"/>
              <w:bCs/>
              <w:kern w:val="44"/>
              <w:szCs w:val="30"/>
            </w:rPr>
            <w:t>第三节</w:t>
          </w:r>
          <w:r>
            <w:rPr>
              <w:rFonts w:hint="eastAsia" w:cs="宋体"/>
              <w:bCs/>
              <w:kern w:val="44"/>
              <w:szCs w:val="30"/>
              <w:lang w:val="en-US" w:eastAsia="zh-CN"/>
            </w:rPr>
            <w:t xml:space="preserve"> </w:t>
          </w:r>
          <w:r>
            <w:t>古建修复工程的数字化管理</w:t>
          </w:r>
          <w:r>
            <w:tab/>
          </w:r>
          <w:r>
            <w:fldChar w:fldCharType="begin"/>
          </w:r>
          <w:r>
            <w:instrText xml:space="preserve"> PAGEREF _Toc163 \h </w:instrText>
          </w:r>
          <w:r>
            <w:fldChar w:fldCharType="separate"/>
          </w:r>
          <w:r>
            <w:t>127</w:t>
          </w:r>
          <w:r>
            <w:fldChar w:fldCharType="end"/>
          </w:r>
          <w:r>
            <w:rPr>
              <w:rFonts w:hint="eastAsia"/>
              <w:lang w:val="en-US" w:eastAsia="zh-CN"/>
            </w:rPr>
            <w:fldChar w:fldCharType="end"/>
          </w:r>
        </w:p>
        <w:p w14:paraId="1D2D96D2">
          <w:pPr>
            <w:pStyle w:val="16"/>
            <w:tabs>
              <w:tab w:val="right" w:leader="dot" w:pos="6831"/>
            </w:tabs>
          </w:pPr>
          <w:r>
            <w:rPr>
              <w:rFonts w:hint="eastAsia"/>
              <w:lang w:val="en-US" w:eastAsia="zh-CN"/>
            </w:rPr>
            <w:fldChar w:fldCharType="begin"/>
          </w:r>
          <w:r>
            <w:rPr>
              <w:rFonts w:hint="eastAsia"/>
              <w:lang w:val="en-US" w:eastAsia="zh-CN"/>
            </w:rPr>
            <w:instrText xml:space="preserve"> HYPERLINK \l _Toc9457 </w:instrText>
          </w:r>
          <w:r>
            <w:rPr>
              <w:rFonts w:hint="eastAsia"/>
              <w:lang w:val="en-US" w:eastAsia="zh-CN"/>
            </w:rPr>
            <w:fldChar w:fldCharType="separate"/>
          </w:r>
          <w:r>
            <w:rPr>
              <w:rFonts w:hint="eastAsia" w:ascii="宋体" w:hAnsi="宋体" w:eastAsia="宋体" w:cs="宋体"/>
              <w:bCs/>
              <w:kern w:val="44"/>
              <w:szCs w:val="30"/>
            </w:rPr>
            <w:t>第四节</w:t>
          </w:r>
          <w:r>
            <w:rPr>
              <w:rFonts w:hint="eastAsia" w:cs="宋体"/>
              <w:bCs/>
              <w:kern w:val="44"/>
              <w:szCs w:val="30"/>
              <w:lang w:val="en-US" w:eastAsia="zh-CN"/>
            </w:rPr>
            <w:t xml:space="preserve"> </w:t>
          </w:r>
          <w:r>
            <w:t>市政交通与水利配套工程应用</w:t>
          </w:r>
          <w:r>
            <w:tab/>
          </w:r>
          <w:r>
            <w:fldChar w:fldCharType="begin"/>
          </w:r>
          <w:r>
            <w:instrText xml:space="preserve"> PAGEREF _Toc9457 \h </w:instrText>
          </w:r>
          <w:r>
            <w:fldChar w:fldCharType="separate"/>
          </w:r>
          <w:r>
            <w:t>132</w:t>
          </w:r>
          <w:r>
            <w:fldChar w:fldCharType="end"/>
          </w:r>
          <w:r>
            <w:rPr>
              <w:rFonts w:hint="eastAsia"/>
              <w:lang w:val="en-US" w:eastAsia="zh-CN"/>
            </w:rPr>
            <w:fldChar w:fldCharType="end"/>
          </w:r>
        </w:p>
        <w:p w14:paraId="1B8886CA">
          <w:pPr>
            <w:pStyle w:val="14"/>
            <w:tabs>
              <w:tab w:val="right" w:leader="dot" w:pos="6831"/>
            </w:tabs>
          </w:pPr>
          <w:r>
            <w:rPr>
              <w:rFonts w:hint="eastAsia"/>
              <w:lang w:val="en-US" w:eastAsia="zh-CN"/>
            </w:rPr>
            <w:fldChar w:fldCharType="begin"/>
          </w:r>
          <w:r>
            <w:rPr>
              <w:rFonts w:hint="eastAsia"/>
              <w:lang w:val="en-US" w:eastAsia="zh-CN"/>
            </w:rPr>
            <w:instrText xml:space="preserve"> HYPERLINK \l _Toc17718 </w:instrText>
          </w:r>
          <w:r>
            <w:rPr>
              <w:rFonts w:hint="eastAsia"/>
              <w:lang w:val="en-US" w:eastAsia="zh-CN"/>
            </w:rPr>
            <w:fldChar w:fldCharType="separate"/>
          </w:r>
          <w:r>
            <w:rPr>
              <w:rFonts w:hint="eastAsia" w:ascii="宋体" w:hAnsi="宋体" w:eastAsia="黑体" w:cs="宋体"/>
              <w:bCs/>
              <w:kern w:val="44"/>
              <w:szCs w:val="30"/>
            </w:rPr>
            <w:t>第七章</w:t>
          </w:r>
          <w:r>
            <w:rPr>
              <w:rFonts w:hint="eastAsia" w:cs="宋体"/>
              <w:bCs/>
              <w:kern w:val="44"/>
              <w:szCs w:val="30"/>
              <w:lang w:val="en-US" w:eastAsia="zh-CN"/>
            </w:rPr>
            <w:t xml:space="preserve"> </w:t>
          </w:r>
          <w:r>
            <w:t>工地空间感知与测绘联动应用</w:t>
          </w:r>
          <w:r>
            <w:tab/>
          </w:r>
          <w:r>
            <w:fldChar w:fldCharType="begin"/>
          </w:r>
          <w:r>
            <w:instrText xml:space="preserve"> PAGEREF _Toc17718 \h </w:instrText>
          </w:r>
          <w:r>
            <w:fldChar w:fldCharType="separate"/>
          </w:r>
          <w:r>
            <w:t>139</w:t>
          </w:r>
          <w:r>
            <w:fldChar w:fldCharType="end"/>
          </w:r>
          <w:r>
            <w:rPr>
              <w:rFonts w:hint="eastAsia"/>
              <w:lang w:val="en-US" w:eastAsia="zh-CN"/>
            </w:rPr>
            <w:fldChar w:fldCharType="end"/>
          </w:r>
        </w:p>
        <w:p w14:paraId="4E1EA6EF">
          <w:pPr>
            <w:pStyle w:val="16"/>
            <w:tabs>
              <w:tab w:val="right" w:leader="dot" w:pos="6831"/>
            </w:tabs>
          </w:pPr>
          <w:r>
            <w:rPr>
              <w:rFonts w:hint="eastAsia"/>
              <w:lang w:val="en-US" w:eastAsia="zh-CN"/>
            </w:rPr>
            <w:fldChar w:fldCharType="begin"/>
          </w:r>
          <w:r>
            <w:rPr>
              <w:rFonts w:hint="eastAsia"/>
              <w:lang w:val="en-US" w:eastAsia="zh-CN"/>
            </w:rPr>
            <w:instrText xml:space="preserve"> HYPERLINK \l _Toc16585 </w:instrText>
          </w:r>
          <w:r>
            <w:rPr>
              <w:rFonts w:hint="eastAsia"/>
              <w:lang w:val="en-US" w:eastAsia="zh-CN"/>
            </w:rPr>
            <w:fldChar w:fldCharType="separate"/>
          </w:r>
          <w:r>
            <w:rPr>
              <w:rFonts w:hint="eastAsia" w:ascii="宋体" w:hAnsi="宋体" w:eastAsia="宋体" w:cs="宋体"/>
              <w:bCs/>
              <w:kern w:val="44"/>
              <w:szCs w:val="30"/>
            </w:rPr>
            <w:t>第一节</w:t>
          </w:r>
          <w:r>
            <w:rPr>
              <w:rFonts w:hint="eastAsia" w:cs="宋体"/>
              <w:bCs/>
              <w:kern w:val="44"/>
              <w:szCs w:val="30"/>
              <w:lang w:val="en-US" w:eastAsia="zh-CN"/>
            </w:rPr>
            <w:t xml:space="preserve"> </w:t>
          </w:r>
          <w:r>
            <w:t>空间数据获取与测绘表达</w:t>
          </w:r>
          <w:r>
            <w:tab/>
          </w:r>
          <w:r>
            <w:fldChar w:fldCharType="begin"/>
          </w:r>
          <w:r>
            <w:instrText xml:space="preserve"> PAGEREF _Toc16585 \h </w:instrText>
          </w:r>
          <w:r>
            <w:fldChar w:fldCharType="separate"/>
          </w:r>
          <w:r>
            <w:t>139</w:t>
          </w:r>
          <w:r>
            <w:fldChar w:fldCharType="end"/>
          </w:r>
          <w:r>
            <w:rPr>
              <w:rFonts w:hint="eastAsia"/>
              <w:lang w:val="en-US" w:eastAsia="zh-CN"/>
            </w:rPr>
            <w:fldChar w:fldCharType="end"/>
          </w:r>
        </w:p>
        <w:p w14:paraId="330881B5">
          <w:pPr>
            <w:pStyle w:val="16"/>
            <w:tabs>
              <w:tab w:val="right" w:leader="dot" w:pos="6831"/>
            </w:tabs>
          </w:pPr>
          <w:r>
            <w:rPr>
              <w:rFonts w:hint="eastAsia"/>
              <w:lang w:val="en-US" w:eastAsia="zh-CN"/>
            </w:rPr>
            <w:fldChar w:fldCharType="begin"/>
          </w:r>
          <w:r>
            <w:rPr>
              <w:rFonts w:hint="eastAsia"/>
              <w:lang w:val="en-US" w:eastAsia="zh-CN"/>
            </w:rPr>
            <w:instrText xml:space="preserve"> HYPERLINK \l _Toc27938 </w:instrText>
          </w:r>
          <w:r>
            <w:rPr>
              <w:rFonts w:hint="eastAsia"/>
              <w:lang w:val="en-US" w:eastAsia="zh-CN"/>
            </w:rPr>
            <w:fldChar w:fldCharType="separate"/>
          </w:r>
          <w:r>
            <w:rPr>
              <w:rFonts w:hint="eastAsia" w:ascii="宋体" w:hAnsi="宋体" w:eastAsia="宋体" w:cs="宋体"/>
              <w:bCs/>
              <w:kern w:val="44"/>
              <w:szCs w:val="30"/>
            </w:rPr>
            <w:t>第二节</w:t>
          </w:r>
          <w:r>
            <w:rPr>
              <w:rFonts w:hint="eastAsia" w:cs="宋体"/>
              <w:bCs/>
              <w:kern w:val="44"/>
              <w:szCs w:val="30"/>
              <w:lang w:val="en-US" w:eastAsia="zh-CN"/>
            </w:rPr>
            <w:t xml:space="preserve"> </w:t>
          </w:r>
          <w:r>
            <w:t>现场三维感知与模型重构</w:t>
          </w:r>
          <w:r>
            <w:tab/>
          </w:r>
          <w:r>
            <w:fldChar w:fldCharType="begin"/>
          </w:r>
          <w:r>
            <w:instrText xml:space="preserve"> PAGEREF _Toc27938 \h </w:instrText>
          </w:r>
          <w:r>
            <w:fldChar w:fldCharType="separate"/>
          </w:r>
          <w:r>
            <w:t>143</w:t>
          </w:r>
          <w:r>
            <w:fldChar w:fldCharType="end"/>
          </w:r>
          <w:r>
            <w:rPr>
              <w:rFonts w:hint="eastAsia"/>
              <w:lang w:val="en-US" w:eastAsia="zh-CN"/>
            </w:rPr>
            <w:fldChar w:fldCharType="end"/>
          </w:r>
        </w:p>
        <w:p w14:paraId="1A521085">
          <w:pPr>
            <w:pStyle w:val="16"/>
            <w:tabs>
              <w:tab w:val="right" w:leader="dot" w:pos="6831"/>
            </w:tabs>
          </w:pPr>
          <w:r>
            <w:rPr>
              <w:rFonts w:hint="eastAsia"/>
              <w:lang w:val="en-US" w:eastAsia="zh-CN"/>
            </w:rPr>
            <w:fldChar w:fldCharType="begin"/>
          </w:r>
          <w:r>
            <w:rPr>
              <w:rFonts w:hint="eastAsia"/>
              <w:lang w:val="en-US" w:eastAsia="zh-CN"/>
            </w:rPr>
            <w:instrText xml:space="preserve"> HYPERLINK \l _Toc11856 </w:instrText>
          </w:r>
          <w:r>
            <w:rPr>
              <w:rFonts w:hint="eastAsia"/>
              <w:lang w:val="en-US" w:eastAsia="zh-CN"/>
            </w:rPr>
            <w:fldChar w:fldCharType="separate"/>
          </w:r>
          <w:r>
            <w:rPr>
              <w:rFonts w:hint="eastAsia" w:ascii="宋体" w:hAnsi="宋体" w:eastAsia="宋体" w:cs="宋体"/>
              <w:bCs/>
              <w:kern w:val="44"/>
              <w:szCs w:val="30"/>
            </w:rPr>
            <w:t>第三节</w:t>
          </w:r>
          <w:r>
            <w:rPr>
              <w:rFonts w:hint="eastAsia" w:cs="宋体"/>
              <w:bCs/>
              <w:kern w:val="44"/>
              <w:szCs w:val="30"/>
              <w:lang w:val="en-US" w:eastAsia="zh-CN"/>
            </w:rPr>
            <w:t xml:space="preserve"> </w:t>
          </w:r>
          <w:r>
            <w:t>人员设备定位与环境监测</w:t>
          </w:r>
          <w:r>
            <w:tab/>
          </w:r>
          <w:r>
            <w:fldChar w:fldCharType="begin"/>
          </w:r>
          <w:r>
            <w:instrText xml:space="preserve"> PAGEREF _Toc11856 \h </w:instrText>
          </w:r>
          <w:r>
            <w:fldChar w:fldCharType="separate"/>
          </w:r>
          <w:r>
            <w:t>148</w:t>
          </w:r>
          <w:r>
            <w:fldChar w:fldCharType="end"/>
          </w:r>
          <w:r>
            <w:rPr>
              <w:rFonts w:hint="eastAsia"/>
              <w:lang w:val="en-US" w:eastAsia="zh-CN"/>
            </w:rPr>
            <w:fldChar w:fldCharType="end"/>
          </w:r>
        </w:p>
        <w:p w14:paraId="1E2D127D">
          <w:pPr>
            <w:pStyle w:val="16"/>
            <w:tabs>
              <w:tab w:val="right" w:leader="dot" w:pos="6831"/>
            </w:tabs>
          </w:pPr>
          <w:r>
            <w:rPr>
              <w:rFonts w:hint="eastAsia"/>
              <w:lang w:val="en-US" w:eastAsia="zh-CN"/>
            </w:rPr>
            <w:fldChar w:fldCharType="begin"/>
          </w:r>
          <w:r>
            <w:rPr>
              <w:rFonts w:hint="eastAsia"/>
              <w:lang w:val="en-US" w:eastAsia="zh-CN"/>
            </w:rPr>
            <w:instrText xml:space="preserve"> HYPERLINK \l _Toc28104 </w:instrText>
          </w:r>
          <w:r>
            <w:rPr>
              <w:rFonts w:hint="eastAsia"/>
              <w:lang w:val="en-US" w:eastAsia="zh-CN"/>
            </w:rPr>
            <w:fldChar w:fldCharType="separate"/>
          </w:r>
          <w:r>
            <w:rPr>
              <w:rFonts w:hint="eastAsia" w:ascii="宋体" w:hAnsi="宋体" w:eastAsia="宋体" w:cs="宋体"/>
              <w:bCs/>
              <w:kern w:val="44"/>
              <w:szCs w:val="30"/>
            </w:rPr>
            <w:t>第四节</w:t>
          </w:r>
          <w:r>
            <w:rPr>
              <w:rFonts w:hint="eastAsia" w:cs="宋体"/>
              <w:bCs/>
              <w:kern w:val="44"/>
              <w:szCs w:val="30"/>
              <w:lang w:val="en-US" w:eastAsia="zh-CN"/>
            </w:rPr>
            <w:t xml:space="preserve"> </w:t>
          </w:r>
          <w:r>
            <w:t>空间信息支持下的现场优化</w:t>
          </w:r>
          <w:r>
            <w:tab/>
          </w:r>
          <w:r>
            <w:fldChar w:fldCharType="begin"/>
          </w:r>
          <w:r>
            <w:instrText xml:space="preserve"> PAGEREF _Toc28104 \h </w:instrText>
          </w:r>
          <w:r>
            <w:fldChar w:fldCharType="separate"/>
          </w:r>
          <w:r>
            <w:t>155</w:t>
          </w:r>
          <w:r>
            <w:fldChar w:fldCharType="end"/>
          </w:r>
          <w:r>
            <w:rPr>
              <w:rFonts w:hint="eastAsia"/>
              <w:lang w:val="en-US" w:eastAsia="zh-CN"/>
            </w:rPr>
            <w:fldChar w:fldCharType="end"/>
          </w:r>
        </w:p>
        <w:p w14:paraId="536356FC">
          <w:pPr>
            <w:pStyle w:val="14"/>
            <w:tabs>
              <w:tab w:val="right" w:leader="dot" w:pos="6831"/>
            </w:tabs>
          </w:pPr>
          <w:r>
            <w:rPr>
              <w:rFonts w:hint="eastAsia"/>
              <w:lang w:val="en-US" w:eastAsia="zh-CN"/>
            </w:rPr>
            <w:fldChar w:fldCharType="begin"/>
          </w:r>
          <w:r>
            <w:rPr>
              <w:rFonts w:hint="eastAsia"/>
              <w:lang w:val="en-US" w:eastAsia="zh-CN"/>
            </w:rPr>
            <w:instrText xml:space="preserve"> HYPERLINK \l _Toc25929 </w:instrText>
          </w:r>
          <w:r>
            <w:rPr>
              <w:rFonts w:hint="eastAsia"/>
              <w:lang w:val="en-US" w:eastAsia="zh-CN"/>
            </w:rPr>
            <w:fldChar w:fldCharType="separate"/>
          </w:r>
          <w:r>
            <w:rPr>
              <w:rFonts w:hint="eastAsia"/>
            </w:rPr>
            <w:t>第八章 竣工交付监管评价与持续优化</w:t>
          </w:r>
          <w:r>
            <w:tab/>
          </w:r>
          <w:r>
            <w:fldChar w:fldCharType="begin"/>
          </w:r>
          <w:r>
            <w:instrText xml:space="preserve"> PAGEREF _Toc25929 \h </w:instrText>
          </w:r>
          <w:r>
            <w:fldChar w:fldCharType="separate"/>
          </w:r>
          <w:r>
            <w:t>161</w:t>
          </w:r>
          <w:r>
            <w:fldChar w:fldCharType="end"/>
          </w:r>
          <w:r>
            <w:rPr>
              <w:rFonts w:hint="eastAsia"/>
              <w:lang w:val="en-US" w:eastAsia="zh-CN"/>
            </w:rPr>
            <w:fldChar w:fldCharType="end"/>
          </w:r>
        </w:p>
        <w:p w14:paraId="76729DFC">
          <w:pPr>
            <w:pStyle w:val="16"/>
            <w:tabs>
              <w:tab w:val="right" w:leader="dot" w:pos="6831"/>
            </w:tabs>
          </w:pPr>
          <w:r>
            <w:rPr>
              <w:rFonts w:hint="eastAsia"/>
              <w:lang w:val="en-US" w:eastAsia="zh-CN"/>
            </w:rPr>
            <w:fldChar w:fldCharType="begin"/>
          </w:r>
          <w:r>
            <w:rPr>
              <w:rFonts w:hint="eastAsia"/>
              <w:lang w:val="en-US" w:eastAsia="zh-CN"/>
            </w:rPr>
            <w:instrText xml:space="preserve"> HYPERLINK \l _Toc24640 </w:instrText>
          </w:r>
          <w:r>
            <w:rPr>
              <w:rFonts w:hint="eastAsia"/>
              <w:lang w:val="en-US" w:eastAsia="zh-CN"/>
            </w:rPr>
            <w:fldChar w:fldCharType="separate"/>
          </w:r>
          <w:r>
            <w:rPr>
              <w:rFonts w:hint="eastAsia" w:ascii="宋体" w:hAnsi="宋体" w:eastAsia="宋体" w:cs="宋体"/>
              <w:bCs/>
              <w:kern w:val="44"/>
              <w:szCs w:val="30"/>
            </w:rPr>
            <w:t>第一节</w:t>
          </w:r>
          <w:r>
            <w:rPr>
              <w:rFonts w:hint="eastAsia" w:cs="宋体"/>
              <w:bCs/>
              <w:kern w:val="44"/>
              <w:szCs w:val="30"/>
              <w:lang w:val="en-US" w:eastAsia="zh-CN"/>
            </w:rPr>
            <w:t xml:space="preserve"> </w:t>
          </w:r>
          <w:r>
            <w:t>竣工档案与交付资料管理</w:t>
          </w:r>
          <w:r>
            <w:tab/>
          </w:r>
          <w:r>
            <w:fldChar w:fldCharType="begin"/>
          </w:r>
          <w:r>
            <w:instrText xml:space="preserve"> PAGEREF _Toc24640 \h </w:instrText>
          </w:r>
          <w:r>
            <w:fldChar w:fldCharType="separate"/>
          </w:r>
          <w:r>
            <w:t>161</w:t>
          </w:r>
          <w:r>
            <w:fldChar w:fldCharType="end"/>
          </w:r>
          <w:r>
            <w:rPr>
              <w:rFonts w:hint="eastAsia"/>
              <w:lang w:val="en-US" w:eastAsia="zh-CN"/>
            </w:rPr>
            <w:fldChar w:fldCharType="end"/>
          </w:r>
        </w:p>
        <w:p w14:paraId="52599DB4">
          <w:pPr>
            <w:pStyle w:val="16"/>
            <w:tabs>
              <w:tab w:val="right" w:leader="dot" w:pos="6831"/>
            </w:tabs>
          </w:pPr>
          <w:r>
            <w:rPr>
              <w:rFonts w:hint="eastAsia"/>
              <w:lang w:val="en-US" w:eastAsia="zh-CN"/>
            </w:rPr>
            <w:fldChar w:fldCharType="begin"/>
          </w:r>
          <w:r>
            <w:rPr>
              <w:rFonts w:hint="eastAsia"/>
              <w:lang w:val="en-US" w:eastAsia="zh-CN"/>
            </w:rPr>
            <w:instrText xml:space="preserve"> HYPERLINK \l _Toc344 </w:instrText>
          </w:r>
          <w:r>
            <w:rPr>
              <w:rFonts w:hint="eastAsia"/>
              <w:lang w:val="en-US" w:eastAsia="zh-CN"/>
            </w:rPr>
            <w:fldChar w:fldCharType="separate"/>
          </w:r>
          <w:r>
            <w:rPr>
              <w:rFonts w:hint="eastAsia" w:ascii="宋体" w:hAnsi="宋体" w:eastAsia="宋体" w:cs="宋体"/>
              <w:bCs/>
              <w:kern w:val="44"/>
              <w:szCs w:val="30"/>
            </w:rPr>
            <w:t>第二节</w:t>
          </w:r>
          <w:r>
            <w:rPr>
              <w:rFonts w:hint="eastAsia" w:cs="宋体"/>
              <w:bCs/>
              <w:kern w:val="44"/>
              <w:szCs w:val="30"/>
              <w:lang w:val="en-US" w:eastAsia="zh-CN"/>
            </w:rPr>
            <w:t xml:space="preserve"> </w:t>
          </w:r>
          <w:r>
            <w:t>竣工验收的数字化支撑</w:t>
          </w:r>
          <w:r>
            <w:tab/>
          </w:r>
          <w:r>
            <w:fldChar w:fldCharType="begin"/>
          </w:r>
          <w:r>
            <w:instrText xml:space="preserve"> PAGEREF _Toc344 \h </w:instrText>
          </w:r>
          <w:r>
            <w:fldChar w:fldCharType="separate"/>
          </w:r>
          <w:r>
            <w:t>166</w:t>
          </w:r>
          <w:r>
            <w:fldChar w:fldCharType="end"/>
          </w:r>
          <w:r>
            <w:rPr>
              <w:rFonts w:hint="eastAsia"/>
              <w:lang w:val="en-US" w:eastAsia="zh-CN"/>
            </w:rPr>
            <w:fldChar w:fldCharType="end"/>
          </w:r>
        </w:p>
        <w:p w14:paraId="7DB6D7AC">
          <w:pPr>
            <w:pStyle w:val="16"/>
            <w:tabs>
              <w:tab w:val="right" w:leader="dot" w:pos="6831"/>
            </w:tabs>
          </w:pPr>
          <w:r>
            <w:rPr>
              <w:rFonts w:hint="eastAsia"/>
              <w:lang w:val="en-US" w:eastAsia="zh-CN"/>
            </w:rPr>
            <w:fldChar w:fldCharType="begin"/>
          </w:r>
          <w:r>
            <w:rPr>
              <w:rFonts w:hint="eastAsia"/>
              <w:lang w:val="en-US" w:eastAsia="zh-CN"/>
            </w:rPr>
            <w:instrText xml:space="preserve"> HYPERLINK \l _Toc1218 </w:instrText>
          </w:r>
          <w:r>
            <w:rPr>
              <w:rFonts w:hint="eastAsia"/>
              <w:lang w:val="en-US" w:eastAsia="zh-CN"/>
            </w:rPr>
            <w:fldChar w:fldCharType="separate"/>
          </w:r>
          <w:r>
            <w:rPr>
              <w:rFonts w:hint="eastAsia" w:ascii="宋体" w:hAnsi="宋体" w:eastAsia="宋体" w:cs="宋体"/>
              <w:bCs/>
              <w:kern w:val="44"/>
              <w:szCs w:val="30"/>
            </w:rPr>
            <w:t>第三节</w:t>
          </w:r>
          <w:r>
            <w:rPr>
              <w:rFonts w:hint="eastAsia" w:cs="宋体"/>
              <w:bCs/>
              <w:kern w:val="44"/>
              <w:szCs w:val="30"/>
              <w:lang w:val="en-US" w:eastAsia="zh-CN"/>
            </w:rPr>
            <w:t xml:space="preserve"> </w:t>
          </w:r>
          <w:r>
            <w:t>智慧工地监管评价体系</w:t>
          </w:r>
          <w:r>
            <w:tab/>
          </w:r>
          <w:r>
            <w:fldChar w:fldCharType="begin"/>
          </w:r>
          <w:r>
            <w:instrText xml:space="preserve"> PAGEREF _Toc1218 \h </w:instrText>
          </w:r>
          <w:r>
            <w:fldChar w:fldCharType="separate"/>
          </w:r>
          <w:r>
            <w:t>170</w:t>
          </w:r>
          <w:r>
            <w:fldChar w:fldCharType="end"/>
          </w:r>
          <w:r>
            <w:rPr>
              <w:rFonts w:hint="eastAsia"/>
              <w:lang w:val="en-US" w:eastAsia="zh-CN"/>
            </w:rPr>
            <w:fldChar w:fldCharType="end"/>
          </w:r>
        </w:p>
        <w:p w14:paraId="76EAEC03">
          <w:pPr>
            <w:pStyle w:val="16"/>
            <w:tabs>
              <w:tab w:val="right" w:leader="dot" w:pos="6831"/>
            </w:tabs>
          </w:pPr>
          <w:r>
            <w:rPr>
              <w:rFonts w:hint="eastAsia"/>
              <w:lang w:val="en-US" w:eastAsia="zh-CN"/>
            </w:rPr>
            <w:fldChar w:fldCharType="begin"/>
          </w:r>
          <w:r>
            <w:rPr>
              <w:rFonts w:hint="eastAsia"/>
              <w:lang w:val="en-US" w:eastAsia="zh-CN"/>
            </w:rPr>
            <w:instrText xml:space="preserve"> HYPERLINK \l _Toc12385 </w:instrText>
          </w:r>
          <w:r>
            <w:rPr>
              <w:rFonts w:hint="eastAsia"/>
              <w:lang w:val="en-US" w:eastAsia="zh-CN"/>
            </w:rPr>
            <w:fldChar w:fldCharType="separate"/>
          </w:r>
          <w:r>
            <w:rPr>
              <w:rFonts w:hint="eastAsia" w:ascii="宋体" w:hAnsi="宋体" w:eastAsia="宋体" w:cs="宋体"/>
              <w:bCs/>
              <w:kern w:val="44"/>
              <w:szCs w:val="30"/>
            </w:rPr>
            <w:t>第四节</w:t>
          </w:r>
          <w:r>
            <w:rPr>
              <w:rFonts w:hint="eastAsia" w:cs="宋体"/>
              <w:bCs/>
              <w:kern w:val="44"/>
              <w:szCs w:val="30"/>
              <w:lang w:val="en-US" w:eastAsia="zh-CN"/>
            </w:rPr>
            <w:t xml:space="preserve"> </w:t>
          </w:r>
          <w:r>
            <w:t>建设成效复盘与持续优化</w:t>
          </w:r>
          <w:r>
            <w:tab/>
          </w:r>
          <w:r>
            <w:fldChar w:fldCharType="begin"/>
          </w:r>
          <w:r>
            <w:instrText xml:space="preserve"> PAGEREF _Toc12385 \h </w:instrText>
          </w:r>
          <w:r>
            <w:fldChar w:fldCharType="separate"/>
          </w:r>
          <w:r>
            <w:t>176</w:t>
          </w:r>
          <w:r>
            <w:fldChar w:fldCharType="end"/>
          </w:r>
          <w:r>
            <w:rPr>
              <w:rFonts w:hint="eastAsia"/>
              <w:lang w:val="en-US" w:eastAsia="zh-CN"/>
            </w:rPr>
            <w:fldChar w:fldCharType="end"/>
          </w:r>
        </w:p>
        <w:p w14:paraId="0AC2445F">
          <w:pPr>
            <w:pStyle w:val="14"/>
            <w:tabs>
              <w:tab w:val="right" w:leader="dot" w:pos="6831"/>
            </w:tabs>
          </w:pPr>
          <w:r>
            <w:rPr>
              <w:rFonts w:hint="eastAsia"/>
              <w:lang w:val="en-US" w:eastAsia="zh-CN"/>
            </w:rPr>
            <w:fldChar w:fldCharType="begin"/>
          </w:r>
          <w:r>
            <w:rPr>
              <w:rFonts w:hint="eastAsia"/>
              <w:lang w:val="en-US" w:eastAsia="zh-CN"/>
            </w:rPr>
            <w:instrText xml:space="preserve"> HYPERLINK \l _Toc3619 </w:instrText>
          </w:r>
          <w:r>
            <w:rPr>
              <w:rFonts w:hint="eastAsia"/>
              <w:lang w:val="en-US" w:eastAsia="zh-CN"/>
            </w:rPr>
            <w:fldChar w:fldCharType="separate"/>
          </w:r>
          <w:r>
            <w:t>结语</w:t>
          </w:r>
          <w:r>
            <w:tab/>
          </w:r>
          <w:r>
            <w:fldChar w:fldCharType="begin"/>
          </w:r>
          <w:r>
            <w:instrText xml:space="preserve"> PAGEREF _Toc3619 \h </w:instrText>
          </w:r>
          <w:r>
            <w:fldChar w:fldCharType="separate"/>
          </w:r>
          <w:r>
            <w:t>183</w:t>
          </w:r>
          <w:r>
            <w:fldChar w:fldCharType="end"/>
          </w:r>
          <w:r>
            <w:rPr>
              <w:rFonts w:hint="eastAsia"/>
              <w:lang w:val="en-US" w:eastAsia="zh-CN"/>
            </w:rPr>
            <w:fldChar w:fldCharType="end"/>
          </w:r>
        </w:p>
        <w:p w14:paraId="0CA280B8">
          <w:pPr>
            <w:pStyle w:val="14"/>
            <w:tabs>
              <w:tab w:val="right" w:leader="dot" w:pos="6831"/>
            </w:tabs>
          </w:pPr>
          <w:r>
            <w:rPr>
              <w:rFonts w:hint="eastAsia"/>
              <w:lang w:val="en-US" w:eastAsia="zh-CN"/>
            </w:rPr>
            <w:fldChar w:fldCharType="begin"/>
          </w:r>
          <w:r>
            <w:rPr>
              <w:rFonts w:hint="eastAsia"/>
              <w:lang w:val="en-US" w:eastAsia="zh-CN"/>
            </w:rPr>
            <w:instrText xml:space="preserve"> HYPERLINK \l _Toc3181 </w:instrText>
          </w:r>
          <w:r>
            <w:rPr>
              <w:rFonts w:hint="eastAsia"/>
              <w:lang w:val="en-US" w:eastAsia="zh-CN"/>
            </w:rPr>
            <w:fldChar w:fldCharType="separate"/>
          </w:r>
          <w:r>
            <w:t>参考文献</w:t>
          </w:r>
          <w:r>
            <w:tab/>
          </w:r>
          <w:r>
            <w:fldChar w:fldCharType="begin"/>
          </w:r>
          <w:r>
            <w:instrText xml:space="preserve"> PAGEREF _Toc3181 \h </w:instrText>
          </w:r>
          <w:r>
            <w:fldChar w:fldCharType="separate"/>
          </w:r>
          <w:r>
            <w:t>185</w:t>
          </w:r>
          <w:r>
            <w:fldChar w:fldCharType="end"/>
          </w:r>
          <w:r>
            <w:rPr>
              <w:rFonts w:hint="eastAsia"/>
              <w:lang w:val="en-US" w:eastAsia="zh-CN"/>
            </w:rPr>
            <w:fldChar w:fldCharType="end"/>
          </w:r>
        </w:p>
        <w:p w14:paraId="203ABE82">
          <w:pPr>
            <w:rPr>
              <w:rFonts w:hint="eastAsia" w:ascii="Arial" w:hAnsi="Arial" w:eastAsia="黑体" w:cstheme="minorBidi"/>
              <w:kern w:val="2"/>
              <w:sz w:val="21"/>
              <w:szCs w:val="24"/>
              <w:lang w:val="en-US" w:eastAsia="zh-CN" w:bidi="ar-SA"/>
            </w:rPr>
          </w:pPr>
          <w:r>
            <w:rPr>
              <w:rFonts w:hint="eastAsia"/>
              <w:lang w:val="en-US" w:eastAsia="zh-CN"/>
            </w:rPr>
            <w:fldChar w:fldCharType="end"/>
          </w:r>
        </w:p>
      </w:sdtContent>
    </w:sdt>
    <w:p w14:paraId="1648A129">
      <w:pPr>
        <w:rPr>
          <w:rFonts w:hint="eastAsia" w:ascii="Arial" w:hAnsi="Arial" w:eastAsia="黑体" w:cstheme="minorBidi"/>
          <w:kern w:val="2"/>
          <w:sz w:val="21"/>
          <w:szCs w:val="24"/>
          <w:lang w:val="en-US" w:eastAsia="zh-CN" w:bidi="ar-SA"/>
        </w:rPr>
        <w:sectPr>
          <w:pgSz w:w="10431" w:h="14740"/>
          <w:pgMar w:top="1440" w:right="1800" w:bottom="1440" w:left="1800" w:header="851" w:footer="992" w:gutter="0"/>
          <w:pgNumType w:fmt="upperRoman"/>
          <w:cols w:space="425" w:num="1"/>
          <w:docGrid w:type="lines" w:linePitch="312" w:charSpace="0"/>
        </w:sectPr>
      </w:pPr>
    </w:p>
    <w:p w14:paraId="3D87CD97">
      <w:pPr>
        <w:pStyle w:val="2"/>
        <w:numPr>
          <w:ilvl w:val="0"/>
          <w:numId w:val="0"/>
        </w:numPr>
        <w:ind w:left="0" w:leftChars="0" w:firstLine="0" w:firstLineChars="0"/>
        <w:rPr>
          <w:b/>
        </w:rPr>
      </w:pPr>
      <w:bookmarkStart w:id="2" w:name="_Toc15741"/>
      <w:r>
        <w:rPr>
          <w:rFonts w:hint="eastAsia" w:ascii="宋体" w:hAnsi="宋体" w:eastAsia="黑体" w:cs="宋体"/>
          <w:b/>
          <w:bCs/>
          <w:kern w:val="44"/>
          <w:sz w:val="40"/>
          <w:szCs w:val="30"/>
        </w:rPr>
        <w:t>第一章</w:t>
      </w:r>
      <w:r>
        <w:rPr>
          <w:rFonts w:hint="eastAsia" w:cs="宋体"/>
          <w:b/>
          <w:bCs/>
          <w:kern w:val="44"/>
          <w:sz w:val="40"/>
          <w:szCs w:val="30"/>
          <w:lang w:val="en-US" w:eastAsia="zh-CN"/>
        </w:rPr>
        <w:t xml:space="preserve"> </w:t>
      </w:r>
      <w:r>
        <w:t>智慧工地的生成逻辑与价值定位</w:t>
      </w:r>
      <w:bookmarkEnd w:id="2"/>
    </w:p>
    <w:p w14:paraId="35E6E392">
      <w:pPr>
        <w:pStyle w:val="3"/>
        <w:numPr>
          <w:ilvl w:val="0"/>
          <w:numId w:val="0"/>
        </w:numPr>
        <w:ind w:left="0" w:leftChars="0" w:firstLine="0" w:firstLineChars="0"/>
        <w:rPr>
          <w:b/>
        </w:rPr>
      </w:pPr>
      <w:bookmarkStart w:id="3" w:name="_Toc9449"/>
      <w:r>
        <w:rPr>
          <w:rFonts w:hint="eastAsia" w:ascii="宋体" w:hAnsi="宋体" w:eastAsia="黑体" w:cs="宋体"/>
          <w:b/>
          <w:bCs/>
          <w:kern w:val="44"/>
          <w:sz w:val="30"/>
          <w:szCs w:val="30"/>
        </w:rPr>
        <w:t>第一节</w:t>
      </w:r>
      <w:r>
        <w:rPr>
          <w:rFonts w:hint="eastAsia" w:cs="宋体"/>
          <w:b/>
          <w:bCs/>
          <w:kern w:val="44"/>
          <w:sz w:val="30"/>
          <w:szCs w:val="30"/>
          <w:lang w:val="en-US" w:eastAsia="zh-CN"/>
        </w:rPr>
        <w:t xml:space="preserve"> </w:t>
      </w:r>
      <w:r>
        <w:t>建筑业数字化转型的现实背景</w:t>
      </w:r>
      <w:bookmarkEnd w:id="3"/>
    </w:p>
    <w:p w14:paraId="07773789">
      <w:pPr>
        <w:pStyle w:val="4"/>
        <w:bidi w:val="0"/>
        <w:rPr>
          <w:rFonts w:hint="eastAsia"/>
        </w:rPr>
      </w:pPr>
      <w:r>
        <w:rPr>
          <w:rFonts w:hint="eastAsia"/>
        </w:rPr>
        <w:t>一、工程建造方式演进的外部驱动</w:t>
      </w:r>
    </w:p>
    <w:p w14:paraId="6F11172C">
      <w:pPr>
        <w:pStyle w:val="11"/>
        <w:rPr>
          <w:rFonts w:hint="eastAsia" w:ascii="Times New Roman" w:hAnsi="Calibri" w:eastAsia="宋体" w:cs="Times New Roman"/>
          <w:sz w:val="21"/>
        </w:rPr>
      </w:pPr>
      <w:r>
        <w:rPr>
          <w:rFonts w:hint="eastAsia" w:ascii="Times New Roman" w:hAnsi="Calibri" w:eastAsia="宋体" w:cs="Times New Roman"/>
          <w:sz w:val="21"/>
        </w:rPr>
        <w:t>（一）城镇建设需求持续升级</w:t>
      </w:r>
    </w:p>
    <w:p w14:paraId="26946A89">
      <w:pPr>
        <w:pStyle w:val="11"/>
        <w:rPr>
          <w:rFonts w:hint="eastAsia" w:ascii="Times New Roman" w:hAnsi="Calibri" w:eastAsia="宋体" w:cs="Times New Roman"/>
          <w:sz w:val="21"/>
        </w:rPr>
      </w:pPr>
      <w:r>
        <w:rPr>
          <w:rFonts w:hint="eastAsia" w:ascii="Times New Roman" w:hAnsi="Calibri" w:eastAsia="宋体" w:cs="Times New Roman"/>
          <w:sz w:val="21"/>
        </w:rPr>
        <w:t>建筑业建造方式的变化，始终与城市发展阶段、公共服务需求和投资结构调整密切相关。过去较长时期内，工程建设主要服务于规模扩张，项目组织强调速度、体量和交付数量，现场管理也更多围绕资源集中投入和节点推进展开。进入高质量发展阶段后，建设重点逐步由增量扩张转向存量优化，由单一建设转向功能复合、品质提升和运营衔接并重，工程项目的复杂性明显提高。城市更新、公共建筑和产业园区建设不断增多，施工现场面对的不再只是实体建造任务，还要同时处理空间品质、绿色低碳、使用安全和后期运维衔接等要求，管理对象和控制环节随之增多。智慧工地正是在这种背景下进入行业视野，它并不是技术自我扩张的结果，而是工程复杂性上升后现场治理方式的一种现实回应。</w:t>
      </w:r>
    </w:p>
    <w:p w14:paraId="55EC4E3F">
      <w:pPr>
        <w:pStyle w:val="11"/>
        <w:rPr>
          <w:rFonts w:hint="eastAsia" w:ascii="Times New Roman" w:hAnsi="Calibri" w:eastAsia="宋体" w:cs="Times New Roman"/>
          <w:sz w:val="21"/>
        </w:rPr>
      </w:pPr>
      <w:r>
        <w:rPr>
          <w:rFonts w:hint="eastAsia" w:ascii="Times New Roman" w:hAnsi="Calibri" w:eastAsia="宋体" w:cs="Times New Roman"/>
          <w:sz w:val="21"/>
        </w:rPr>
        <w:t>（二）数字技术加速渗透工程领域</w:t>
      </w:r>
    </w:p>
    <w:p w14:paraId="6B93E075">
      <w:pPr>
        <w:pStyle w:val="11"/>
        <w:rPr>
          <w:rFonts w:hint="eastAsia" w:ascii="Times New Roman" w:hAnsi="Calibri" w:eastAsia="宋体" w:cs="Times New Roman"/>
          <w:sz w:val="21"/>
        </w:rPr>
      </w:pPr>
      <w:r>
        <w:rPr>
          <w:rFonts w:hint="eastAsia" w:ascii="Times New Roman" w:hAnsi="Calibri" w:eastAsia="宋体" w:cs="Times New Roman"/>
          <w:sz w:val="21"/>
        </w:rPr>
        <w:t>需求变化改变了建筑业必须解决的问题，数字技术则改变了行业解决问题的方式。传统施工现场更多依赖纸面记录、电话沟通和人工巡查，信息采集周期较长，数据颗粒较粗，很多管理行为停留在事后说明和经验判断阶段。随着物联网、BIM、移动终端、视频识别和云平台等技术逐步成熟，施工现场开始具备持续获取过程信息的现实条件，人员出入、设备状态、材料到场、环境变化和隐患整改都能够被更及时地记录下来。真正重要的变化并不在于工地出现了更多电子设备，而在于现场管理开始由结果验收为主转向过程感知与动态调控并重。项目管理不再只是关注最后能否交账，而是更强调施工过程中是否偏离目标、偏离了多少以及如何及时修正。由此，数字技术的价值也由单纯留痕转向支撑判断，智慧工地的意义便不再停留于工具更新，而开始进入治理逻辑更新的层面。</w:t>
      </w:r>
    </w:p>
    <w:p w14:paraId="19DF4BB9">
      <w:pPr>
        <w:pStyle w:val="11"/>
        <w:rPr>
          <w:rFonts w:hint="eastAsia" w:ascii="Times New Roman" w:hAnsi="Calibri" w:eastAsia="宋体" w:cs="Times New Roman"/>
          <w:sz w:val="21"/>
        </w:rPr>
      </w:pPr>
      <w:r>
        <w:rPr>
          <w:rFonts w:hint="eastAsia" w:ascii="Times New Roman" w:hAnsi="Calibri" w:eastAsia="宋体" w:cs="Times New Roman"/>
          <w:sz w:val="21"/>
        </w:rPr>
        <w:t>（三）行业治理方式出现深刻调整</w:t>
      </w:r>
    </w:p>
    <w:p w14:paraId="392EEA12">
      <w:pPr>
        <w:pStyle w:val="11"/>
        <w:rPr>
          <w:rFonts w:hint="eastAsia" w:ascii="Times New Roman" w:hAnsi="Calibri" w:eastAsia="宋体" w:cs="Times New Roman"/>
          <w:sz w:val="21"/>
        </w:rPr>
      </w:pPr>
      <w:r>
        <w:rPr>
          <w:rFonts w:hint="eastAsia" w:ascii="Times New Roman" w:hAnsi="Calibri" w:eastAsia="宋体" w:cs="Times New Roman"/>
          <w:sz w:val="21"/>
        </w:rPr>
        <w:t>建筑业数字化转型还有一个更深的外部背景，即行业治理方式本身正在发生变化。过去，监管部门、建设单位和企业总部更多依赖阶段性检查、报表汇总和节点验收了解项目运行情况，这种方式在项目规模较小、结构较简单的时期尚能维持基本秩序，但面对大型化、复杂化和社会关注度持续提高的工程建设活动，其局限越来越明显。当前行业治理更强调全过程留痕、风险前移控制和责任链条清晰化，治理逻辑正在从经验证明走向数据证明，从离线监督走向在线监督。对于企业而言，这意味着项目管理已不只是内部经营问题，而与合规能力、品牌信誉和市场竞争力直接相关；对于现场而言，则意味着许多过去可以依赖模糊协调解决的问题，开始被要求可记录、可追溯、可核验。治理方式一旦转向过程管控，传统依赖松散线下协同的现场管理模式便难以为继，智慧工地因此成为连接监管要求与现场执行的重要载体。</w:t>
      </w:r>
    </w:p>
    <w:p w14:paraId="2A1835DD">
      <w:pPr>
        <w:pStyle w:val="4"/>
        <w:bidi w:val="0"/>
        <w:rPr>
          <w:rFonts w:hint="eastAsia"/>
        </w:rPr>
      </w:pPr>
      <w:r>
        <w:rPr>
          <w:rFonts w:hint="eastAsia"/>
        </w:rPr>
        <w:t>二、施工现场粗放管理的现实约束</w:t>
      </w:r>
    </w:p>
    <w:p w14:paraId="3D70AB85">
      <w:pPr>
        <w:pStyle w:val="11"/>
        <w:rPr>
          <w:rFonts w:hint="eastAsia" w:ascii="Times New Roman" w:hAnsi="Calibri" w:eastAsia="宋体" w:cs="Times New Roman"/>
          <w:sz w:val="21"/>
        </w:rPr>
      </w:pPr>
      <w:r>
        <w:rPr>
          <w:rFonts w:hint="eastAsia" w:ascii="Times New Roman" w:hAnsi="Calibri" w:eastAsia="宋体" w:cs="Times New Roman"/>
          <w:sz w:val="21"/>
        </w:rPr>
        <w:t>（一）现场信息传递链条较长</w:t>
      </w:r>
    </w:p>
    <w:p w14:paraId="5F82B90C">
      <w:pPr>
        <w:pStyle w:val="11"/>
        <w:rPr>
          <w:rFonts w:hint="eastAsia" w:ascii="Times New Roman" w:hAnsi="Calibri" w:eastAsia="宋体" w:cs="Times New Roman"/>
          <w:sz w:val="21"/>
        </w:rPr>
      </w:pPr>
      <w:r>
        <w:rPr>
          <w:rFonts w:hint="eastAsia" w:ascii="Times New Roman" w:hAnsi="Calibri" w:eastAsia="宋体" w:cs="Times New Roman"/>
          <w:sz w:val="21"/>
        </w:rPr>
        <w:t>传统施工现场最突出的问题之一，是信息在形成、传递和使用过程中损耗较大。作业层发现问题后，通常需要经过班组、工长、项目管理人员，再进入监理、分包、总包和建设单位之间的沟通链条。链条一长，不仅响应速度下降，信息内容也容易失真。口头传递往往省略关键细节，纸面记录又常带有事后补填痕迹，最终导致管理判断建立在不完整信息之上。施工现场并不缺信息，真正短缺的是能够快速进入决策链的有效信息。一个局部偏差如果不能及时被识别和处理，后续往往会演变为工序冲突、资源等待甚至返工风险。粗放管理的症结，正在于现场看得见的问题不能迅速转化为组织处理得了的问题。</w:t>
      </w:r>
    </w:p>
    <w:p w14:paraId="15905F7F">
      <w:pPr>
        <w:pStyle w:val="11"/>
        <w:rPr>
          <w:rFonts w:hint="eastAsia" w:ascii="Times New Roman" w:hAnsi="Calibri" w:eastAsia="宋体" w:cs="Times New Roman"/>
          <w:sz w:val="21"/>
        </w:rPr>
      </w:pPr>
      <w:r>
        <w:rPr>
          <w:rFonts w:hint="eastAsia" w:ascii="Times New Roman" w:hAnsi="Calibri" w:eastAsia="宋体" w:cs="Times New Roman"/>
          <w:sz w:val="21"/>
        </w:rPr>
        <w:t>（二）管理过程依赖经验判断</w:t>
      </w:r>
    </w:p>
    <w:p w14:paraId="77900F45">
      <w:pPr>
        <w:pStyle w:val="11"/>
        <w:rPr>
          <w:rFonts w:hint="eastAsia" w:ascii="Times New Roman" w:hAnsi="Calibri" w:eastAsia="宋体" w:cs="Times New Roman"/>
          <w:sz w:val="21"/>
        </w:rPr>
      </w:pPr>
      <w:r>
        <w:rPr>
          <w:rFonts w:hint="eastAsia" w:ascii="Times New Roman" w:hAnsi="Calibri" w:eastAsia="宋体" w:cs="Times New Roman"/>
          <w:sz w:val="21"/>
        </w:rPr>
        <w:t>经验在工程建设中始终具有价值，但当项目复杂程度持续上升、参建主体不断增多、作业节奏明显加快时，仅靠个人经验已难以支撑稳定的管理质量。经验式管理最大的特征，是判断高度依赖个体，管理效果难以复制。能力较强的管理人员可以凭借长期积累较好地把握进度、质量和风险，而一旦岗位变动或项目环境改变，原有经验便未必仍然适用。更关键的是，经验判断通常擅长处理单一、熟悉的问题，却不擅长识别跨系统、跨专业、跨时间维度的关联偏差。施工现场今天暴露出的异常，原因可能来自前期计划、材料供应、劳务组织或分包配合等多个环节，单凭直觉容易只看表象、忽略结构性原因。智慧工地所强调的数据采集和过程记录，正是在为经验判断补足边界，使管理由个人感知逐步走向组织化、可验证的判断体系。</w:t>
      </w:r>
    </w:p>
    <w:p w14:paraId="5AC434C1">
      <w:pPr>
        <w:pStyle w:val="11"/>
        <w:rPr>
          <w:rFonts w:hint="eastAsia" w:ascii="Times New Roman" w:hAnsi="Calibri" w:eastAsia="宋体" w:cs="Times New Roman"/>
          <w:sz w:val="21"/>
        </w:rPr>
      </w:pPr>
      <w:r>
        <w:rPr>
          <w:rFonts w:hint="eastAsia" w:ascii="Times New Roman" w:hAnsi="Calibri" w:eastAsia="宋体" w:cs="Times New Roman"/>
          <w:sz w:val="21"/>
        </w:rPr>
        <w:t>（三）协同效率与资源利用不足</w:t>
      </w:r>
    </w:p>
    <w:p w14:paraId="7AEBC15C">
      <w:pPr>
        <w:pStyle w:val="11"/>
        <w:rPr>
          <w:rFonts w:hint="eastAsia" w:ascii="Times New Roman" w:hAnsi="Calibri" w:eastAsia="宋体" w:cs="Times New Roman"/>
          <w:sz w:val="21"/>
        </w:rPr>
      </w:pPr>
      <w:r>
        <w:rPr>
          <w:rFonts w:hint="eastAsia" w:ascii="Times New Roman" w:hAnsi="Calibri" w:eastAsia="宋体" w:cs="Times New Roman"/>
          <w:sz w:val="21"/>
        </w:rPr>
        <w:t>施工现场的低效运行，很多时候并不是资源绝对不足，而是协同机制不顺畅。劳务、材料、机械、工序和作业面本应形成时间和空间上的有效匹配，但在粗放管理条件下，各类资源往往处于脱节状态。材料到场却未能及时使用，设备进场却受制于前置工序，班组到位后发现作业面条件尚未成熟，这些现象在不少项目中都反复出现。问题表面看是局部安排失误，实质上反映的是现场缺少统一的资源调度视角和及时的状态反馈机制。资源利用效率一旦偏低，便会进一步放大成本压力和工期风险，而且这些损失往往不是一次性暴露，而是在项目推进过程中不断积累。等到结果层面出现超支或拖期，很多关键纠偏时机已经错过。随着利润空间收窄，建筑企业越来越难以承受这种高损耗、低透明度的管理方式。</w:t>
      </w:r>
    </w:p>
    <w:p w14:paraId="6ECBAAFB">
      <w:pPr>
        <w:pStyle w:val="4"/>
        <w:bidi w:val="0"/>
        <w:rPr>
          <w:rFonts w:hint="eastAsia"/>
        </w:rPr>
      </w:pPr>
      <w:r>
        <w:rPr>
          <w:rFonts w:hint="eastAsia"/>
        </w:rPr>
        <w:t>三、智慧工地在行业升级中的功能定位</w:t>
      </w:r>
    </w:p>
    <w:p w14:paraId="3F968FCA">
      <w:pPr>
        <w:pStyle w:val="11"/>
        <w:rPr>
          <w:rFonts w:hint="eastAsia" w:ascii="Times New Roman" w:hAnsi="Calibri" w:eastAsia="宋体" w:cs="Times New Roman"/>
          <w:sz w:val="21"/>
        </w:rPr>
      </w:pPr>
      <w:r>
        <w:rPr>
          <w:rFonts w:hint="eastAsia" w:ascii="Times New Roman" w:hAnsi="Calibri" w:eastAsia="宋体" w:cs="Times New Roman"/>
          <w:sz w:val="21"/>
        </w:rPr>
        <w:t>（一）现场管理数字化的重要载体</w:t>
      </w:r>
    </w:p>
    <w:p w14:paraId="6784CB0E">
      <w:pPr>
        <w:pStyle w:val="11"/>
        <w:rPr>
          <w:rFonts w:hint="eastAsia" w:ascii="Times New Roman" w:hAnsi="Calibri" w:eastAsia="宋体" w:cs="Times New Roman"/>
          <w:sz w:val="21"/>
        </w:rPr>
      </w:pPr>
      <w:r>
        <w:rPr>
          <w:rFonts w:hint="eastAsia" w:ascii="Times New Roman" w:hAnsi="Calibri" w:eastAsia="宋体" w:cs="Times New Roman"/>
          <w:sz w:val="21"/>
        </w:rPr>
        <w:t>在行业升级背景下，智慧工地首先应被理解为工程现场数字化落地的重要载体。建筑业数字化如果不能进入施工现场，就容易停留在企业后台管理层面，难以触及真正消耗资源、产生风险并决定履约质量的核心环节。施工现场是质量、安全、进度和成本集中交织的空间，也是建筑产品最终形成的主要场所。谁能够把现场对象数字化、把过程状态可视化、把责任链条清晰化，谁就更有可能抓住建筑业转型的关键。智慧工地因此并不是对既有管理的简单附加，而是在现场建立一个新的信息底座，使分散在纸张、电话和个人记忆中的信息逐步进入统一体系，为后续判断、协同和纠偏提供基础支撑。</w:t>
      </w:r>
    </w:p>
    <w:p w14:paraId="2347FA5F">
      <w:pPr>
        <w:pStyle w:val="11"/>
        <w:rPr>
          <w:rFonts w:hint="eastAsia" w:ascii="Times New Roman" w:hAnsi="Calibri" w:eastAsia="宋体" w:cs="Times New Roman"/>
          <w:sz w:val="21"/>
        </w:rPr>
      </w:pPr>
      <w:r>
        <w:rPr>
          <w:rFonts w:hint="eastAsia" w:ascii="Times New Roman" w:hAnsi="Calibri" w:eastAsia="宋体" w:cs="Times New Roman"/>
          <w:sz w:val="21"/>
        </w:rPr>
        <w:t>（二）施工组织优化的关键抓手</w:t>
      </w:r>
    </w:p>
    <w:p w14:paraId="6C9E5E46">
      <w:pPr>
        <w:pStyle w:val="11"/>
        <w:rPr>
          <w:rFonts w:hint="eastAsia" w:ascii="Times New Roman" w:hAnsi="Calibri" w:eastAsia="宋体" w:cs="Times New Roman"/>
          <w:sz w:val="21"/>
        </w:rPr>
      </w:pPr>
      <w:r>
        <w:rPr>
          <w:rFonts w:hint="eastAsia" w:ascii="Times New Roman" w:hAnsi="Calibri" w:eastAsia="宋体" w:cs="Times New Roman"/>
          <w:sz w:val="21"/>
        </w:rPr>
        <w:t>智慧工地之所以具有现实意义，还在于它为施工组织优化提供了新的抓手。传统施工组织主要依靠计划编制和现场协调两套机制运行，一套偏静态，一套偏动态。计划再细，若现场偏差不能及时反馈，也会很快失真；协调再频繁，若缺少数据支撑，也容易陷入被动救火。智慧工地将计划、执行、反馈和纠偏置于同一链条之中，使施工组织逐步由经验调度转向基于信息支撑的动态调度。尤其在多专业交叉、场地受限、危大工程较多、节点工期紧张的项目中，这种作用更为明显。管理者不再只依赖会商和催办来了解现场，而是能够基于持续更新的信息判断问题所在并及时调整安排。施工组织由此不再只是事后应对，而开始具备更强的前瞻性和调节能力。</w:t>
      </w:r>
    </w:p>
    <w:p w14:paraId="6F70496B">
      <w:pPr>
        <w:pStyle w:val="11"/>
        <w:rPr>
          <w:rFonts w:hint="eastAsia" w:ascii="Times New Roman" w:hAnsi="Calibri" w:eastAsia="宋体" w:cs="Times New Roman"/>
          <w:sz w:val="21"/>
        </w:rPr>
      </w:pPr>
      <w:r>
        <w:rPr>
          <w:rFonts w:hint="eastAsia" w:ascii="Times New Roman" w:hAnsi="Calibri" w:eastAsia="宋体" w:cs="Times New Roman"/>
          <w:sz w:val="21"/>
        </w:rPr>
        <w:t>（三）建筑业转型升级的基础支撑</w:t>
      </w:r>
    </w:p>
    <w:p w14:paraId="4E38E89A">
      <w:pPr>
        <w:pStyle w:val="11"/>
        <w:rPr>
          <w:rFonts w:hint="eastAsia" w:ascii="Times New Roman" w:hAnsi="Calibri" w:eastAsia="宋体" w:cs="Times New Roman"/>
          <w:sz w:val="21"/>
        </w:rPr>
      </w:pPr>
      <w:r>
        <w:rPr>
          <w:rFonts w:hint="eastAsia" w:ascii="Times New Roman" w:hAnsi="Calibri" w:eastAsia="宋体" w:cs="Times New Roman"/>
          <w:sz w:val="21"/>
        </w:rPr>
        <w:t>从更大的行业视角看，智慧工地不是终点，而是建筑业转型升级的基础支撑。它向下连接现场作业过程，向上连接企业管理、项目履约、行业监管和后续运维需求，是数字建造体系中最贴近生产一线的一层。没有这一层，企业数字化容易停留在经营分析和后台控制；有了这一层，项目过程数据才有可能沉淀为组织资产，管理决策也才可能建立在连续事实之上。更重要的是，智慧工地为现代工程治理提供了现实承载方式。质量安全标准化、实名制管理、设备监管、隐蔽工程留痕和风险分级管控等要求，过去往往分散在制度文件和检查清单中，落实效果受人为因素影响较大。智慧工地的出现，使这些要求逐步嵌入现场流程和数据规则之中，从而推动建筑业由粗放增长走向更加透明、可控和可追溯的运行状态。</w:t>
      </w:r>
    </w:p>
    <w:p w14:paraId="321CFC63">
      <w:pPr>
        <w:pStyle w:val="11"/>
        <w:rPr>
          <w:rFonts w:ascii="Times New Roman" w:hAnsi="Calibri" w:eastAsia="宋体" w:cs="Times New Roman"/>
          <w:sz w:val="21"/>
        </w:rPr>
      </w:pPr>
    </w:p>
    <w:p w14:paraId="63C5B5DD">
      <w:pPr>
        <w:pStyle w:val="3"/>
        <w:numPr>
          <w:ilvl w:val="0"/>
          <w:numId w:val="0"/>
        </w:numPr>
        <w:ind w:left="0" w:leftChars="0" w:firstLine="0" w:firstLineChars="0"/>
        <w:rPr>
          <w:b/>
        </w:rPr>
      </w:pPr>
      <w:bookmarkStart w:id="4" w:name="_Toc24840"/>
      <w:r>
        <w:rPr>
          <w:rFonts w:hint="eastAsia" w:ascii="宋体" w:hAnsi="宋体" w:eastAsia="黑体" w:cs="宋体"/>
          <w:b/>
          <w:bCs/>
          <w:kern w:val="44"/>
          <w:sz w:val="30"/>
          <w:szCs w:val="30"/>
        </w:rPr>
        <w:t>第二节</w:t>
      </w:r>
      <w:r>
        <w:rPr>
          <w:rFonts w:hint="eastAsia" w:cs="宋体"/>
          <w:b/>
          <w:bCs/>
          <w:kern w:val="44"/>
          <w:sz w:val="30"/>
          <w:szCs w:val="30"/>
          <w:lang w:val="en-US" w:eastAsia="zh-CN"/>
        </w:rPr>
        <w:t xml:space="preserve"> </w:t>
      </w:r>
      <w:r>
        <w:t>智慧工地的概念内涵</w:t>
      </w:r>
      <w:bookmarkEnd w:id="4"/>
    </w:p>
    <w:p w14:paraId="6B8A69E7">
      <w:pPr>
        <w:pStyle w:val="4"/>
        <w:bidi w:val="0"/>
        <w:rPr>
          <w:rFonts w:hint="eastAsia"/>
        </w:rPr>
      </w:pPr>
      <w:r>
        <w:rPr>
          <w:rFonts w:hint="eastAsia"/>
        </w:rPr>
        <w:t>一、智慧工地的基本内涵与外延</w:t>
      </w:r>
    </w:p>
    <w:p w14:paraId="58A478F2">
      <w:pPr>
        <w:pStyle w:val="11"/>
        <w:rPr>
          <w:rFonts w:hint="eastAsia" w:ascii="Times New Roman" w:hAnsi="Calibri" w:eastAsia="宋体" w:cs="Times New Roman"/>
          <w:sz w:val="21"/>
        </w:rPr>
      </w:pPr>
      <w:r>
        <w:rPr>
          <w:rFonts w:hint="eastAsia" w:ascii="Times New Roman" w:hAnsi="Calibri" w:eastAsia="宋体" w:cs="Times New Roman"/>
          <w:sz w:val="21"/>
        </w:rPr>
        <w:t>（一）智慧工地概念的形成过程</w:t>
      </w:r>
    </w:p>
    <w:p w14:paraId="58AC0333">
      <w:pPr>
        <w:pStyle w:val="11"/>
        <w:rPr>
          <w:rFonts w:hint="eastAsia" w:ascii="Times New Roman" w:hAnsi="Calibri" w:eastAsia="宋体" w:cs="Times New Roman"/>
          <w:sz w:val="21"/>
        </w:rPr>
      </w:pPr>
      <w:r>
        <w:rPr>
          <w:rFonts w:hint="eastAsia" w:ascii="Times New Roman" w:hAnsi="Calibri" w:eastAsia="宋体" w:cs="Times New Roman"/>
          <w:sz w:val="21"/>
        </w:rPr>
        <w:t>智慧工地并不是凭空出现的新名词，而是建筑业在管理压力持续加大、数字技术不断下沉的背景下形成的一种阶段性概括。早期施工现场的信息化建设，多停留在门禁考勤、视频监控、环境监测和设备监测等单项应用上，这些工具改善了局部管理，却没有改变现场信息分散、流程脱节和协同效率偏低的基本格局。随着项目复杂度不断上升，行业逐渐认识到，真正制约施工现场治理水平的，并不是某一项技术是否先进，而是信息能否在不同岗位、不同系统和不同流程之间连续流动。智慧工地正是在这种认识深化中形成的，它标志着施工现场数字化开始由单点建设转向系统建设。</w:t>
      </w:r>
    </w:p>
    <w:p w14:paraId="452DE10A">
      <w:pPr>
        <w:pStyle w:val="11"/>
        <w:rPr>
          <w:rFonts w:hint="eastAsia" w:ascii="Times New Roman" w:hAnsi="Calibri" w:eastAsia="宋体" w:cs="Times New Roman"/>
          <w:sz w:val="21"/>
        </w:rPr>
      </w:pPr>
      <w:r>
        <w:rPr>
          <w:rFonts w:hint="eastAsia" w:ascii="Times New Roman" w:hAnsi="Calibri" w:eastAsia="宋体" w:cs="Times New Roman"/>
          <w:sz w:val="21"/>
        </w:rPr>
        <w:t>这一概念的演进，本质上对应着施工管理目标的变化。过去项目管理更强调结果交付，只要竣工节点能够实现，很多过程问题往往被压缩在内部协调中处理。现在的项目管理越来越重视过程受控，质量、安全、工期、成本和文明施工都被视为动态管理对象，需要持续感知、持续分析和持续纠偏。也正因为如此，智慧工地不能再被简单理解为技术设备在工地上的叠加，而应理解为数字化条件下施工现场治理方式的更新。它不是传统管理的附属装饰，而是现场治理从经验驱动走向数据支撑、从局部控制走向系统协同的重要标志。</w:t>
      </w:r>
    </w:p>
    <w:p w14:paraId="393FCEF9">
      <w:pPr>
        <w:pStyle w:val="11"/>
        <w:rPr>
          <w:rFonts w:hint="eastAsia" w:ascii="Times New Roman" w:hAnsi="Calibri" w:eastAsia="宋体" w:cs="Times New Roman"/>
          <w:sz w:val="21"/>
        </w:rPr>
      </w:pPr>
      <w:r>
        <w:rPr>
          <w:rFonts w:hint="eastAsia" w:ascii="Times New Roman" w:hAnsi="Calibri" w:eastAsia="宋体" w:cs="Times New Roman"/>
          <w:sz w:val="21"/>
        </w:rPr>
        <w:t>（二）智慧工地的核心构成要素</w:t>
      </w:r>
    </w:p>
    <w:p w14:paraId="26AFCFD4">
      <w:pPr>
        <w:pStyle w:val="11"/>
        <w:rPr>
          <w:rFonts w:hint="eastAsia" w:ascii="Times New Roman" w:hAnsi="Calibri" w:eastAsia="宋体" w:cs="Times New Roman"/>
          <w:sz w:val="21"/>
        </w:rPr>
      </w:pPr>
      <w:r>
        <w:rPr>
          <w:rFonts w:hint="eastAsia" w:ascii="Times New Roman" w:hAnsi="Calibri" w:eastAsia="宋体" w:cs="Times New Roman"/>
          <w:sz w:val="21"/>
        </w:rPr>
        <w:t>从本质上看，智慧工地并不是若干技术名词的简单罗列，而是围绕施工现场治理形成的一套基本结构。这个结构至少包含四个相互联系的要素。</w:t>
      </w:r>
    </w:p>
    <w:p w14:paraId="6066527D">
      <w:pPr>
        <w:pStyle w:val="11"/>
        <w:rPr>
          <w:rFonts w:hint="eastAsia" w:ascii="Times New Roman" w:hAnsi="Calibri" w:eastAsia="宋体" w:cs="Times New Roman"/>
          <w:sz w:val="21"/>
        </w:rPr>
      </w:pPr>
      <w:r>
        <w:rPr>
          <w:rFonts w:hint="eastAsia" w:ascii="Times New Roman" w:hAnsi="Calibri" w:eastAsia="宋体" w:cs="Times New Roman"/>
          <w:sz w:val="21"/>
        </w:rPr>
        <w:t>其一是管理对象的清晰识别。施工现场真正需要管理的，并不是抽象的“工地”，而是人、机、料、法、环及其相互关系。对象不清，数据就没有落点，系统再多也难以形成实际作用。很多项目应用效果不佳，不是因为技术不够先进，而是因为最初没有把管理对象、责任边界和业务需求梳理清楚，最终导致采集的信息与管理动作脱节。</w:t>
      </w:r>
    </w:p>
    <w:p w14:paraId="177896B4">
      <w:pPr>
        <w:pStyle w:val="11"/>
        <w:rPr>
          <w:rFonts w:hint="eastAsia" w:ascii="Times New Roman" w:hAnsi="Calibri" w:eastAsia="宋体" w:cs="Times New Roman"/>
          <w:sz w:val="21"/>
        </w:rPr>
      </w:pPr>
      <w:r>
        <w:rPr>
          <w:rFonts w:hint="eastAsia" w:ascii="Times New Roman" w:hAnsi="Calibri" w:eastAsia="宋体" w:cs="Times New Roman"/>
          <w:sz w:val="21"/>
        </w:rPr>
        <w:t>其二是现场状态的持续感知。智慧工地之所以不同于传统资料化管理，就在于它努力把原本依赖人工观察和事后填报的现场状态转化为可持续感知的信息。无论是人员进出、设备运行、环境变化，还是工序检查、隐患整改，其价值都不在“采到了多少”，而在于关键状态能否被及时识别。感知能力越贴近现场实际，数字化对治理的支撑就越直接。</w:t>
      </w:r>
    </w:p>
    <w:p w14:paraId="186A4905">
      <w:pPr>
        <w:pStyle w:val="11"/>
        <w:rPr>
          <w:rFonts w:hint="eastAsia" w:ascii="Times New Roman" w:hAnsi="Calibri" w:eastAsia="宋体" w:cs="Times New Roman"/>
          <w:sz w:val="21"/>
        </w:rPr>
      </w:pPr>
      <w:r>
        <w:rPr>
          <w:rFonts w:hint="eastAsia" w:ascii="Times New Roman" w:hAnsi="Calibri" w:eastAsia="宋体" w:cs="Times New Roman"/>
          <w:sz w:val="21"/>
        </w:rPr>
        <w:t>其三是数据与流程的统一组织。施工现场并不缺少记录，真正稀缺的是能够进入管理链条的有效数据。智慧工地不是把现场信息堆积成资料库，而是通过统一规则把对象、事件、责任和时间联系起来，使数据能够支撑管理活动。只有当信息能够沿着事项处理过程稳定流动时，数字信息才会转化为治理能力。</w:t>
      </w:r>
    </w:p>
    <w:p w14:paraId="0B44BE1A">
      <w:pPr>
        <w:pStyle w:val="11"/>
        <w:rPr>
          <w:rFonts w:hint="eastAsia" w:ascii="Times New Roman" w:hAnsi="Calibri" w:eastAsia="宋体" w:cs="Times New Roman"/>
          <w:sz w:val="21"/>
        </w:rPr>
      </w:pPr>
      <w:r>
        <w:rPr>
          <w:rFonts w:hint="eastAsia" w:ascii="Times New Roman" w:hAnsi="Calibri" w:eastAsia="宋体" w:cs="Times New Roman"/>
          <w:sz w:val="21"/>
        </w:rPr>
        <w:t>其四是平台化协同机制。平台不是孤立的软件界面，而是组织规则、权限逻辑和协同关系的综合载体。它的意义不在展示，而在于让原本分散在项目经理、专业工程师、资料员、监理和分包单位之间的管理关系逐步清晰化、持续化。平台若只能汇总信息，其价值十分有限；只有当它能够支撑责任落实、过程留痕和状态跟踪时，智慧工地才真正具备治理意义。</w:t>
      </w:r>
    </w:p>
    <w:p w14:paraId="6FE2CCE0">
      <w:pPr>
        <w:pStyle w:val="11"/>
        <w:rPr>
          <w:rFonts w:hint="eastAsia" w:ascii="Times New Roman" w:hAnsi="Calibri" w:eastAsia="宋体" w:cs="Times New Roman"/>
          <w:sz w:val="21"/>
        </w:rPr>
      </w:pPr>
      <w:r>
        <w:rPr>
          <w:rFonts w:hint="eastAsia" w:ascii="Times New Roman" w:hAnsi="Calibri" w:eastAsia="宋体" w:cs="Times New Roman"/>
          <w:sz w:val="21"/>
        </w:rPr>
        <w:t>因此，智慧工地更准确的表达，不是“技术进入工地”，而是“对象识别、状态感知、数据组织和平台协同共同作用下的现场治理结构”。</w:t>
      </w:r>
    </w:p>
    <w:p w14:paraId="7922AD8A">
      <w:pPr>
        <w:pStyle w:val="11"/>
        <w:rPr>
          <w:rFonts w:hint="eastAsia" w:ascii="Times New Roman" w:hAnsi="Calibri" w:eastAsia="宋体" w:cs="Times New Roman"/>
          <w:sz w:val="21"/>
        </w:rPr>
      </w:pPr>
      <w:r>
        <w:rPr>
          <w:rFonts w:hint="eastAsia" w:ascii="Times New Roman" w:hAnsi="Calibri" w:eastAsia="宋体" w:cs="Times New Roman"/>
          <w:sz w:val="21"/>
        </w:rPr>
        <w:t>（三）智慧工地的应用边界外延</w:t>
      </w:r>
    </w:p>
    <w:p w14:paraId="56754EFF">
      <w:pPr>
        <w:pStyle w:val="11"/>
        <w:rPr>
          <w:rFonts w:hint="eastAsia" w:ascii="Times New Roman" w:hAnsi="Calibri" w:eastAsia="宋体" w:cs="Times New Roman"/>
          <w:sz w:val="21"/>
        </w:rPr>
      </w:pPr>
      <w:r>
        <w:rPr>
          <w:rFonts w:hint="eastAsia" w:ascii="Times New Roman" w:hAnsi="Calibri" w:eastAsia="宋体" w:cs="Times New Roman"/>
          <w:sz w:val="21"/>
        </w:rPr>
        <w:t>智慧工地的外延需要界定得足够准确。过窄地理解，它会被简化成若干硬件设备和软件模块；过宽地理解，又容易把企业所有数字化工作都装进这一概念之中，结果失去边界。较为稳妥的理解应当是，智慧工地的核心边界在施工现场，但它的影响并不封闭在现场内部，而是沿着项目实施链条向外延伸。</w:t>
      </w:r>
    </w:p>
    <w:p w14:paraId="2333B80C">
      <w:pPr>
        <w:pStyle w:val="11"/>
        <w:rPr>
          <w:rFonts w:hint="eastAsia" w:ascii="Times New Roman" w:hAnsi="Calibri" w:eastAsia="宋体" w:cs="Times New Roman"/>
          <w:sz w:val="21"/>
        </w:rPr>
      </w:pPr>
      <w:r>
        <w:rPr>
          <w:rFonts w:hint="eastAsia" w:ascii="Times New Roman" w:hAnsi="Calibri" w:eastAsia="宋体" w:cs="Times New Roman"/>
          <w:sz w:val="21"/>
        </w:rPr>
        <w:t>向内看，它直接服务于现场生产组织、质量安全控制、资源配置、过程留痕和协同管理。向外看，它又会与企业级管理、监管报送、竣工交付和经验沉淀发生联系。正因为现场不是孤立空间，现场产生的数据也不会只停留在项目部内部，而会进一步进入企业决策、行业监督和后续评价过程。因此，智慧工地既是一种技术支撑系统，也是一种数字条件下的管理体系。</w:t>
      </w:r>
    </w:p>
    <w:p w14:paraId="51E88094">
      <w:pPr>
        <w:pStyle w:val="11"/>
        <w:rPr>
          <w:rFonts w:hint="eastAsia" w:ascii="Times New Roman" w:hAnsi="Calibri" w:eastAsia="宋体" w:cs="Times New Roman"/>
          <w:sz w:val="21"/>
        </w:rPr>
      </w:pPr>
      <w:r>
        <w:rPr>
          <w:rFonts w:hint="eastAsia" w:ascii="Times New Roman" w:hAnsi="Calibri" w:eastAsia="宋体" w:cs="Times New Roman"/>
          <w:sz w:val="21"/>
        </w:rPr>
        <w:t>不过，这种外延并不意味着它可以包揽一切。凡是高度依赖创造性判断、复杂合同博弈或超出项目边界的资源决策，仍然需要依靠管理主体的专业判断来完成。智慧工地能够做的，是提高现场状态的透明度、流程运行的连续性和责任传递的清晰度，而不是替代工程管理本身。边界界定得越清楚，概念反而越有解释力。</w:t>
      </w:r>
    </w:p>
    <w:p w14:paraId="543F4BA0">
      <w:pPr>
        <w:pStyle w:val="4"/>
        <w:bidi w:val="0"/>
        <w:rPr>
          <w:rFonts w:hint="eastAsia"/>
        </w:rPr>
      </w:pPr>
      <w:r>
        <w:rPr>
          <w:rFonts w:hint="eastAsia"/>
        </w:rPr>
        <w:t>二、智慧工地的系统特征与运行边界</w:t>
      </w:r>
    </w:p>
    <w:p w14:paraId="2FA67336">
      <w:pPr>
        <w:pStyle w:val="11"/>
        <w:rPr>
          <w:rFonts w:hint="eastAsia" w:ascii="Times New Roman" w:hAnsi="Calibri" w:eastAsia="宋体" w:cs="Times New Roman"/>
          <w:sz w:val="21"/>
        </w:rPr>
      </w:pPr>
      <w:r>
        <w:rPr>
          <w:rFonts w:hint="eastAsia" w:ascii="Times New Roman" w:hAnsi="Calibri" w:eastAsia="宋体" w:cs="Times New Roman"/>
          <w:sz w:val="21"/>
        </w:rPr>
        <w:t>（一）多要素联动的系统特征</w:t>
      </w:r>
    </w:p>
    <w:p w14:paraId="0DA16236">
      <w:pPr>
        <w:pStyle w:val="11"/>
        <w:rPr>
          <w:rFonts w:hint="eastAsia" w:ascii="Times New Roman" w:hAnsi="Calibri" w:eastAsia="宋体" w:cs="Times New Roman"/>
          <w:sz w:val="21"/>
        </w:rPr>
      </w:pPr>
      <w:r>
        <w:rPr>
          <w:rFonts w:hint="eastAsia" w:ascii="Times New Roman" w:hAnsi="Calibri" w:eastAsia="宋体" w:cs="Times New Roman"/>
          <w:sz w:val="21"/>
        </w:rPr>
        <w:t>智慧工地最突出的特征，在于它不是由若干孤立模块拼接而成的技术组合，而是一个围绕施工现场运行构建的多要素联动系统。施工现场本来就是典型的复杂系统，人、机、料、法、环之间始终相互影响。劳务变化会影响进度推进，设备异常可能带来安全风险，材料供应失衡会打乱工序节奏，环境条件变化又会反过来制约现场组织。传统管理往往只能依靠经验去感知这种关联，而智慧工地的价值，则在于把这些原本分散、隐性的联系逐步显性化。</w:t>
      </w:r>
    </w:p>
    <w:p w14:paraId="71ADC3A5">
      <w:pPr>
        <w:pStyle w:val="11"/>
        <w:rPr>
          <w:rFonts w:hint="eastAsia" w:ascii="Times New Roman" w:hAnsi="Calibri" w:eastAsia="宋体" w:cs="Times New Roman"/>
          <w:sz w:val="21"/>
        </w:rPr>
      </w:pPr>
      <w:r>
        <w:rPr>
          <w:rFonts w:hint="eastAsia" w:ascii="Times New Roman" w:hAnsi="Calibri" w:eastAsia="宋体" w:cs="Times New Roman"/>
          <w:sz w:val="21"/>
        </w:rPr>
        <w:t>系统性并不只意味着对象多，更意味着对象之间能够形成联动判断。真正有效的安全管理，不会只盯某一个监测值；真正有效的进度判断，也不会只看单日报表。智慧工地之所以具有比一般信息化工具更强的解释力，正是因为它试图把现场从“若干独立事项的集合”转化为“多种关系持续作用的整体”。这种整体性认识，是概念成立的关键。</w:t>
      </w:r>
    </w:p>
    <w:p w14:paraId="45915673">
      <w:pPr>
        <w:pStyle w:val="11"/>
        <w:rPr>
          <w:rFonts w:hint="eastAsia" w:ascii="Times New Roman" w:hAnsi="Calibri" w:eastAsia="宋体" w:cs="Times New Roman"/>
          <w:sz w:val="21"/>
        </w:rPr>
      </w:pPr>
      <w:r>
        <w:rPr>
          <w:rFonts w:hint="eastAsia" w:ascii="Times New Roman" w:hAnsi="Calibri" w:eastAsia="宋体" w:cs="Times New Roman"/>
          <w:sz w:val="21"/>
        </w:rPr>
        <w:t>（二）业务流程贯通的运行特征</w:t>
      </w:r>
    </w:p>
    <w:p w14:paraId="4F709297">
      <w:pPr>
        <w:pStyle w:val="11"/>
        <w:rPr>
          <w:rFonts w:hint="eastAsia" w:ascii="Times New Roman" w:hAnsi="Calibri" w:eastAsia="宋体" w:cs="Times New Roman"/>
          <w:sz w:val="21"/>
        </w:rPr>
      </w:pPr>
      <w:r>
        <w:rPr>
          <w:rFonts w:hint="eastAsia" w:ascii="Times New Roman" w:hAnsi="Calibri" w:eastAsia="宋体" w:cs="Times New Roman"/>
          <w:sz w:val="21"/>
        </w:rPr>
        <w:t>智慧工地的另一项核心特征，是它依附于业务流程运行，而不是停留在信息展示层。施工现场每天都在发生大量事件，隐患排查、材料验收、工序报验、设备巡检和作业审批，如果这些活动彼此分离，信息就会在传递中损耗，管理效率也难以提升。智慧工地的真正价值，在于把这些原本零散的动作组织成连续流程，使事项从发生到处置再到复核都能留下完整痕迹。</w:t>
      </w:r>
    </w:p>
    <w:p w14:paraId="756EE3BC">
      <w:pPr>
        <w:pStyle w:val="11"/>
        <w:rPr>
          <w:rFonts w:hint="eastAsia" w:ascii="Times New Roman" w:hAnsi="Calibri" w:eastAsia="宋体" w:cs="Times New Roman"/>
          <w:sz w:val="21"/>
        </w:rPr>
      </w:pPr>
      <w:r>
        <w:rPr>
          <w:rFonts w:hint="eastAsia" w:ascii="Times New Roman" w:hAnsi="Calibri" w:eastAsia="宋体" w:cs="Times New Roman"/>
          <w:sz w:val="21"/>
        </w:rPr>
        <w:t>流程贯通至少体现为三个层面：一是时间上的连续，事项前后衔接不再断裂；二是岗位上的衔接，不同岗位围绕同一事项协同工作；三是责任上的清晰，谁发现、谁处置、谁审核、谁复核能够被明确记录。由此可见，智慧工地不是简单的单点技术，而是一种以流程为基础的现场组织方式。项目建设成熟与否，关键也不在于模块多少，而在于流程是否真正跑起来。</w:t>
      </w:r>
    </w:p>
    <w:p w14:paraId="6EEAC01E">
      <w:pPr>
        <w:pStyle w:val="11"/>
        <w:rPr>
          <w:rFonts w:hint="eastAsia" w:ascii="Times New Roman" w:hAnsi="Calibri" w:eastAsia="宋体" w:cs="Times New Roman"/>
          <w:sz w:val="21"/>
        </w:rPr>
      </w:pPr>
      <w:r>
        <w:rPr>
          <w:rFonts w:hint="eastAsia" w:ascii="Times New Roman" w:hAnsi="Calibri" w:eastAsia="宋体" w:cs="Times New Roman"/>
          <w:sz w:val="21"/>
        </w:rPr>
        <w:t>（三）不同类型项目的适用边界</w:t>
      </w:r>
    </w:p>
    <w:p w14:paraId="22D8DC67">
      <w:pPr>
        <w:pStyle w:val="11"/>
        <w:rPr>
          <w:rFonts w:hint="eastAsia" w:ascii="Times New Roman" w:hAnsi="Calibri" w:eastAsia="宋体" w:cs="Times New Roman"/>
          <w:sz w:val="21"/>
        </w:rPr>
      </w:pPr>
      <w:r>
        <w:rPr>
          <w:rFonts w:hint="eastAsia" w:ascii="Times New Roman" w:hAnsi="Calibri" w:eastAsia="宋体" w:cs="Times New Roman"/>
          <w:sz w:val="21"/>
        </w:rPr>
        <w:t>智慧工地具有广泛适用性，但不同项目的建设深度不可能完全相同。项目规模、复杂程度、风险水平和实施阶段不同，对智慧工地的需求重点也会不同。大型综合体、医院、产业园和超高层项目，往往更需要平台集成、过程预警和多专业协同；体量较小、工艺较单一的项目，则更适合围绕实名制、安全留痕和关键进度控制进行适度建设。适用边界不在于是否建设，而在于建设到什么层级才算合理。</w:t>
      </w:r>
    </w:p>
    <w:p w14:paraId="075BCC17">
      <w:pPr>
        <w:pStyle w:val="11"/>
        <w:rPr>
          <w:rFonts w:hint="eastAsia" w:ascii="Times New Roman" w:hAnsi="Calibri" w:eastAsia="宋体" w:cs="Times New Roman"/>
          <w:sz w:val="21"/>
        </w:rPr>
      </w:pPr>
      <w:r>
        <w:rPr>
          <w:rFonts w:hint="eastAsia" w:ascii="Times New Roman" w:hAnsi="Calibri" w:eastAsia="宋体" w:cs="Times New Roman"/>
          <w:sz w:val="21"/>
        </w:rPr>
        <w:t>风险特征同样影响应用边界。危大工程多、周边环境敏感、现场交叉作业复杂的项目，对实时监测、动态预警和过程协同的需求会明显更强；而标准化程度较高的项目，则更适合把重点放在流程固化和资料数字化上。与此同时，同一项目在不同实施阶段，对智慧工地的需求也会发生变化。开工准备阶段重在基础建档和规则预设，主体施工阶段强调协同控制和风险管理，收尾阶段则更关注资料汇集和问题销项。</w:t>
      </w:r>
    </w:p>
    <w:p w14:paraId="3971D47F">
      <w:pPr>
        <w:pStyle w:val="11"/>
        <w:rPr>
          <w:rFonts w:hint="eastAsia" w:ascii="Times New Roman" w:hAnsi="Calibri" w:eastAsia="宋体" w:cs="Times New Roman"/>
          <w:sz w:val="21"/>
        </w:rPr>
      </w:pPr>
      <w:r>
        <w:rPr>
          <w:rFonts w:hint="eastAsia" w:ascii="Times New Roman" w:hAnsi="Calibri" w:eastAsia="宋体" w:cs="Times New Roman"/>
          <w:sz w:val="21"/>
        </w:rPr>
        <w:t>因此，智慧工地的运行边界应理解为动态适配边界，而不是静态技术边界。它既不意味着只有大型复杂项目才值得建设，也不意味着所有项目都应照搬同一套模板。更符合工程实际的做法，是根据项目目标、风险特征和组织能力确定建设层级。这样的界定既保留了概念的普适性，也避免把智慧工地写成脱离工程情境的抽象标准。</w:t>
      </w:r>
    </w:p>
    <w:p w14:paraId="6317B675">
      <w:pPr>
        <w:pStyle w:val="11"/>
        <w:rPr>
          <w:rFonts w:ascii="Times New Roman" w:hAnsi="Calibri" w:eastAsia="宋体" w:cs="Times New Roman"/>
          <w:sz w:val="21"/>
        </w:rPr>
      </w:pPr>
    </w:p>
    <w:p w14:paraId="6754669F">
      <w:pPr>
        <w:pStyle w:val="3"/>
        <w:numPr>
          <w:ilvl w:val="0"/>
          <w:numId w:val="0"/>
        </w:numPr>
        <w:ind w:left="0" w:leftChars="0" w:firstLine="0" w:firstLineChars="0"/>
        <w:rPr>
          <w:b/>
        </w:rPr>
      </w:pPr>
      <w:bookmarkStart w:id="5" w:name="_Toc7220"/>
      <w:r>
        <w:rPr>
          <w:rFonts w:hint="eastAsia" w:ascii="宋体" w:hAnsi="宋体" w:eastAsia="黑体" w:cs="宋体"/>
          <w:b/>
          <w:bCs/>
          <w:kern w:val="44"/>
          <w:sz w:val="30"/>
          <w:szCs w:val="30"/>
        </w:rPr>
        <w:t>第三节</w:t>
      </w:r>
      <w:r>
        <w:rPr>
          <w:rFonts w:hint="eastAsia" w:cs="宋体"/>
          <w:b/>
          <w:bCs/>
          <w:kern w:val="44"/>
          <w:sz w:val="30"/>
          <w:szCs w:val="30"/>
          <w:lang w:val="en-US" w:eastAsia="zh-CN"/>
        </w:rPr>
        <w:t xml:space="preserve"> </w:t>
      </w:r>
      <w:r>
        <w:t>工程现场数字化管理的理论支撑</w:t>
      </w:r>
      <w:bookmarkEnd w:id="5"/>
    </w:p>
    <w:p w14:paraId="43EDDF5F">
      <w:pPr>
        <w:pStyle w:val="4"/>
        <w:bidi w:val="0"/>
        <w:rPr>
          <w:rFonts w:hint="eastAsia"/>
        </w:rPr>
      </w:pPr>
      <w:r>
        <w:rPr>
          <w:rFonts w:hint="eastAsia"/>
        </w:rPr>
        <w:t>一、系统工程视角下的现场治理</w:t>
      </w:r>
    </w:p>
    <w:p w14:paraId="4DE25807">
      <w:pPr>
        <w:pStyle w:val="11"/>
        <w:rPr>
          <w:rFonts w:hint="eastAsia" w:ascii="Times New Roman" w:hAnsi="Calibri" w:eastAsia="宋体" w:cs="Times New Roman"/>
          <w:sz w:val="21"/>
        </w:rPr>
      </w:pPr>
      <w:r>
        <w:rPr>
          <w:rFonts w:hint="eastAsia" w:ascii="Times New Roman" w:hAnsi="Calibri" w:eastAsia="宋体" w:cs="Times New Roman"/>
          <w:sz w:val="21"/>
        </w:rPr>
        <w:t>（一）施工现场管理对象的系统构成</w:t>
      </w:r>
    </w:p>
    <w:p w14:paraId="62BC359C">
      <w:pPr>
        <w:pStyle w:val="11"/>
        <w:rPr>
          <w:rFonts w:hint="eastAsia" w:ascii="Times New Roman" w:hAnsi="Calibri" w:eastAsia="宋体" w:cs="Times New Roman"/>
          <w:sz w:val="21"/>
        </w:rPr>
      </w:pPr>
      <w:r>
        <w:rPr>
          <w:rFonts w:hint="eastAsia" w:ascii="Times New Roman" w:hAnsi="Calibri" w:eastAsia="宋体" w:cs="Times New Roman"/>
          <w:sz w:val="21"/>
        </w:rPr>
        <w:t>工程现场的复杂性，并不单纯来自作业内容多，而是来自各类对象之间持续发生的耦合关系。人员组织、机械运行、材料供应、工序安排、场地环境和管理制度并不是彼此独立的板块，它们共同嵌入同一时空之内，任何一处波动都可能沿着项目链条向外传导。一个看似普通的材料延迟，往往不仅影响供应本身，还会引起班组等待、设备闲置和工序错位，最终表现为工期偏差和成本上升。也正因为如此，施工现场管理不能只把问题拆开分别处理，而必须把现场看作由目标、资源、流程和反馈共同构成的动态系统。智慧工地的理论起点就在这里，它面对的不是单一事项的数字记录，而是多对象、多过程和多目标并行条件下的现场治理。</w:t>
      </w:r>
    </w:p>
    <w:p w14:paraId="4429202F">
      <w:pPr>
        <w:pStyle w:val="11"/>
        <w:rPr>
          <w:rFonts w:hint="eastAsia" w:ascii="Times New Roman" w:hAnsi="Calibri" w:eastAsia="宋体" w:cs="Times New Roman"/>
          <w:sz w:val="21"/>
        </w:rPr>
      </w:pPr>
      <w:r>
        <w:rPr>
          <w:rFonts w:hint="eastAsia" w:ascii="Times New Roman" w:hAnsi="Calibri" w:eastAsia="宋体" w:cs="Times New Roman"/>
          <w:sz w:val="21"/>
        </w:rPr>
        <w:t>（二）系统集成思维的治理价值</w:t>
      </w:r>
    </w:p>
    <w:p w14:paraId="1562E2B5">
      <w:pPr>
        <w:pStyle w:val="11"/>
        <w:rPr>
          <w:rFonts w:hint="eastAsia" w:ascii="Times New Roman" w:hAnsi="Calibri" w:eastAsia="宋体" w:cs="Times New Roman"/>
          <w:sz w:val="21"/>
        </w:rPr>
      </w:pPr>
      <w:r>
        <w:rPr>
          <w:rFonts w:hint="eastAsia" w:ascii="Times New Roman" w:hAnsi="Calibri" w:eastAsia="宋体" w:cs="Times New Roman"/>
          <w:sz w:val="21"/>
        </w:rPr>
        <w:t>系统工程的意义，在于把零散管理活动放回整体框架之中考察。施工现场每天都会产生大量事件，若只是逐项应对，项目管理就容易陷入被动补救。集成思维要求管理者不仅看到问题本身，还要看到问题所处的位置、与其他环节的关系以及对项目目标的影响路径。对智慧工地而言，这一点尤为重要。数字化建设如果只是局部记录、局部监测和局部应用的简单叠加，即使投入再多，也难以形成真正稳定的治理能力。只有把各类管理动作放进统一目标体系之中，数字化才不会停留在电子化层面。系统工程由此为智慧工地提供了基本的方法论基础，它强调的不是技术越多越好，而是整体统筹、结构优化与持续反馈。</w:t>
      </w:r>
    </w:p>
    <w:p w14:paraId="2910D9E5">
      <w:pPr>
        <w:pStyle w:val="11"/>
        <w:rPr>
          <w:rFonts w:hint="eastAsia" w:ascii="Times New Roman" w:hAnsi="Calibri" w:eastAsia="宋体" w:cs="Times New Roman"/>
          <w:sz w:val="21"/>
        </w:rPr>
      </w:pPr>
      <w:r>
        <w:rPr>
          <w:rFonts w:hint="eastAsia" w:ascii="Times New Roman" w:hAnsi="Calibri" w:eastAsia="宋体" w:cs="Times New Roman"/>
          <w:sz w:val="21"/>
        </w:rPr>
        <w:t>（三）系统优化在现场组织中的体现</w:t>
      </w:r>
    </w:p>
    <w:p w14:paraId="548BF1FC">
      <w:pPr>
        <w:pStyle w:val="11"/>
        <w:rPr>
          <w:rFonts w:hint="eastAsia" w:ascii="Times New Roman" w:hAnsi="Calibri" w:eastAsia="宋体" w:cs="Times New Roman"/>
          <w:sz w:val="21"/>
        </w:rPr>
      </w:pPr>
      <w:r>
        <w:rPr>
          <w:rFonts w:hint="eastAsia" w:ascii="Times New Roman" w:hAnsi="Calibri" w:eastAsia="宋体" w:cs="Times New Roman"/>
          <w:sz w:val="21"/>
        </w:rPr>
        <w:t>系统工程最终要落到优化，但施工现场的优化从来不是某一指标越大越好，而是在多目标约束下寻求更合理的平衡。工期加快可能带来交叉作业增多，安全控制加强可能暂时降低效率，资源节约若影响关键线路又会推高整体成本。智慧工地的价值，正是在这种复杂平衡中增强管理者的判断能力。它通过更及时的状态感知、更连续的信息记录和更清晰的问题反馈，把目标协同、资源统筹和动态纠偏连接起来，使现场治理由事后修补转向过程优化。需要看到的是，这种优化并不意味着技术替代人的判断，而是让管理判断建立在更完整的信息基础之上，从而减少经验管理的偶然性和局部性。</w:t>
      </w:r>
    </w:p>
    <w:p w14:paraId="221D30B0">
      <w:pPr>
        <w:pStyle w:val="4"/>
        <w:bidi w:val="0"/>
        <w:rPr>
          <w:rFonts w:hint="eastAsia"/>
        </w:rPr>
      </w:pPr>
      <w:r>
        <w:rPr>
          <w:rFonts w:hint="eastAsia"/>
        </w:rPr>
        <w:t>二、协同管理理论在项目实施中的适用性</w:t>
      </w:r>
    </w:p>
    <w:p w14:paraId="231AAD0C">
      <w:pPr>
        <w:pStyle w:val="11"/>
        <w:rPr>
          <w:rFonts w:hint="eastAsia" w:ascii="Times New Roman" w:hAnsi="Calibri" w:eastAsia="宋体" w:cs="Times New Roman"/>
          <w:sz w:val="21"/>
        </w:rPr>
      </w:pPr>
      <w:r>
        <w:rPr>
          <w:rFonts w:hint="eastAsia" w:ascii="Times New Roman" w:hAnsi="Calibri" w:eastAsia="宋体" w:cs="Times New Roman"/>
          <w:sz w:val="21"/>
        </w:rPr>
        <w:t>（一）参建主体协同的组织基础</w:t>
      </w:r>
    </w:p>
    <w:p w14:paraId="3B739882">
      <w:pPr>
        <w:pStyle w:val="11"/>
        <w:rPr>
          <w:rFonts w:hint="eastAsia" w:ascii="Times New Roman" w:hAnsi="Calibri" w:eastAsia="宋体" w:cs="Times New Roman"/>
          <w:sz w:val="21"/>
        </w:rPr>
      </w:pPr>
      <w:r>
        <w:rPr>
          <w:rFonts w:hint="eastAsia" w:ascii="Times New Roman" w:hAnsi="Calibri" w:eastAsia="宋体" w:cs="Times New Roman"/>
          <w:sz w:val="21"/>
        </w:rPr>
        <w:t>工程项目天然具有多主体特征，建设单位、施工总承包、专业分包、监理单位、设计单位和供应商都以不同方式嵌入项目实施过程。项目越复杂，协同要求越高，责任边界也越容易模糊。传统现场管理中常见的现象是，问题并非无人知晓，而是在多方参与下迟迟难以形成有效处置。协同管理理论的价值，就在于说明组织效率并不只取决于单个主体的能力，更取决于主体之间能否建立稳定的互动规则。对智慧工地而言，这意味着数字化建设不能只关注单一岗位的使用便利，还必须处理多主体之间的信息衔接、责任分工和目标协调问题。只有当角色边界相对清晰、项目目标基本一致、基础规则能够被共同接受时，现场协同才可能由临时协调走向相对稳定的运行状态。</w:t>
      </w:r>
    </w:p>
    <w:p w14:paraId="064CAA39">
      <w:pPr>
        <w:pStyle w:val="11"/>
        <w:rPr>
          <w:rFonts w:hint="eastAsia" w:ascii="Times New Roman" w:hAnsi="Calibri" w:eastAsia="宋体" w:cs="Times New Roman"/>
          <w:sz w:val="21"/>
        </w:rPr>
      </w:pPr>
      <w:r>
        <w:rPr>
          <w:rFonts w:hint="eastAsia" w:ascii="Times New Roman" w:hAnsi="Calibri" w:eastAsia="宋体" w:cs="Times New Roman"/>
          <w:sz w:val="21"/>
        </w:rPr>
        <w:t>（二）信息共享对协同效率的促进</w:t>
      </w:r>
    </w:p>
    <w:p w14:paraId="75D51B0F">
      <w:pPr>
        <w:pStyle w:val="11"/>
        <w:rPr>
          <w:rFonts w:hint="eastAsia" w:ascii="Times New Roman" w:hAnsi="Calibri" w:eastAsia="宋体" w:cs="Times New Roman"/>
          <w:sz w:val="21"/>
        </w:rPr>
      </w:pPr>
      <w:r>
        <w:rPr>
          <w:rFonts w:hint="eastAsia" w:ascii="Times New Roman" w:hAnsi="Calibri" w:eastAsia="宋体" w:cs="Times New Roman"/>
          <w:sz w:val="21"/>
        </w:rPr>
        <w:t>协同能否真正落地，关键往往不在“有没有沟通”，而在“信息能否在合适的时间到达合适的人”。施工现场并不缺少信息，真正缺少的是结构化的信息共享。过去大量管理动作依赖会议、电话和微信群传递，信息在传递过程中容易失真，处理者也难以获得完整背景。智慧工地之所以具有治理意义，就在于它有可能把原本分散在纸质记录、口头汇报和局部台账中的信息重新组织起来，使不同岗位围绕同一事实开展行动。这样一来，信息共享就不再只是让更多人“知道”，而是让不同岗位能够基于同一依据作出判断。协同效率的提升，也正是在这种由分散传话走向结构化共享的过程中实现的。</w:t>
      </w:r>
    </w:p>
    <w:p w14:paraId="1F89659B">
      <w:pPr>
        <w:pStyle w:val="11"/>
        <w:rPr>
          <w:rFonts w:hint="eastAsia" w:ascii="Times New Roman" w:hAnsi="Calibri" w:eastAsia="宋体" w:cs="Times New Roman"/>
          <w:sz w:val="21"/>
        </w:rPr>
      </w:pPr>
      <w:r>
        <w:rPr>
          <w:rFonts w:hint="eastAsia" w:ascii="Times New Roman" w:hAnsi="Calibri" w:eastAsia="宋体" w:cs="Times New Roman"/>
          <w:sz w:val="21"/>
        </w:rPr>
        <w:t>（三）协同失灵的典型表现与矫正</w:t>
      </w:r>
    </w:p>
    <w:p w14:paraId="09136EE8">
      <w:pPr>
        <w:pStyle w:val="11"/>
        <w:rPr>
          <w:rFonts w:hint="eastAsia" w:ascii="Times New Roman" w:hAnsi="Calibri" w:eastAsia="宋体" w:cs="Times New Roman"/>
          <w:sz w:val="21"/>
        </w:rPr>
      </w:pPr>
      <w:r>
        <w:rPr>
          <w:rFonts w:hint="eastAsia" w:ascii="Times New Roman" w:hAnsi="Calibri" w:eastAsia="宋体" w:cs="Times New Roman"/>
          <w:sz w:val="21"/>
        </w:rPr>
        <w:t>项目实施中的协同失灵大致表现为三类情况：责任分散，问题存在却无人真正闭环；信息断裂，上游变化未能及时传到下游；沟通失效，表面频繁协调却没有形成连续执行。这些问题之所以反复出现，与工程项目临时性强、参与方关系短期化、专业边界明显有直接关系。在这种条件下，单靠经验协调很难长期维持高质量协同。智慧工地的现实意义，正在于为协同关系提供更稳定的制度化和数据化支撑。它不能消除组织差异，却能够通过更清晰的责任表达、更透明的状态呈现和更连续的信息留存，把协同从个人推动转向更可持续的机制运行。由此可见，协同管理理论为智慧工地提供的，不只是解释框架，更是判断数字化建设是否真正进入治理层的重要尺度。</w:t>
      </w:r>
    </w:p>
    <w:p w14:paraId="19272A75">
      <w:pPr>
        <w:pStyle w:val="4"/>
        <w:bidi w:val="0"/>
        <w:rPr>
          <w:rFonts w:hint="eastAsia"/>
        </w:rPr>
      </w:pPr>
      <w:r>
        <w:rPr>
          <w:rFonts w:hint="eastAsia"/>
        </w:rPr>
        <w:t>三、数据驱动决策的运行逻辑</w:t>
      </w:r>
    </w:p>
    <w:p w14:paraId="397BAA41">
      <w:pPr>
        <w:pStyle w:val="11"/>
        <w:rPr>
          <w:rFonts w:hint="eastAsia" w:ascii="Times New Roman" w:hAnsi="Calibri" w:eastAsia="宋体" w:cs="Times New Roman"/>
          <w:sz w:val="21"/>
        </w:rPr>
      </w:pPr>
      <w:r>
        <w:rPr>
          <w:rFonts w:hint="eastAsia" w:ascii="Times New Roman" w:hAnsi="Calibri" w:eastAsia="宋体" w:cs="Times New Roman"/>
          <w:sz w:val="21"/>
        </w:rPr>
        <w:t>（一）现场数据采集的基础逻辑</w:t>
      </w:r>
    </w:p>
    <w:p w14:paraId="3938BA7A">
      <w:pPr>
        <w:pStyle w:val="11"/>
        <w:rPr>
          <w:rFonts w:hint="eastAsia" w:ascii="Times New Roman" w:hAnsi="Calibri" w:eastAsia="宋体" w:cs="Times New Roman"/>
          <w:sz w:val="21"/>
        </w:rPr>
      </w:pPr>
      <w:r>
        <w:rPr>
          <w:rFonts w:hint="eastAsia" w:ascii="Times New Roman" w:hAnsi="Calibri" w:eastAsia="宋体" w:cs="Times New Roman"/>
          <w:sz w:val="21"/>
        </w:rPr>
        <w:t>数据驱动决策的起点不是数据越多越好，而是采集必须围绕管理需求展开。施工现场每天都会产生大量信息，但真正有价值的数据，往往不是最花哨的，而是能够直接支撑治理动作的数据。人员身份、在岗状态、设备运行、工序完成、环境变化和隐患整改，这些信息之所以值得采集，并不在于它们能够填满系统界面，而在于它们能够进入判断链条。若脱离管理目标盲目采集，终端装得再多、表单填得再满，也可能只是形成新的形式化负担。智慧工地强调的数据采集，本质上是围绕现场问题配置证据链，使现场状态能够被更准确地识别和调用。</w:t>
      </w:r>
    </w:p>
    <w:p w14:paraId="69235BD6">
      <w:pPr>
        <w:pStyle w:val="11"/>
        <w:rPr>
          <w:rFonts w:hint="eastAsia" w:ascii="Times New Roman" w:hAnsi="Calibri" w:eastAsia="宋体" w:cs="Times New Roman"/>
          <w:sz w:val="21"/>
        </w:rPr>
      </w:pPr>
      <w:r>
        <w:rPr>
          <w:rFonts w:hint="eastAsia" w:ascii="Times New Roman" w:hAnsi="Calibri" w:eastAsia="宋体" w:cs="Times New Roman"/>
          <w:sz w:val="21"/>
        </w:rPr>
        <w:t>（二）数据分析支撑管理判断</w:t>
      </w:r>
    </w:p>
    <w:p w14:paraId="5B80A7FB">
      <w:pPr>
        <w:pStyle w:val="11"/>
        <w:rPr>
          <w:rFonts w:hint="eastAsia" w:ascii="Times New Roman" w:hAnsi="Calibri" w:eastAsia="宋体" w:cs="Times New Roman"/>
          <w:sz w:val="21"/>
        </w:rPr>
      </w:pPr>
      <w:r>
        <w:rPr>
          <w:rFonts w:hint="eastAsia" w:ascii="Times New Roman" w:hAnsi="Calibri" w:eastAsia="宋体" w:cs="Times New Roman"/>
          <w:sz w:val="21"/>
        </w:rPr>
        <w:t>数据真正发挥作用，并不在于被保存下来，而在于被转化为管理判断。施工现场中的许多偏差并不直接暴露原因，进度放缓可能来自材料供应，也可能来自工序衔接、劳动力配置或场地组织。若缺少有效分析，管理者往往只能依据经验对表象作出反应，措施未必切中要害。智慧工地的进步之处，就在于努力把记录数据转变为判断数据，通过关联比较、趋势识别和异常发现，帮助管理者穿透表象、识别结构性原因。对大多数项目而言，真正有价值的分析并不一定依赖复杂算法，而在于能否把分散状态组织成有解释力的判断依据。</w:t>
      </w:r>
    </w:p>
    <w:p w14:paraId="4EBDA659">
      <w:pPr>
        <w:pStyle w:val="11"/>
        <w:rPr>
          <w:rFonts w:hint="eastAsia" w:ascii="Times New Roman" w:hAnsi="Calibri" w:eastAsia="宋体" w:cs="Times New Roman"/>
          <w:sz w:val="21"/>
        </w:rPr>
      </w:pPr>
      <w:r>
        <w:rPr>
          <w:rFonts w:hint="eastAsia" w:ascii="Times New Roman" w:hAnsi="Calibri" w:eastAsia="宋体" w:cs="Times New Roman"/>
          <w:sz w:val="21"/>
        </w:rPr>
        <w:t>（三）反馈闭环推动动态纠偏</w:t>
      </w:r>
    </w:p>
    <w:p w14:paraId="6E810368">
      <w:pPr>
        <w:pStyle w:val="11"/>
        <w:rPr>
          <w:rFonts w:hint="eastAsia" w:ascii="Times New Roman" w:hAnsi="Calibri" w:eastAsia="宋体" w:cs="Times New Roman"/>
          <w:sz w:val="21"/>
        </w:rPr>
      </w:pPr>
      <w:r>
        <w:rPr>
          <w:rFonts w:hint="eastAsia" w:ascii="Times New Roman" w:hAnsi="Calibri" w:eastAsia="宋体" w:cs="Times New Roman"/>
          <w:sz w:val="21"/>
        </w:rPr>
        <w:t>数据驱动决策如果止步于发现问题，就仍然只是观察。真正的治理能力，体现在采集、分析、反馈和修正形成连续闭环。采集让现场状态被感知，分析让偏差被识别，反馈让责任主体获得明确方向，修正则使系统重新回到目标轨道。现实中不少项目已经具备前两个环节，却在后续处理上明显不足，结果是问题可以被看到，却不能被持续推动解决。智慧工地的深层价值，正在于把数字能力嵌入管理过程，使问题不只能够被发现，还能够形成后续处置的依据。对复杂施工现场来说，这种动态纠偏能力比单纯的可视化展示更接近数字化管理的实质。</w:t>
      </w:r>
    </w:p>
    <w:p w14:paraId="22CFA2CB">
      <w:pPr>
        <w:pStyle w:val="4"/>
        <w:bidi w:val="0"/>
        <w:rPr>
          <w:rFonts w:hint="eastAsia"/>
        </w:rPr>
      </w:pPr>
      <w:r>
        <w:rPr>
          <w:rFonts w:hint="eastAsia"/>
        </w:rPr>
        <w:t>四、智慧工地建设的综合价值表达</w:t>
      </w:r>
    </w:p>
    <w:p w14:paraId="7575FAB7">
      <w:pPr>
        <w:pStyle w:val="11"/>
        <w:rPr>
          <w:rFonts w:hint="eastAsia" w:ascii="Times New Roman" w:hAnsi="Calibri" w:eastAsia="宋体" w:cs="Times New Roman"/>
          <w:sz w:val="21"/>
        </w:rPr>
      </w:pPr>
      <w:r>
        <w:rPr>
          <w:rFonts w:hint="eastAsia" w:ascii="Times New Roman" w:hAnsi="Calibri" w:eastAsia="宋体" w:cs="Times New Roman"/>
          <w:sz w:val="21"/>
        </w:rPr>
        <w:t>（一）质量安全控制效益</w:t>
      </w:r>
    </w:p>
    <w:p w14:paraId="77C3D078">
      <w:pPr>
        <w:pStyle w:val="11"/>
        <w:rPr>
          <w:rFonts w:hint="eastAsia" w:ascii="Times New Roman" w:hAnsi="Calibri" w:eastAsia="宋体" w:cs="Times New Roman"/>
          <w:sz w:val="21"/>
        </w:rPr>
      </w:pPr>
      <w:r>
        <w:rPr>
          <w:rFonts w:hint="eastAsia" w:ascii="Times New Roman" w:hAnsi="Calibri" w:eastAsia="宋体" w:cs="Times New Roman"/>
          <w:sz w:val="21"/>
        </w:rPr>
        <w:t>智慧工地最直接的价值，体现在质量安全控制的前移。传统质量安全管理并非没有制度，难点在于过程证据不足、问题发现偏晚、责任链条不够清晰。特别是在隐蔽工程、危大工程和交叉作业频繁的场景中，若过程记录不完整，后续追溯和复盘都十分困难。智慧工地通过状态感知、过程留痕和风险提示，使质量安全控制由终点检查逐步转向全过程控制。其真正意义不在于“发现更多问题”，而在于把问题暴露时点前移，使治理成本更低、处置空间更大。</w:t>
      </w:r>
    </w:p>
    <w:p w14:paraId="0A9DDC14">
      <w:pPr>
        <w:pStyle w:val="11"/>
        <w:rPr>
          <w:rFonts w:hint="eastAsia" w:ascii="Times New Roman" w:hAnsi="Calibri" w:eastAsia="宋体" w:cs="Times New Roman"/>
          <w:sz w:val="21"/>
        </w:rPr>
      </w:pPr>
      <w:r>
        <w:rPr>
          <w:rFonts w:hint="eastAsia" w:ascii="Times New Roman" w:hAnsi="Calibri" w:eastAsia="宋体" w:cs="Times New Roman"/>
          <w:sz w:val="21"/>
        </w:rPr>
        <w:t>（二）工期成本协同效益</w:t>
      </w:r>
    </w:p>
    <w:p w14:paraId="7DADDE8B">
      <w:pPr>
        <w:pStyle w:val="11"/>
        <w:rPr>
          <w:rFonts w:hint="eastAsia" w:ascii="Times New Roman" w:hAnsi="Calibri" w:eastAsia="宋体" w:cs="Times New Roman"/>
          <w:sz w:val="21"/>
        </w:rPr>
      </w:pPr>
      <w:r>
        <w:rPr>
          <w:rFonts w:hint="eastAsia" w:ascii="Times New Roman" w:hAnsi="Calibri" w:eastAsia="宋体" w:cs="Times New Roman"/>
          <w:sz w:val="21"/>
        </w:rPr>
        <w:t>工程项目的工期与成本长期相互牵连。工期拖延会推高管理费和资源消耗，资源组织失衡又会反过来扰乱施工节奏。智慧工地的重要作用，在于为工期和成本协同提供更接近现场真实状态的信息基础。通过对人员、设备、材料和作业面变化的动态掌握，项目部能够更早识别等待、冲突、闲置和返工，把许多本会在结果层面才暴露的问题前移到施工组织阶段处理。这样形成的价值，不仅是节约成本，更是减少决策盲区，使调整建立在过程事实之上，而不是建立在结果出来后的被动解释之上。</w:t>
      </w:r>
    </w:p>
    <w:p w14:paraId="0FAE11CF">
      <w:pPr>
        <w:pStyle w:val="11"/>
        <w:rPr>
          <w:rFonts w:hint="eastAsia" w:ascii="Times New Roman" w:hAnsi="Calibri" w:eastAsia="宋体" w:cs="Times New Roman"/>
          <w:sz w:val="21"/>
        </w:rPr>
      </w:pPr>
      <w:r>
        <w:rPr>
          <w:rFonts w:hint="eastAsia" w:ascii="Times New Roman" w:hAnsi="Calibri" w:eastAsia="宋体" w:cs="Times New Roman"/>
          <w:sz w:val="21"/>
        </w:rPr>
        <w:t>（三）组织协同与治理现代化效益</w:t>
      </w:r>
    </w:p>
    <w:p w14:paraId="3CEAC7C7">
      <w:pPr>
        <w:pStyle w:val="11"/>
        <w:rPr>
          <w:rFonts w:ascii="Times New Roman" w:hAnsi="Calibri" w:eastAsia="宋体" w:cs="Times New Roman"/>
          <w:sz w:val="21"/>
        </w:rPr>
      </w:pPr>
      <w:r>
        <w:rPr>
          <w:rFonts w:hint="eastAsia" w:ascii="Times New Roman" w:hAnsi="Calibri" w:eastAsia="宋体" w:cs="Times New Roman"/>
          <w:sz w:val="21"/>
        </w:rPr>
        <w:t>智慧工地更深层的价值，最终落在组织协同和治理现代化上。质量安全、工期成本固然重要，但若没有组织透明度、响应效率和制度执行力的提升，这些成效往往难以持续。数字化条件一旦能够让事项流转更有序、责任链条更清楚、问题状态更透明，项目运行方式就会发生变化。它推动的不只是某项技术应用，而是现场治理从依赖个人经验和临时催办，逐步走向依赖规则、信息和持续留痕。与此同时，项目过程中的经验、问题类型和处置方式也有机会被沉淀为组织资产，服务于后续项目复用。这说明智慧工地的综合价值并不限于单个项目提效，而在于为建筑业治理方式升级提供现实支撑。</w:t>
      </w:r>
    </w:p>
    <w:p w14:paraId="0EE85863">
      <w:pPr>
        <w:pStyle w:val="3"/>
        <w:numPr>
          <w:ilvl w:val="0"/>
          <w:numId w:val="0"/>
        </w:numPr>
        <w:ind w:left="0" w:leftChars="0" w:firstLine="0" w:firstLineChars="0"/>
        <w:rPr>
          <w:b/>
        </w:rPr>
      </w:pPr>
      <w:bookmarkStart w:id="6" w:name="_Toc2050"/>
      <w:r>
        <w:rPr>
          <w:rFonts w:hint="eastAsia" w:ascii="宋体" w:hAnsi="宋体" w:eastAsia="黑体" w:cs="宋体"/>
          <w:b/>
          <w:bCs/>
          <w:kern w:val="44"/>
          <w:sz w:val="30"/>
          <w:szCs w:val="30"/>
        </w:rPr>
        <w:t>第四节</w:t>
      </w:r>
      <w:r>
        <w:rPr>
          <w:rFonts w:hint="eastAsia" w:cs="宋体"/>
          <w:b/>
          <w:bCs/>
          <w:kern w:val="44"/>
          <w:sz w:val="30"/>
          <w:szCs w:val="30"/>
          <w:lang w:val="en-US" w:eastAsia="zh-CN"/>
        </w:rPr>
        <w:t xml:space="preserve"> </w:t>
      </w:r>
      <w:r>
        <w:t>智慧工地的发展阶段与演进趋势</w:t>
      </w:r>
      <w:bookmarkEnd w:id="6"/>
    </w:p>
    <w:p w14:paraId="5BF925C0">
      <w:pPr>
        <w:pStyle w:val="4"/>
        <w:bidi w:val="0"/>
        <w:rPr>
          <w:rFonts w:hint="eastAsia"/>
        </w:rPr>
      </w:pPr>
      <w:r>
        <w:rPr>
          <w:rFonts w:hint="eastAsia"/>
        </w:rPr>
        <w:t>一、单点应用阶段的主要特征</w:t>
      </w:r>
    </w:p>
    <w:p w14:paraId="33A8818E">
      <w:pPr>
        <w:pStyle w:val="11"/>
        <w:rPr>
          <w:rFonts w:hint="eastAsia" w:ascii="Times New Roman" w:hAnsi="Calibri" w:eastAsia="宋体" w:cs="Times New Roman"/>
          <w:sz w:val="21"/>
        </w:rPr>
      </w:pPr>
      <w:r>
        <w:rPr>
          <w:rFonts w:hint="eastAsia" w:ascii="Times New Roman" w:hAnsi="Calibri" w:eastAsia="宋体" w:cs="Times New Roman"/>
          <w:sz w:val="21"/>
        </w:rPr>
        <w:t>（一）单项功能建设先行</w:t>
      </w:r>
    </w:p>
    <w:p w14:paraId="26144EBD">
      <w:pPr>
        <w:pStyle w:val="11"/>
        <w:rPr>
          <w:rFonts w:hint="eastAsia" w:ascii="Times New Roman" w:hAnsi="Calibri" w:eastAsia="宋体" w:cs="Times New Roman"/>
          <w:sz w:val="21"/>
        </w:rPr>
      </w:pPr>
      <w:r>
        <w:rPr>
          <w:rFonts w:hint="eastAsia" w:ascii="Times New Roman" w:hAnsi="Calibri" w:eastAsia="宋体" w:cs="Times New Roman"/>
          <w:sz w:val="21"/>
        </w:rPr>
        <w:t>智慧工地最早并不是以完整体系的形态进入施工现场，而是从若干单项功能逐步展开。实名制考勤、视频监控、环境监测、塔机和施工升降机监测，往往是项目最先部署的内容。原因并不复杂，施工现场面对的管理压力总是具体的，人员进出要管，文明施工要查，特种设备风险要控，项目更愿意优先采用那些目标清楚、部署方便、短期内能够见效的工具。这个阶段的智慧工地，更接近于传统管理框架外加装的一层数字化感知装置，它改善了局部监督条件，也让项目部第一次较大范围地接触到自动采集、连续留痕和远程观察的管理方式。</w:t>
      </w:r>
    </w:p>
    <w:p w14:paraId="7647A13E">
      <w:pPr>
        <w:pStyle w:val="11"/>
        <w:rPr>
          <w:rFonts w:hint="eastAsia" w:ascii="Times New Roman" w:hAnsi="Calibri" w:eastAsia="宋体" w:cs="Times New Roman"/>
          <w:sz w:val="21"/>
        </w:rPr>
      </w:pPr>
      <w:r>
        <w:rPr>
          <w:rFonts w:hint="eastAsia" w:ascii="Times New Roman" w:hAnsi="Calibri" w:eastAsia="宋体" w:cs="Times New Roman"/>
          <w:sz w:val="21"/>
        </w:rPr>
        <w:t>这种路径有明显的现实合理性。工程现场不可能一开始就完成整体重构，项目更在意投入之后能否立刻缓解具体矛盾。单项功能之所以能够快速推广，正是因为它们先解决了最直观的问题。人员管理更规范，关键区域更可视，设备状态更透明，环境数据更连续，这些变化虽然还不足以构成系统治理，但已经说明数字技术介入施工现场具有实际意义。</w:t>
      </w:r>
    </w:p>
    <w:p w14:paraId="5515A606">
      <w:pPr>
        <w:pStyle w:val="11"/>
        <w:rPr>
          <w:rFonts w:hint="eastAsia" w:ascii="Times New Roman" w:hAnsi="Calibri" w:eastAsia="宋体" w:cs="Times New Roman"/>
          <w:sz w:val="21"/>
        </w:rPr>
      </w:pPr>
      <w:r>
        <w:rPr>
          <w:rFonts w:hint="eastAsia" w:ascii="Times New Roman" w:hAnsi="Calibri" w:eastAsia="宋体" w:cs="Times New Roman"/>
          <w:sz w:val="21"/>
        </w:rPr>
        <w:t>（二）系统之间相互割裂</w:t>
      </w:r>
    </w:p>
    <w:p w14:paraId="7CBD3D15">
      <w:pPr>
        <w:pStyle w:val="11"/>
        <w:rPr>
          <w:rFonts w:hint="eastAsia" w:ascii="Times New Roman" w:hAnsi="Calibri" w:eastAsia="宋体" w:cs="Times New Roman"/>
          <w:sz w:val="21"/>
        </w:rPr>
      </w:pPr>
      <w:r>
        <w:rPr>
          <w:rFonts w:hint="eastAsia" w:ascii="Times New Roman" w:hAnsi="Calibri" w:eastAsia="宋体" w:cs="Times New Roman"/>
          <w:sz w:val="21"/>
        </w:rPr>
        <w:t>单点应用阶段最明显的局限，是系统之间彼此分离。不同业务口围绕各自职责配置不同系统，不同终端生成不同数据，不同岗位保有不同台账，结果是现场虽然比过去拥有更多数字记录，却没有形成统一的信息结构。考勤数据停留在实名制系统里，视频数据停留在监控平台上，设备监测和环境监测各自形成独立界面，项目管理者需要在多个入口之间反复切换，数据并没有自然转化为更高质量的管理判断。</w:t>
      </w:r>
    </w:p>
    <w:p w14:paraId="3B8258A3">
      <w:pPr>
        <w:pStyle w:val="11"/>
        <w:rPr>
          <w:rFonts w:hint="eastAsia" w:ascii="Times New Roman" w:hAnsi="Calibri" w:eastAsia="宋体" w:cs="Times New Roman"/>
          <w:sz w:val="21"/>
        </w:rPr>
      </w:pPr>
      <w:r>
        <w:rPr>
          <w:rFonts w:hint="eastAsia" w:ascii="Times New Roman" w:hAnsi="Calibri" w:eastAsia="宋体" w:cs="Times New Roman"/>
          <w:sz w:val="21"/>
        </w:rPr>
        <w:t>更值得注意的是，这种割裂削弱了项目对现场整体状态的把握。施工现场中的风险和偏差大多不是单一因素造成的，而是多类对象共同作用的结果。若系统之间缺少联系，管理者看到的始终只是局部切片，而不是运行全貌。于是，单点应用虽然提高了局部透明度，却没有真正改变现场治理的结构，数字化更多表现为资料增加，而非组织升级。</w:t>
      </w:r>
    </w:p>
    <w:p w14:paraId="24168C9E">
      <w:pPr>
        <w:pStyle w:val="11"/>
        <w:rPr>
          <w:rFonts w:hint="eastAsia" w:ascii="Times New Roman" w:hAnsi="Calibri" w:eastAsia="宋体" w:cs="Times New Roman"/>
          <w:sz w:val="21"/>
        </w:rPr>
      </w:pPr>
      <w:r>
        <w:rPr>
          <w:rFonts w:hint="eastAsia" w:ascii="Times New Roman" w:hAnsi="Calibri" w:eastAsia="宋体" w:cs="Times New Roman"/>
          <w:sz w:val="21"/>
        </w:rPr>
        <w:t>（三）应用价值局部显现</w:t>
      </w:r>
    </w:p>
    <w:p w14:paraId="4F9A161B">
      <w:pPr>
        <w:pStyle w:val="11"/>
        <w:rPr>
          <w:rFonts w:hint="eastAsia" w:ascii="Times New Roman" w:hAnsi="Calibri" w:eastAsia="宋体" w:cs="Times New Roman"/>
          <w:sz w:val="21"/>
        </w:rPr>
      </w:pPr>
      <w:r>
        <w:rPr>
          <w:rFonts w:hint="eastAsia" w:ascii="Times New Roman" w:hAnsi="Calibri" w:eastAsia="宋体" w:cs="Times New Roman"/>
          <w:sz w:val="21"/>
        </w:rPr>
        <w:t>尽管存在边界，单点应用阶段仍然具有不可替代的作用。它让施工现场第一次较为直接地感受到数字工具的现实价值。一次准确的异常提示，一段关键工序的影像留痕，一份自动生成的人员记录，都可能比抽象概念更能建立项目团队的信任。很多企业后续愿意推进平台建设，并不是因为一开始就拥有成熟规划，而是因为这些单项应用已经证明，数字化并非空泛口号，而确实能够对现场管理产生帮助。</w:t>
      </w:r>
    </w:p>
    <w:p w14:paraId="2D7B0BCB">
      <w:pPr>
        <w:pStyle w:val="11"/>
        <w:rPr>
          <w:rFonts w:hint="eastAsia" w:ascii="Times New Roman" w:hAnsi="Calibri" w:eastAsia="宋体" w:cs="Times New Roman"/>
          <w:sz w:val="21"/>
        </w:rPr>
      </w:pPr>
      <w:r>
        <w:rPr>
          <w:rFonts w:hint="eastAsia" w:ascii="Times New Roman" w:hAnsi="Calibri" w:eastAsia="宋体" w:cs="Times New Roman"/>
          <w:sz w:val="21"/>
        </w:rPr>
        <w:t>但这一阶段的价值仍然是局部性的。它改善的是某些管理节点，而不是项目整体运行逻辑。项目开始看见更多现场状态，却还没有形成把这些状态统一组织起来的能力。正因为局部成效与整体不足并存，智慧工地的发展才会自然进入下一阶段，即由分散建设转向平台集成。</w:t>
      </w:r>
    </w:p>
    <w:p w14:paraId="395C77B4">
      <w:pPr>
        <w:pStyle w:val="4"/>
        <w:bidi w:val="0"/>
        <w:rPr>
          <w:rFonts w:hint="eastAsia"/>
        </w:rPr>
      </w:pPr>
      <w:r>
        <w:rPr>
          <w:rFonts w:hint="eastAsia"/>
        </w:rPr>
        <w:t>二、平台集成阶段的组织变化</w:t>
      </w:r>
    </w:p>
    <w:p w14:paraId="2BB08FE6">
      <w:pPr>
        <w:pStyle w:val="11"/>
        <w:rPr>
          <w:rFonts w:hint="eastAsia" w:ascii="Times New Roman" w:hAnsi="Calibri" w:eastAsia="宋体" w:cs="Times New Roman"/>
          <w:sz w:val="21"/>
        </w:rPr>
      </w:pPr>
      <w:r>
        <w:rPr>
          <w:rFonts w:hint="eastAsia" w:ascii="Times New Roman" w:hAnsi="Calibri" w:eastAsia="宋体" w:cs="Times New Roman"/>
          <w:sz w:val="21"/>
        </w:rPr>
        <w:t>（一）多系统并联向平台贯通转变</w:t>
      </w:r>
    </w:p>
    <w:p w14:paraId="10A6E826">
      <w:pPr>
        <w:pStyle w:val="11"/>
        <w:rPr>
          <w:rFonts w:hint="eastAsia" w:ascii="Times New Roman" w:hAnsi="Calibri" w:eastAsia="宋体" w:cs="Times New Roman"/>
          <w:sz w:val="21"/>
        </w:rPr>
      </w:pPr>
      <w:r>
        <w:rPr>
          <w:rFonts w:hint="eastAsia" w:ascii="Times New Roman" w:hAnsi="Calibri" w:eastAsia="宋体" w:cs="Times New Roman"/>
          <w:sz w:val="21"/>
        </w:rPr>
        <w:t>当施工现场积累起足够多的单项系统后，新的问题很快出现：信息越来越多，真正能够支撑决策的内容却没有同步增加。平台集成阶段正是在这样的背景下形成的。与单点应用相比，这一阶段的重点不再是增加多少终端，而是推动数据汇聚、接口衔接和业务贯通。原本相互独立的系统开始纳入统一平台或统一数据框架，项目管理由此从分散观察走向集中掌握。</w:t>
      </w:r>
    </w:p>
    <w:p w14:paraId="28DFA0F5">
      <w:pPr>
        <w:pStyle w:val="11"/>
        <w:rPr>
          <w:rFonts w:hint="eastAsia" w:ascii="Times New Roman" w:hAnsi="Calibri" w:eastAsia="宋体" w:cs="Times New Roman"/>
          <w:sz w:val="21"/>
        </w:rPr>
      </w:pPr>
      <w:r>
        <w:rPr>
          <w:rFonts w:hint="eastAsia" w:ascii="Times New Roman" w:hAnsi="Calibri" w:eastAsia="宋体" w:cs="Times New Roman"/>
          <w:sz w:val="21"/>
        </w:rPr>
        <w:t>这一转变的意义，在于现场信息开始由孤立存在转向相互关联。实名制数据不再只是考勤记录，视频识别结果也不再只是画面告警，设备状态信息同样不再停留于单一监测界面。平台因此逐步由展示窗口转向项目运行的信息中枢，管理者获取现场情况的方式也随之变化。</w:t>
      </w:r>
    </w:p>
    <w:p w14:paraId="24850293">
      <w:pPr>
        <w:pStyle w:val="11"/>
        <w:rPr>
          <w:rFonts w:hint="eastAsia" w:ascii="Times New Roman" w:hAnsi="Calibri" w:eastAsia="宋体" w:cs="Times New Roman"/>
          <w:sz w:val="21"/>
        </w:rPr>
      </w:pPr>
      <w:r>
        <w:rPr>
          <w:rFonts w:hint="eastAsia" w:ascii="Times New Roman" w:hAnsi="Calibri" w:eastAsia="宋体" w:cs="Times New Roman"/>
          <w:sz w:val="21"/>
        </w:rPr>
        <w:t>（二）数据归集促进组织重构</w:t>
      </w:r>
    </w:p>
    <w:p w14:paraId="1593B11E">
      <w:pPr>
        <w:pStyle w:val="11"/>
        <w:rPr>
          <w:rFonts w:hint="eastAsia" w:ascii="Times New Roman" w:hAnsi="Calibri" w:eastAsia="宋体" w:cs="Times New Roman"/>
          <w:sz w:val="21"/>
        </w:rPr>
      </w:pPr>
      <w:r>
        <w:rPr>
          <w:rFonts w:hint="eastAsia" w:ascii="Times New Roman" w:hAnsi="Calibri" w:eastAsia="宋体" w:cs="Times New Roman"/>
          <w:sz w:val="21"/>
        </w:rPr>
        <w:t>平台集成的影响并不限于技术层面，它会反过来推动项目组织发生调整。数据一旦集中，谁录入、谁审核、谁处置、谁复核，便不能再长期依赖经验默契，而需要形成更明确的流程和责任界面。许多原先散落在不同岗位之间的工作接口，会在平台运行过程中被重新梳理。项目组织形式未必发生剧烈变化，但职责运行逻辑已经明显不同。</w:t>
      </w:r>
    </w:p>
    <w:p w14:paraId="03FCBFF3">
      <w:pPr>
        <w:pStyle w:val="11"/>
        <w:rPr>
          <w:rFonts w:hint="eastAsia" w:ascii="Times New Roman" w:hAnsi="Calibri" w:eastAsia="宋体" w:cs="Times New Roman"/>
          <w:sz w:val="21"/>
        </w:rPr>
      </w:pPr>
      <w:r>
        <w:rPr>
          <w:rFonts w:hint="eastAsia" w:ascii="Times New Roman" w:hAnsi="Calibri" w:eastAsia="宋体" w:cs="Times New Roman"/>
          <w:sz w:val="21"/>
        </w:rPr>
        <w:t>这种变化最重要的结果，是项目开始由人找信息转向信息找人。异常状态、超期事项和未闭环问题会在系统中持续显现，并推动相关岗位及时响应。平台越成熟，项目对个别强势管理者的依赖就越可能下降，组织运行也越有机会形成可复制、可延续的机制。</w:t>
      </w:r>
    </w:p>
    <w:p w14:paraId="70F367D7">
      <w:pPr>
        <w:pStyle w:val="11"/>
        <w:rPr>
          <w:rFonts w:hint="eastAsia" w:ascii="Times New Roman" w:hAnsi="Calibri" w:eastAsia="宋体" w:cs="Times New Roman"/>
          <w:sz w:val="21"/>
        </w:rPr>
      </w:pPr>
      <w:r>
        <w:rPr>
          <w:rFonts w:hint="eastAsia" w:ascii="Times New Roman" w:hAnsi="Calibri" w:eastAsia="宋体" w:cs="Times New Roman"/>
          <w:sz w:val="21"/>
        </w:rPr>
        <w:t>（三）协同机制由线下转向线上</w:t>
      </w:r>
    </w:p>
    <w:p w14:paraId="0523504A">
      <w:pPr>
        <w:pStyle w:val="11"/>
        <w:rPr>
          <w:rFonts w:hint="eastAsia" w:ascii="Times New Roman" w:hAnsi="Calibri" w:eastAsia="宋体" w:cs="Times New Roman"/>
          <w:sz w:val="21"/>
        </w:rPr>
      </w:pPr>
      <w:r>
        <w:rPr>
          <w:rFonts w:hint="eastAsia" w:ascii="Times New Roman" w:hAnsi="Calibri" w:eastAsia="宋体" w:cs="Times New Roman"/>
          <w:sz w:val="21"/>
        </w:rPr>
        <w:t>平台集成阶段带来的另一项重要变化，是协同方式由线下主导逐步转向线上主导。过去项目中的许多关键事项主要依靠电话、会议和微信群推动，事项状态不透明，责任传递也容易失真。线上协同并不是取消现场沟通，而是让沟通建立在更明确的事实和更稳定的流程基础之上。事项一旦能够在线流转，协同就不再只是临时催办，而成为有节点、有状态、有责任留痕的连续过程。</w:t>
      </w:r>
    </w:p>
    <w:p w14:paraId="08DB4483">
      <w:pPr>
        <w:pStyle w:val="11"/>
        <w:rPr>
          <w:rFonts w:hint="eastAsia" w:ascii="Times New Roman" w:hAnsi="Calibri" w:eastAsia="宋体" w:cs="Times New Roman"/>
          <w:sz w:val="21"/>
        </w:rPr>
      </w:pPr>
      <w:r>
        <w:rPr>
          <w:rFonts w:hint="eastAsia" w:ascii="Times New Roman" w:hAnsi="Calibri" w:eastAsia="宋体" w:cs="Times New Roman"/>
          <w:sz w:val="21"/>
        </w:rPr>
        <w:t>这种变化使项目管理由粗放协调逐渐走向规则协同。很多过去容易在口头传递中被弱化的问题，会因为平台流程的存在而持续暴露，直到形成闭环。当然，线上协同并不天然意味着高效，若业务规则本身模糊，系统只是把混乱电子化。也正因为如此，平台集成阶段考验的已不仅是技术实施能力，更是制度建设和组织执行能力。</w:t>
      </w:r>
    </w:p>
    <w:p w14:paraId="22036C70">
      <w:pPr>
        <w:pStyle w:val="4"/>
        <w:bidi w:val="0"/>
        <w:rPr>
          <w:rFonts w:hint="eastAsia"/>
        </w:rPr>
      </w:pPr>
      <w:r>
        <w:rPr>
          <w:rFonts w:hint="eastAsia"/>
        </w:rPr>
        <w:t>三、智能协同阶段的发展方向</w:t>
      </w:r>
    </w:p>
    <w:p w14:paraId="047571FC">
      <w:pPr>
        <w:pStyle w:val="11"/>
        <w:rPr>
          <w:rFonts w:hint="eastAsia" w:ascii="Times New Roman" w:hAnsi="Calibri" w:eastAsia="宋体" w:cs="Times New Roman"/>
          <w:sz w:val="21"/>
        </w:rPr>
      </w:pPr>
      <w:r>
        <w:rPr>
          <w:rFonts w:hint="eastAsia" w:ascii="Times New Roman" w:hAnsi="Calibri" w:eastAsia="宋体" w:cs="Times New Roman"/>
          <w:sz w:val="21"/>
        </w:rPr>
        <w:t>（一）智能识别走向辅助决策</w:t>
      </w:r>
    </w:p>
    <w:p w14:paraId="4BD3539C">
      <w:pPr>
        <w:pStyle w:val="11"/>
        <w:rPr>
          <w:rFonts w:hint="eastAsia" w:ascii="Times New Roman" w:hAnsi="Calibri" w:eastAsia="宋体" w:cs="Times New Roman"/>
          <w:sz w:val="21"/>
        </w:rPr>
      </w:pPr>
      <w:r>
        <w:rPr>
          <w:rFonts w:hint="eastAsia" w:ascii="Times New Roman" w:hAnsi="Calibri" w:eastAsia="宋体" w:cs="Times New Roman"/>
          <w:sz w:val="21"/>
        </w:rPr>
        <w:t>在平台集成逐步成熟后，智慧工地的发展方向开始由信息汇聚转向信息理解。智能协同阶段最重要的变化，是系统不再满足于记录和展示，而开始尝试识别异常、判断趋势，并为管理者提供辅助决策支持。视频识别由简单抓拍延伸到行为识别，设备监测由阈值报警转向趋势预警，现场分析也开始由静态统计转向偏差识别和风险提示。</w:t>
      </w:r>
    </w:p>
    <w:p w14:paraId="59AF61FF">
      <w:pPr>
        <w:pStyle w:val="11"/>
        <w:rPr>
          <w:rFonts w:hint="eastAsia" w:ascii="Times New Roman" w:hAnsi="Calibri" w:eastAsia="宋体" w:cs="Times New Roman"/>
          <w:sz w:val="21"/>
        </w:rPr>
      </w:pPr>
      <w:r>
        <w:rPr>
          <w:rFonts w:hint="eastAsia" w:ascii="Times New Roman" w:hAnsi="Calibri" w:eastAsia="宋体" w:cs="Times New Roman"/>
          <w:sz w:val="21"/>
        </w:rPr>
        <w:t>这一阶段真正值得关注的，不是机器是否替代人，而是管理判断是否因此更具前瞻性。施工现场最难处理的往往不是已经暴露的问题，而是尚在形成中的偏差。若系统能够在苗头阶段提供提示，现场治理的主动性就会明显提高。不过，智能协同仍应保持理性边界。工地不是标准化流水线，情境变化快、干扰因素多，任何模型判断都必须服从工程实际。更合理的发展路径，是让系统负责筛选线索、揭示关联、提示风险，把最终决策保留给熟悉现场的管理者。</w:t>
      </w:r>
    </w:p>
    <w:p w14:paraId="06831487">
      <w:pPr>
        <w:pStyle w:val="11"/>
        <w:rPr>
          <w:rFonts w:hint="eastAsia" w:ascii="Times New Roman" w:hAnsi="Calibri" w:eastAsia="宋体" w:cs="Times New Roman"/>
          <w:sz w:val="21"/>
        </w:rPr>
      </w:pPr>
      <w:r>
        <w:rPr>
          <w:rFonts w:hint="eastAsia" w:ascii="Times New Roman" w:hAnsi="Calibri" w:eastAsia="宋体" w:cs="Times New Roman"/>
          <w:sz w:val="21"/>
        </w:rPr>
        <w:t>（二）数字孪生走向动态映射</w:t>
      </w:r>
    </w:p>
    <w:p w14:paraId="18395BEF">
      <w:pPr>
        <w:pStyle w:val="11"/>
        <w:rPr>
          <w:rFonts w:hint="eastAsia" w:ascii="Times New Roman" w:hAnsi="Calibri" w:eastAsia="宋体" w:cs="Times New Roman"/>
          <w:sz w:val="21"/>
        </w:rPr>
      </w:pPr>
      <w:r>
        <w:rPr>
          <w:rFonts w:hint="eastAsia" w:ascii="Times New Roman" w:hAnsi="Calibri" w:eastAsia="宋体" w:cs="Times New Roman"/>
          <w:sz w:val="21"/>
        </w:rPr>
        <w:t>智能协同阶段的另一条趋势，是施工现场的数字表达能力不断增强。早期数字化主要依靠表单、报表和监控画面，后续则逐步走向更强的状态映射和动态表达。这里真正重要的，不是画面是否复杂，而是物理现场的关键变化能否被更及时地反映到数字空间中。进度、设备、人员、环境和风险状态一旦能够形成连续表达，管理者对现场的理解方式就会发生变化。</w:t>
      </w:r>
    </w:p>
    <w:p w14:paraId="32E02929">
      <w:pPr>
        <w:pStyle w:val="11"/>
        <w:rPr>
          <w:rFonts w:hint="eastAsia" w:ascii="Times New Roman" w:hAnsi="Calibri" w:eastAsia="宋体" w:cs="Times New Roman"/>
          <w:sz w:val="21"/>
        </w:rPr>
      </w:pPr>
      <w:r>
        <w:rPr>
          <w:rFonts w:hint="eastAsia" w:ascii="Times New Roman" w:hAnsi="Calibri" w:eastAsia="宋体" w:cs="Times New Roman"/>
          <w:sz w:val="21"/>
        </w:rPr>
        <w:t>这种变化的意义在于，零散数据开始被重新组织成可观察的运行场景。过去一个问题往往分散在多张表、多次汇报和多个系统中，现在则可能在同一数字界面中得到更集中呈现。尤其在空间关系复杂、专业交叉密集的项目里，动态映射会使许多过去依赖经验推断的判断变得更直接，也使数字空间逐步由展示窗口转向现场认知界面。</w:t>
      </w:r>
    </w:p>
    <w:p w14:paraId="0C66BF20">
      <w:pPr>
        <w:pStyle w:val="11"/>
        <w:rPr>
          <w:rFonts w:hint="eastAsia" w:ascii="Times New Roman" w:hAnsi="Calibri" w:eastAsia="宋体" w:cs="Times New Roman"/>
          <w:sz w:val="21"/>
        </w:rPr>
      </w:pPr>
      <w:r>
        <w:rPr>
          <w:rFonts w:hint="eastAsia" w:ascii="Times New Roman" w:hAnsi="Calibri" w:eastAsia="宋体" w:cs="Times New Roman"/>
          <w:sz w:val="21"/>
        </w:rPr>
        <w:t>（三）智慧工地向数字建造延伸</w:t>
      </w:r>
    </w:p>
    <w:p w14:paraId="1981F0B9">
      <w:pPr>
        <w:pStyle w:val="11"/>
        <w:rPr>
          <w:rFonts w:hint="eastAsia" w:ascii="Times New Roman" w:hAnsi="Calibri" w:eastAsia="宋体" w:cs="Times New Roman"/>
          <w:sz w:val="21"/>
        </w:rPr>
      </w:pPr>
      <w:r>
        <w:rPr>
          <w:rFonts w:hint="eastAsia" w:ascii="Times New Roman" w:hAnsi="Calibri" w:eastAsia="宋体" w:cs="Times New Roman"/>
          <w:sz w:val="21"/>
        </w:rPr>
        <w:t>从更长的发展脉络看，智慧工地不会停留在单个施工现场的局部数字化层面，而会进一步向数字建造延伸。设计成果数字化、企业平台联通、监管数据交换、竣工资料整合乃至后续运维信息继承，都要求施工现场形成更连续、更可复用的数据基础。智慧工地作为最贴近实施过程的数字单元，未来很可能成为连接策划、建设、交付和运营的重要节点。</w:t>
      </w:r>
    </w:p>
    <w:p w14:paraId="72F0ABA7">
      <w:pPr>
        <w:pStyle w:val="11"/>
        <w:rPr>
          <w:rFonts w:hint="eastAsia" w:ascii="Times New Roman" w:hAnsi="Calibri" w:eastAsia="宋体" w:cs="Times New Roman"/>
          <w:sz w:val="21"/>
        </w:rPr>
        <w:sectPr>
          <w:headerReference r:id="rId13" w:type="default"/>
          <w:footerReference r:id="rId15" w:type="default"/>
          <w:headerReference r:id="rId14" w:type="even"/>
          <w:footerReference r:id="rId16" w:type="even"/>
          <w:type w:val="continuous"/>
          <w:pgSz w:w="10431" w:h="14740"/>
          <w:pgMar w:top="1440" w:right="1800" w:bottom="1440" w:left="1800" w:header="851" w:footer="992" w:gutter="0"/>
          <w:pgNumType w:fmt="decimal" w:start="1"/>
          <w:cols w:space="425" w:num="1"/>
          <w:docGrid w:type="lines" w:linePitch="312" w:charSpace="0"/>
        </w:sectPr>
      </w:pPr>
      <w:r>
        <w:rPr>
          <w:rFonts w:hint="eastAsia" w:ascii="Times New Roman" w:hAnsi="Calibri" w:eastAsia="宋体" w:cs="Times New Roman"/>
          <w:sz w:val="21"/>
        </w:rPr>
        <w:t>这意味着，智慧工地的角色将逐步由项目管理工具转向建造体系支撑工具。它不仅服务于眼前的现场控制，也承担经验沉淀、规则复用和知识传承的作用。过去项目结束后，许多管理经验随着人员流动而消散；在数字建造视角下，过程数据、处置逻辑和流程规则都有机会沉淀为组织资产，并反过来支持后续项目建设。智慧工地的发展也因此不再只是工地管理技术的更新，而与建筑业生产方式持续升级紧密相连。</w:t>
      </w:r>
    </w:p>
    <w:p w14:paraId="53FE8B88">
      <w:pPr>
        <w:pStyle w:val="11"/>
        <w:rPr>
          <w:rFonts w:hint="eastAsia" w:ascii="宋体" w:hAnsi="宋体" w:eastAsia="黑体" w:cs="宋体"/>
          <w:b/>
          <w:bCs/>
          <w:kern w:val="44"/>
          <w:sz w:val="40"/>
          <w:szCs w:val="30"/>
        </w:rPr>
        <w:sectPr>
          <w:pgSz w:w="10431" w:h="14740"/>
          <w:pgMar w:top="1440" w:right="1800" w:bottom="1440" w:left="1800" w:header="851" w:footer="992" w:gutter="0"/>
          <w:pgNumType w:fmt="decimal"/>
          <w:cols w:space="425" w:num="1"/>
          <w:docGrid w:type="lines" w:linePitch="312" w:charSpace="0"/>
        </w:sectPr>
      </w:pPr>
    </w:p>
    <w:p w14:paraId="45099D04">
      <w:pPr>
        <w:pStyle w:val="2"/>
        <w:bidi w:val="0"/>
        <w:rPr>
          <w:b/>
        </w:rPr>
      </w:pPr>
      <w:bookmarkStart w:id="7" w:name="_Toc26836"/>
      <w:r>
        <w:rPr>
          <w:rFonts w:hint="eastAsia" w:ascii="宋体" w:hAnsi="宋体" w:eastAsia="黑体" w:cs="宋体"/>
          <w:b/>
          <w:bCs/>
          <w:kern w:val="44"/>
          <w:sz w:val="40"/>
          <w:szCs w:val="30"/>
        </w:rPr>
        <w:t>第二章</w:t>
      </w:r>
      <w:r>
        <w:rPr>
          <w:rFonts w:hint="eastAsia" w:cs="宋体"/>
          <w:b/>
          <w:bCs/>
          <w:kern w:val="44"/>
          <w:sz w:val="40"/>
          <w:szCs w:val="30"/>
          <w:lang w:val="en-US" w:eastAsia="zh-CN"/>
        </w:rPr>
        <w:t xml:space="preserve"> </w:t>
      </w:r>
      <w:r>
        <w:t>智慧工地建设目标与实施机制</w:t>
      </w:r>
      <w:bookmarkEnd w:id="7"/>
    </w:p>
    <w:p w14:paraId="60D626F1">
      <w:pPr>
        <w:pStyle w:val="3"/>
        <w:numPr>
          <w:ilvl w:val="0"/>
          <w:numId w:val="0"/>
        </w:numPr>
        <w:ind w:left="0" w:leftChars="0" w:firstLine="0" w:firstLineChars="0"/>
        <w:rPr>
          <w:b/>
        </w:rPr>
      </w:pPr>
      <w:bookmarkStart w:id="8" w:name="_Toc9500"/>
      <w:r>
        <w:rPr>
          <w:rFonts w:hint="eastAsia" w:ascii="宋体" w:hAnsi="宋体" w:eastAsia="黑体" w:cs="宋体"/>
          <w:b/>
          <w:bCs/>
          <w:kern w:val="44"/>
          <w:sz w:val="30"/>
          <w:szCs w:val="30"/>
        </w:rPr>
        <w:t>第一节</w:t>
      </w:r>
      <w:r>
        <w:rPr>
          <w:rFonts w:hint="eastAsia" w:cs="宋体"/>
          <w:b/>
          <w:bCs/>
          <w:kern w:val="44"/>
          <w:sz w:val="30"/>
          <w:szCs w:val="30"/>
          <w:lang w:val="en-US" w:eastAsia="zh-CN"/>
        </w:rPr>
        <w:t xml:space="preserve"> </w:t>
      </w:r>
      <w:r>
        <w:t>智慧工地建设的目标体系</w:t>
      </w:r>
      <w:bookmarkEnd w:id="8"/>
    </w:p>
    <w:p w14:paraId="06F4BB94">
      <w:pPr>
        <w:pStyle w:val="4"/>
        <w:numPr>
          <w:ilvl w:val="0"/>
          <w:numId w:val="0"/>
        </w:numPr>
        <w:topLinePunct w:val="0"/>
        <w:ind w:left="0" w:leftChars="0" w:firstLine="422" w:firstLineChars="0"/>
        <w:rPr>
          <w:b/>
        </w:rPr>
      </w:pPr>
      <w:r>
        <w:rPr>
          <w:rFonts w:hint="eastAsia" w:ascii="黑体" w:hAnsi="黑体" w:eastAsia="黑体" w:cs="黑体"/>
          <w:b/>
          <w:sz w:val="21"/>
        </w:rPr>
        <w:t>一、</w:t>
      </w:r>
      <w:r>
        <w:t>项目管理目标的数字化表达</w:t>
      </w:r>
    </w:p>
    <w:p w14:paraId="6629F85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（一）质量安全目标量化</w:t>
      </w:r>
    </w:p>
    <w:p w14:paraId="1455A901">
      <w:pPr>
        <w:pStyle w:val="11"/>
        <w:rPr>
          <w:rFonts w:ascii="Times New Roman" w:hAnsi="Calibri" w:eastAsia="宋体" w:cs="Times New Roman"/>
          <w:sz w:val="21"/>
        </w:rPr>
      </w:pPr>
      <w:r>
        <w:rPr>
          <w:rFonts w:ascii="Times New Roman" w:hAnsi="Calibri" w:eastAsia="宋体" w:cs="Times New Roman"/>
          <w:sz w:val="21"/>
        </w:rPr>
        <w:t>智慧工地建设一旦进入实施层，最先要解决的并不是技术选型，而是项目管理目标如何被准确表达。很多项目推进数字化时之所以收效一般，并不在于平台功能不足，而在于一开始就没有把管理目标转化为系统能够识别、采集和反馈的对象。传统项目管理中的质量、安全、进度、成本等目标，常常停留在制度要求、会议部署和责任书文本之中，表述虽然完整，却不具备直接进入数字系统的条件。数字化表达的第一步，正是把这些抽象要求拆解为可观察、可记录、可比对的管理指标，使目标不再只是项目部</w:t>
      </w:r>
      <w:r>
        <w:rPr>
          <w:rFonts w:hint="eastAsia" w:ascii="Times New Roman" w:hAnsi="Times New Roman" w:eastAsia="宋体" w:cs="Times New Roman"/>
          <w:sz w:val="21"/>
          <w:lang w:eastAsia="zh-CN"/>
        </w:rPr>
        <w:t>“</w:t>
      </w:r>
      <w:r>
        <w:rPr>
          <w:rFonts w:ascii="Times New Roman" w:hAnsi="Calibri" w:eastAsia="宋体" w:cs="Times New Roman"/>
          <w:sz w:val="21"/>
        </w:rPr>
        <w:t>要实现什么</w:t>
      </w:r>
      <w:r>
        <w:rPr>
          <w:rFonts w:hint="eastAsia" w:ascii="Times New Roman" w:hAnsi="Times New Roman" w:eastAsia="宋体" w:cs="Times New Roman"/>
          <w:sz w:val="21"/>
          <w:lang w:eastAsia="zh-CN"/>
        </w:rPr>
        <w:t>”</w:t>
      </w:r>
      <w:r>
        <w:rPr>
          <w:rFonts w:ascii="Times New Roman" w:hAnsi="Calibri" w:eastAsia="宋体" w:cs="Times New Roman"/>
          <w:sz w:val="21"/>
        </w:rPr>
        <w:t>的原则表述，而成为现场</w:t>
      </w:r>
      <w:r>
        <w:rPr>
          <w:rFonts w:hint="eastAsia" w:ascii="Times New Roman" w:hAnsi="Times New Roman" w:eastAsia="宋体" w:cs="Times New Roman"/>
          <w:sz w:val="21"/>
          <w:lang w:eastAsia="zh-CN"/>
        </w:rPr>
        <w:t>“</w:t>
      </w:r>
      <w:r>
        <w:rPr>
          <w:rFonts w:ascii="Times New Roman" w:hAnsi="Calibri" w:eastAsia="宋体" w:cs="Times New Roman"/>
          <w:sz w:val="21"/>
        </w:rPr>
        <w:t>如何持续判断是否实现</w:t>
      </w:r>
      <w:r>
        <w:rPr>
          <w:rFonts w:hint="eastAsia" w:ascii="Times New Roman" w:hAnsi="Times New Roman" w:eastAsia="宋体" w:cs="Times New Roman"/>
          <w:sz w:val="21"/>
          <w:lang w:eastAsia="zh-CN"/>
        </w:rPr>
        <w:t>”</w:t>
      </w:r>
      <w:r>
        <w:rPr>
          <w:rFonts w:ascii="Times New Roman" w:hAnsi="Calibri" w:eastAsia="宋体" w:cs="Times New Roman"/>
          <w:sz w:val="21"/>
        </w:rPr>
        <w:t>的运行依据。</w:t>
      </w:r>
    </w:p>
    <w:p w14:paraId="2C8E435E">
      <w:pPr>
        <w:pStyle w:val="11"/>
        <w:rPr>
          <w:rFonts w:ascii="Times New Roman" w:hAnsi="Calibri" w:eastAsia="宋体" w:cs="Times New Roman"/>
          <w:sz w:val="21"/>
        </w:rPr>
      </w:pPr>
      <w:r>
        <w:rPr>
          <w:rFonts w:ascii="Times New Roman" w:hAnsi="Calibri" w:eastAsia="宋体" w:cs="Times New Roman"/>
          <w:sz w:val="21"/>
        </w:rPr>
        <w:t>质量与安全目标最适合率先实现数字化表达，因为它们既是施工现场最敏感的控制对象，也是最容易在过程管理中出现</w:t>
      </w:r>
      <w:r>
        <w:rPr>
          <w:rFonts w:hint="eastAsia" w:ascii="Times New Roman" w:hAnsi="Times New Roman" w:eastAsia="宋体" w:cs="Times New Roman"/>
          <w:sz w:val="21"/>
          <w:lang w:eastAsia="zh-CN"/>
        </w:rPr>
        <w:t>“</w:t>
      </w:r>
      <w:r>
        <w:rPr>
          <w:rFonts w:ascii="Times New Roman" w:hAnsi="Calibri" w:eastAsia="宋体" w:cs="Times New Roman"/>
          <w:sz w:val="21"/>
        </w:rPr>
        <w:t>目标写得很满、执行却很虚</w:t>
      </w:r>
      <w:r>
        <w:rPr>
          <w:rFonts w:hint="eastAsia" w:ascii="Times New Roman" w:hAnsi="Times New Roman" w:eastAsia="宋体" w:cs="Times New Roman"/>
          <w:sz w:val="21"/>
          <w:lang w:eastAsia="zh-CN"/>
        </w:rPr>
        <w:t>”</w:t>
      </w:r>
      <w:r>
        <w:rPr>
          <w:rFonts w:ascii="Times New Roman" w:hAnsi="Calibri" w:eastAsia="宋体" w:cs="Times New Roman"/>
          <w:sz w:val="21"/>
        </w:rPr>
        <w:t>的领域。比如质量管理，若只笼统提出一次验收合格、减少通病、防止返工，这类表述虽然方向正确，却难以进入日常控制；只有进一步落实到关键工序验收覆盖率、隐蔽工程影像留痕完整率、质量问题整改闭环时效等过程性指标，系统才知道应该采集什么、何时预警、由谁处理。安全目标也是同样的逻辑。真正有效的安全目标，不应停留在零事故、零伤亡这样结果导向的口号上，而应向风险辨识覆盖率、危大工程旁站留痕完整性、隐患整改及时率、重点区域异常行为识别响应时长等可追踪指标转化。目标一旦被量化，管理动作才会从笼统要求转向过程控制。</w:t>
      </w:r>
    </w:p>
    <w:p w14:paraId="75D75584">
      <w:pPr>
        <w:pStyle w:val="11"/>
        <w:rPr>
          <w:rFonts w:ascii="Times New Roman" w:hAnsi="Calibri" w:eastAsia="宋体" w:cs="Times New Roman"/>
          <w:sz w:val="21"/>
        </w:rPr>
      </w:pPr>
      <w:r>
        <w:rPr>
          <w:rFonts w:ascii="Times New Roman" w:hAnsi="Calibri" w:eastAsia="宋体" w:cs="Times New Roman"/>
          <w:sz w:val="21"/>
        </w:rPr>
        <w:t>这种量化并不是为了把施工现场变成单纯的指标场，而是为了把原本模糊的管理责任变成可以被核验的过程责任。一个项目质量安全水平的稳定性，往往不取决于管理者是否强调质量安全的重要性，而取决于关键控制点是否被稳定记录，异常状态是否能被及时暴露，整改过程是否真正形成闭环。没有数字化表达，目标就容易漂浮在制度层；有了数字化表达，目标才有可能进入现场日常运行的底层逻辑。</w:t>
      </w:r>
    </w:p>
    <w:p w14:paraId="2294943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（二）进度成本目标结构化</w:t>
      </w:r>
    </w:p>
    <w:p w14:paraId="45BB51E8">
      <w:pPr>
        <w:pStyle w:val="11"/>
        <w:rPr>
          <w:rFonts w:ascii="Times New Roman" w:hAnsi="Calibri" w:eastAsia="宋体" w:cs="Times New Roman"/>
          <w:sz w:val="21"/>
        </w:rPr>
      </w:pPr>
      <w:r>
        <w:rPr>
          <w:rFonts w:ascii="Times New Roman" w:hAnsi="Calibri" w:eastAsia="宋体" w:cs="Times New Roman"/>
          <w:sz w:val="21"/>
        </w:rPr>
        <w:t>与质量安全相比，进度与成本目标的数字化表达更强调结构化。原因在于，这两类目标天然具有层级性、时序性和传导性，若不进行分解，系统即便采集了大量数据，也很难形成有效判断。进度目标不能只写成总工期多少天、某月完成到什么形象部位，因为施工现场真正运行的是从总控计划到分阶段计划、再到周计划和作业面任务的连续体系。成本目标也不能只停留在总成本控制数值上，而应进一步关联到责任单元、资源投入和关键节点。数字化表达的关键，并不是把所有计划搬到系统里，而是把项目目标拆解成具有层次关系的数据结构。</w:t>
      </w:r>
    </w:p>
    <w:p w14:paraId="4144BE98">
      <w:pPr>
        <w:pStyle w:val="11"/>
        <w:rPr>
          <w:rFonts w:ascii="Times New Roman" w:hAnsi="Calibri" w:eastAsia="宋体" w:cs="Times New Roman"/>
          <w:sz w:val="21"/>
        </w:rPr>
      </w:pPr>
      <w:r>
        <w:rPr>
          <w:rFonts w:ascii="Times New Roman" w:hAnsi="Calibri" w:eastAsia="宋体" w:cs="Times New Roman"/>
          <w:sz w:val="21"/>
        </w:rPr>
        <w:t>这意味着，进度目标要能够体现总目标、节点目标和作业目标之间的传导关系，成本目标则要体现总额控制、专业分解和动态偏差之间的约束关系。一个成熟的数字化目标体系，不会只告诉项目部</w:t>
      </w:r>
      <w:r>
        <w:rPr>
          <w:rFonts w:hint="eastAsia" w:ascii="Times New Roman" w:hAnsi="Times New Roman" w:eastAsia="宋体" w:cs="Times New Roman"/>
          <w:sz w:val="21"/>
          <w:lang w:eastAsia="zh-CN"/>
        </w:rPr>
        <w:t>“</w:t>
      </w:r>
      <w:r>
        <w:rPr>
          <w:rFonts w:ascii="Times New Roman" w:hAnsi="Calibri" w:eastAsia="宋体" w:cs="Times New Roman"/>
          <w:sz w:val="21"/>
        </w:rPr>
        <w:t>整体是否滞后</w:t>
      </w:r>
      <w:r>
        <w:rPr>
          <w:rFonts w:hint="eastAsia" w:ascii="Times New Roman" w:hAnsi="Times New Roman" w:eastAsia="宋体" w:cs="Times New Roman"/>
          <w:sz w:val="21"/>
          <w:lang w:eastAsia="zh-CN"/>
        </w:rPr>
        <w:t>”</w:t>
      </w:r>
      <w:r>
        <w:rPr>
          <w:rFonts w:ascii="Times New Roman" w:hAnsi="Calibri" w:eastAsia="宋体" w:cs="Times New Roman"/>
          <w:sz w:val="21"/>
        </w:rPr>
        <w:t>，而会显示</w:t>
      </w:r>
      <w:r>
        <w:rPr>
          <w:rFonts w:hint="eastAsia" w:ascii="Times New Roman" w:hAnsi="Times New Roman" w:eastAsia="宋体" w:cs="Times New Roman"/>
          <w:sz w:val="21"/>
          <w:lang w:eastAsia="zh-CN"/>
        </w:rPr>
        <w:t>“</w:t>
      </w:r>
      <w:r>
        <w:rPr>
          <w:rFonts w:ascii="Times New Roman" w:hAnsi="Calibri" w:eastAsia="宋体" w:cs="Times New Roman"/>
          <w:sz w:val="21"/>
        </w:rPr>
        <w:t>滞后发生在什么阶段、对应哪个专业、与哪些资源状态有关</w:t>
      </w:r>
      <w:r>
        <w:rPr>
          <w:rFonts w:hint="eastAsia" w:ascii="Times New Roman" w:hAnsi="Times New Roman" w:eastAsia="宋体" w:cs="Times New Roman"/>
          <w:sz w:val="21"/>
          <w:lang w:eastAsia="zh-CN"/>
        </w:rPr>
        <w:t>”</w:t>
      </w:r>
      <w:r>
        <w:rPr>
          <w:rFonts w:ascii="Times New Roman" w:hAnsi="Calibri" w:eastAsia="宋体" w:cs="Times New Roman"/>
          <w:sz w:val="21"/>
        </w:rPr>
        <w:t>。同样，成本控制也不应只在月底通过核算结果体现，而应在资源异常、返工增量、材料损耗和机械等待等过程中提前反映。结构化分解的意义，就在于让系统不仅能记录结果，还能理解结果形成的路径。</w:t>
      </w:r>
    </w:p>
    <w:p w14:paraId="22DF2F72">
      <w:pPr>
        <w:pStyle w:val="11"/>
        <w:rPr>
          <w:rFonts w:ascii="Times New Roman" w:hAnsi="Calibri" w:eastAsia="宋体" w:cs="Times New Roman"/>
          <w:sz w:val="21"/>
        </w:rPr>
      </w:pPr>
      <w:r>
        <w:rPr>
          <w:rFonts w:ascii="Times New Roman" w:hAnsi="Calibri" w:eastAsia="宋体" w:cs="Times New Roman"/>
          <w:sz w:val="21"/>
        </w:rPr>
        <w:t>更进一步看，进度与成本的结构化表达还能改变项目部的管理节奏。过去，很多项目的计划管理停留在静态编制，成本管理停留在事后核算，两个体系之间关联不强。数字化表达以后，计划偏差、资源投入与成本波动可以在更早阶段发生联系，项目管理开始从</w:t>
      </w:r>
      <w:r>
        <w:rPr>
          <w:rFonts w:hint="eastAsia" w:ascii="Times New Roman" w:hAnsi="Times New Roman" w:eastAsia="宋体" w:cs="Times New Roman"/>
          <w:sz w:val="21"/>
          <w:lang w:eastAsia="zh-CN"/>
        </w:rPr>
        <w:t>“</w:t>
      </w:r>
      <w:r>
        <w:rPr>
          <w:rFonts w:ascii="Times New Roman" w:hAnsi="Calibri" w:eastAsia="宋体" w:cs="Times New Roman"/>
          <w:sz w:val="21"/>
        </w:rPr>
        <w:t>结果出来后解释原因</w:t>
      </w:r>
      <w:r>
        <w:rPr>
          <w:rFonts w:hint="eastAsia" w:ascii="Times New Roman" w:hAnsi="Times New Roman" w:eastAsia="宋体" w:cs="Times New Roman"/>
          <w:sz w:val="21"/>
          <w:lang w:eastAsia="zh-CN"/>
        </w:rPr>
        <w:t>”</w:t>
      </w:r>
      <w:r>
        <w:rPr>
          <w:rFonts w:ascii="Times New Roman" w:hAnsi="Calibri" w:eastAsia="宋体" w:cs="Times New Roman"/>
          <w:sz w:val="21"/>
        </w:rPr>
        <w:t>转向</w:t>
      </w:r>
      <w:r>
        <w:rPr>
          <w:rFonts w:hint="eastAsia" w:ascii="Times New Roman" w:hAnsi="Times New Roman" w:eastAsia="宋体" w:cs="Times New Roman"/>
          <w:sz w:val="21"/>
          <w:lang w:eastAsia="zh-CN"/>
        </w:rPr>
        <w:t>“</w:t>
      </w:r>
      <w:r>
        <w:rPr>
          <w:rFonts w:ascii="Times New Roman" w:hAnsi="Calibri" w:eastAsia="宋体" w:cs="Times New Roman"/>
          <w:sz w:val="21"/>
        </w:rPr>
        <w:t>偏差形成时及时判断原因</w:t>
      </w:r>
      <w:r>
        <w:rPr>
          <w:rFonts w:hint="eastAsia" w:ascii="Times New Roman" w:hAnsi="Times New Roman" w:eastAsia="宋体" w:cs="Times New Roman"/>
          <w:sz w:val="21"/>
          <w:lang w:eastAsia="zh-CN"/>
        </w:rPr>
        <w:t>”</w:t>
      </w:r>
      <w:r>
        <w:rPr>
          <w:rFonts w:ascii="Times New Roman" w:hAnsi="Calibri" w:eastAsia="宋体" w:cs="Times New Roman"/>
          <w:sz w:val="21"/>
        </w:rPr>
        <w:t>。这正是智慧工地建设目标体系与传统项目目标管理的重要区别。它并不否定原有目标体系，而是把原有目标从文件层推向运行层。</w:t>
      </w:r>
    </w:p>
    <w:p w14:paraId="25538683">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（三）管理目标形成指标体系</w:t>
      </w:r>
    </w:p>
    <w:p w14:paraId="3745CC42">
      <w:pPr>
        <w:pStyle w:val="11"/>
        <w:rPr>
          <w:rFonts w:ascii="Times New Roman" w:hAnsi="Calibri" w:eastAsia="宋体" w:cs="Times New Roman"/>
          <w:sz w:val="21"/>
        </w:rPr>
      </w:pPr>
      <w:r>
        <w:rPr>
          <w:rFonts w:ascii="Times New Roman" w:hAnsi="Calibri" w:eastAsia="宋体" w:cs="Times New Roman"/>
          <w:sz w:val="21"/>
        </w:rPr>
        <w:t>数字化表达如果只停留在若干零散指标上，依然难以支撑系统建设。项目管理目标真正进入智慧工地体系，还需要进一步转化为指标体系。所谓指标体系，并不是简单增加考核项，而是围绕项目目标建立层级清晰、逻辑一致、彼此关联的指标结构，使目标、数据和管理动作形成稳定连接。指标体系至少应具备三个特征：一是目标来源清楚，能够对应质量、安全、进度、成本、资源和协同等核心管理任务；二是层次结构清楚，能够区分项目总目标、专业目标和岗位执行目标；三是使用场景清楚，不同指标应分别服务于预警、分析、考核和纠偏，而不是全部堆叠到同一界面中。</w:t>
      </w:r>
    </w:p>
    <w:p w14:paraId="703DBCC8">
      <w:pPr>
        <w:pStyle w:val="11"/>
        <w:rPr>
          <w:rFonts w:ascii="Times New Roman" w:hAnsi="Calibri" w:eastAsia="宋体" w:cs="Times New Roman"/>
          <w:sz w:val="21"/>
        </w:rPr>
      </w:pPr>
      <w:r>
        <w:rPr>
          <w:rFonts w:ascii="Times New Roman" w:hAnsi="Calibri" w:eastAsia="宋体" w:cs="Times New Roman"/>
          <w:sz w:val="21"/>
        </w:rPr>
        <w:t>很多项目建设成效不佳，恰恰是因为指标体系没有建立起来。指标零散存在时，平台只能提供局部展示，不能形成管理牵引；一旦指标之间具备了逻辑关系，平台建设、终端布设、数据采集和流程配置才会有明确方向。也就是说，指标体系并不是智慧工地建设完成之后才考虑的附属内容，而是智慧工地从一开始就必须确立的目标牵引机制。平台建设若脱离指标体系，容易陷入技术热闹而管理失焦；指标体系若先行明确，技术投入才可能真正服务于项目治理。</w:t>
      </w:r>
    </w:p>
    <w:p w14:paraId="4E59DC3C">
      <w:pPr>
        <w:pStyle w:val="4"/>
        <w:numPr>
          <w:ilvl w:val="0"/>
          <w:numId w:val="0"/>
        </w:numPr>
        <w:topLinePunct w:val="0"/>
        <w:ind w:left="0" w:leftChars="0" w:firstLine="422" w:firstLineChars="0"/>
        <w:rPr>
          <w:b/>
        </w:rPr>
      </w:pPr>
      <w:r>
        <w:rPr>
          <w:rFonts w:hint="eastAsia" w:ascii="黑体" w:hAnsi="黑体" w:eastAsia="黑体" w:cs="黑体"/>
          <w:b/>
          <w:sz w:val="21"/>
        </w:rPr>
        <w:t>二、</w:t>
      </w:r>
      <w:r>
        <w:t>业务目标与技术目标的协同统一</w:t>
      </w:r>
    </w:p>
    <w:p w14:paraId="1041A63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业务需求决定技术建设方向</w:t>
      </w:r>
    </w:p>
    <w:p w14:paraId="1AF61AAE">
      <w:pPr>
        <w:pStyle w:val="11"/>
        <w:rPr>
          <w:rFonts w:ascii="Times New Roman" w:hAnsi="Calibri" w:eastAsia="宋体" w:cs="Times New Roman"/>
          <w:sz w:val="21"/>
        </w:rPr>
      </w:pPr>
      <w:r>
        <w:rPr>
          <w:rFonts w:ascii="Times New Roman" w:hAnsi="Calibri" w:eastAsia="宋体" w:cs="Times New Roman"/>
          <w:sz w:val="21"/>
        </w:rPr>
        <w:t>智慧工地建设中最常见的偏差，不是投入不足，而是方向偏离。项目一旦把数字化建设理解为设备部署和系统上线，技术目标就容易脱离业务目标独立扩张，最终形成</w:t>
      </w:r>
      <w:r>
        <w:rPr>
          <w:rFonts w:hint="eastAsia" w:ascii="Times New Roman" w:hAnsi="Times New Roman" w:eastAsia="宋体" w:cs="Times New Roman"/>
          <w:sz w:val="21"/>
          <w:lang w:eastAsia="zh-CN"/>
        </w:rPr>
        <w:t>“</w:t>
      </w:r>
      <w:r>
        <w:rPr>
          <w:rFonts w:ascii="Times New Roman" w:hAnsi="Calibri" w:eastAsia="宋体" w:cs="Times New Roman"/>
          <w:sz w:val="21"/>
        </w:rPr>
        <w:t>系统很多、使用很浅、管理改进不明显</w:t>
      </w:r>
      <w:r>
        <w:rPr>
          <w:rFonts w:hint="eastAsia" w:ascii="Times New Roman" w:hAnsi="Times New Roman" w:eastAsia="宋体" w:cs="Times New Roman"/>
          <w:sz w:val="21"/>
          <w:lang w:eastAsia="zh-CN"/>
        </w:rPr>
        <w:t>”</w:t>
      </w:r>
      <w:r>
        <w:rPr>
          <w:rFonts w:ascii="Times New Roman" w:hAnsi="Calibri" w:eastAsia="宋体" w:cs="Times New Roman"/>
          <w:sz w:val="21"/>
        </w:rPr>
        <w:t>的局面。要避免这一问题，必须明确一个基本原则：业务需求决定技术方向。项目要先回答现场最需要解决什么问题，再判断哪些技术能够支撑这些问题的改进，而不是反过来先看市面上有什么设备、平台或算法，再为这些技术寻找应用场景。</w:t>
      </w:r>
    </w:p>
    <w:p w14:paraId="0045C1ED">
      <w:pPr>
        <w:pStyle w:val="11"/>
        <w:rPr>
          <w:rFonts w:ascii="Times New Roman" w:hAnsi="Calibri" w:eastAsia="宋体" w:cs="Times New Roman"/>
          <w:sz w:val="21"/>
        </w:rPr>
      </w:pPr>
      <w:r>
        <w:rPr>
          <w:rFonts w:ascii="Times New Roman" w:hAnsi="Calibri" w:eastAsia="宋体" w:cs="Times New Roman"/>
          <w:sz w:val="21"/>
        </w:rPr>
        <w:t>这一原则之所以重要，在于施工现场是问题导向极强的管理空间。不同项目的管理重心并不相同，有的项目质量过程控制压力更大，有的项目交叉作业和安全风险更突出，有的项目则更需要解决劳务协同、进度穿透或材料追溯问题。如果不从业务痛点出发，技术建设很容易平均用力，结果是关键问题没有被解决，非关键功能却被反复堆叠。真正有效的建设路径，应当先识别项目管理中的高频问题、高风险问题和高价值问题，再决定技术配置的优先级。技术只有嵌入业务逻辑，才会形成实际治理能力。</w:t>
      </w:r>
    </w:p>
    <w:p w14:paraId="4A298E9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技术能力服务管理提升</w:t>
      </w:r>
    </w:p>
    <w:p w14:paraId="093DAABB">
      <w:pPr>
        <w:pStyle w:val="11"/>
        <w:rPr>
          <w:rFonts w:ascii="Times New Roman" w:hAnsi="Calibri" w:eastAsia="宋体" w:cs="Times New Roman"/>
          <w:sz w:val="21"/>
        </w:rPr>
      </w:pPr>
      <w:r>
        <w:rPr>
          <w:rFonts w:ascii="Times New Roman" w:hAnsi="Calibri" w:eastAsia="宋体" w:cs="Times New Roman"/>
          <w:sz w:val="21"/>
        </w:rPr>
        <w:t>业务需求确定方向之后，技术目标的价值才开始真正显现。技术在智慧工地中的作用，并不是单独构成一个平行目标体系，而是为管理提升提供实现路径。感知终端负责把现场状态转化为可采集信息，平台负责把信息组织成可流转事项，模型和分析工具则负责把分散状态转化为更具解释力的判断依据。换句话说，技术目标应当始终围绕管理目标展开，它的衡量标准不是配置是否先进，而是是否提高了项目对现场的感知能力、协同能力和纠偏能力。</w:t>
      </w:r>
    </w:p>
    <w:p w14:paraId="57FAEDB9">
      <w:pPr>
        <w:pStyle w:val="11"/>
        <w:rPr>
          <w:rFonts w:ascii="Times New Roman" w:hAnsi="Calibri" w:eastAsia="宋体" w:cs="Times New Roman"/>
          <w:sz w:val="21"/>
        </w:rPr>
      </w:pPr>
      <w:r>
        <w:rPr>
          <w:rFonts w:ascii="Times New Roman" w:hAnsi="Calibri" w:eastAsia="宋体" w:cs="Times New Roman"/>
          <w:sz w:val="21"/>
        </w:rPr>
        <w:t>这一点在实践中很容易被忽视。很多项目喜欢把技术能力写成独立成绩，例如设备接入数量、模块上线数量、监测点位数量、视频覆盖率等，这些指标并非没有意义，但若不能转化为管理效果，它们就只能说明建设动作发生过，不能说明建设目标已经实现。技术目标真正应当关注的，是质量问题能否更早发现，安全隐患能否更快闭环，进度偏差能否更准识别，资源调配能否更及时响应。技术一旦脱离管理结果来评价，就会走向形式化；只有把技术能力放回管理提升中衡量，业务目标与技术目标的关系才会真正统一。</w:t>
      </w:r>
    </w:p>
    <w:p w14:paraId="4BABBE6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协同统一避免建设目标偏离</w:t>
      </w:r>
    </w:p>
    <w:p w14:paraId="7F62773C">
      <w:pPr>
        <w:pStyle w:val="11"/>
        <w:rPr>
          <w:rFonts w:ascii="Times New Roman" w:hAnsi="Calibri" w:eastAsia="宋体" w:cs="Times New Roman"/>
          <w:sz w:val="21"/>
        </w:rPr>
      </w:pPr>
      <w:r>
        <w:rPr>
          <w:rFonts w:ascii="Times New Roman" w:hAnsi="Calibri" w:eastAsia="宋体" w:cs="Times New Roman"/>
          <w:sz w:val="21"/>
        </w:rPr>
        <w:t>业务目标与技术目标的协同统一，还需要制度层面的持续校正。智慧工地建设不是一次性采购行为，而是伴随项目推进不断调整的动态过程。项目初期，技术配置可能更多服务基础建档和状态采集；进入主体施工后，技术重点往往转向协同控制、风险预警和进度分析；到了后期，又会更强调资料归集和成果追溯。如果缺少统一校正机制，技术建设很容易在某一阶段过度膨胀，偏离项目真正的管理重心。</w:t>
      </w:r>
    </w:p>
    <w:p w14:paraId="0BCE6DA9">
      <w:pPr>
        <w:pStyle w:val="11"/>
        <w:rPr>
          <w:rFonts w:ascii="Times New Roman" w:hAnsi="Calibri" w:eastAsia="宋体" w:cs="Times New Roman"/>
          <w:sz w:val="21"/>
        </w:rPr>
      </w:pPr>
      <w:r>
        <w:rPr>
          <w:rFonts w:ascii="Times New Roman" w:hAnsi="Calibri" w:eastAsia="宋体" w:cs="Times New Roman"/>
          <w:sz w:val="21"/>
        </w:rPr>
        <w:t>因此，协同统一并不是一个口号，而是一种持续校准机制。项目在推进过程中应不断检验三个问题：当前技术投入解决的是否仍是现场核心问题，系统采集的数据是否真正进入业务流程，平台输出的结果是否被管理岗位实际使用。凡是不能正面回答这三个问题的建设内容，都需要及时调整。一个成熟的智慧工地目标体系，绝不是业务说业务、技术说技术，而是二者围绕同一管理结果持续对齐。只有这样，智慧工地才不会沦为项目包装，而会真正成为项目组织能力的一部分。</w:t>
      </w:r>
    </w:p>
    <w:p w14:paraId="640487D2">
      <w:pPr>
        <w:pStyle w:val="4"/>
        <w:numPr>
          <w:ilvl w:val="0"/>
          <w:numId w:val="0"/>
        </w:numPr>
        <w:topLinePunct w:val="0"/>
        <w:ind w:left="0" w:leftChars="0" w:firstLine="422" w:firstLineChars="0"/>
        <w:rPr>
          <w:b/>
        </w:rPr>
      </w:pPr>
      <w:r>
        <w:rPr>
          <w:rFonts w:hint="eastAsia" w:ascii="黑体" w:hAnsi="黑体" w:eastAsia="黑体" w:cs="黑体"/>
          <w:b/>
          <w:sz w:val="21"/>
        </w:rPr>
        <w:t>三、</w:t>
      </w:r>
      <w:r>
        <w:t>阶段性建设目标的层级划分</w:t>
      </w:r>
    </w:p>
    <w:p w14:paraId="316C931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基础建设阶段的目标定位</w:t>
      </w:r>
    </w:p>
    <w:p w14:paraId="40FE00E0">
      <w:pPr>
        <w:pStyle w:val="11"/>
        <w:rPr>
          <w:rFonts w:ascii="Times New Roman" w:hAnsi="Calibri" w:eastAsia="宋体" w:cs="Times New Roman"/>
          <w:sz w:val="21"/>
        </w:rPr>
      </w:pPr>
      <w:r>
        <w:rPr>
          <w:rFonts w:ascii="Times New Roman" w:hAnsi="Calibri" w:eastAsia="宋体" w:cs="Times New Roman"/>
          <w:sz w:val="21"/>
        </w:rPr>
        <w:t>智慧工地建设目标不能一次铺满，而应分阶段推进。基础建设阶段的主要任务，不是追求复杂智能应用，而是把项目运行所需的基本条件搭起来。这个阶段更强调底层秩序建设，包括管理对象建档、基础数据规则建立、重点终端接入、平台基础框架搭建以及核心流程初步上线。若这一阶段没有打牢基础，后续分析预警和协同优化就容易建立在不稳定的数据和流程之上，系统越复杂，问题反而越多。</w:t>
      </w:r>
    </w:p>
    <w:p w14:paraId="785E7EF9">
      <w:pPr>
        <w:pStyle w:val="11"/>
        <w:rPr>
          <w:rFonts w:ascii="Times New Roman" w:hAnsi="Calibri" w:eastAsia="宋体" w:cs="Times New Roman"/>
          <w:sz w:val="21"/>
        </w:rPr>
      </w:pPr>
      <w:r>
        <w:rPr>
          <w:rFonts w:ascii="Times New Roman" w:hAnsi="Calibri" w:eastAsia="宋体" w:cs="Times New Roman"/>
          <w:sz w:val="21"/>
        </w:rPr>
        <w:t>基础阶段的目标应当具有明确的可实现性。它不追求功能全面，而追求数据有源、流程可跑、责任可落。项目在这一阶段最需要避免的，是把未来想做的所有事情都压到当前阶段一次完成。现场数字化建设从来不是</w:t>
      </w:r>
      <w:r>
        <w:rPr>
          <w:rFonts w:hint="eastAsia" w:ascii="Times New Roman" w:hAnsi="Times New Roman" w:eastAsia="宋体" w:cs="Times New Roman"/>
          <w:sz w:val="21"/>
          <w:lang w:eastAsia="zh-CN"/>
        </w:rPr>
        <w:t>“</w:t>
      </w:r>
      <w:r>
        <w:rPr>
          <w:rFonts w:ascii="Times New Roman" w:hAnsi="Calibri" w:eastAsia="宋体" w:cs="Times New Roman"/>
          <w:sz w:val="21"/>
        </w:rPr>
        <w:t>大而全</w:t>
      </w:r>
      <w:r>
        <w:rPr>
          <w:rFonts w:hint="eastAsia" w:ascii="Times New Roman" w:hAnsi="Times New Roman" w:eastAsia="宋体" w:cs="Times New Roman"/>
          <w:sz w:val="21"/>
          <w:lang w:eastAsia="zh-CN"/>
        </w:rPr>
        <w:t>”</w:t>
      </w:r>
      <w:r>
        <w:rPr>
          <w:rFonts w:ascii="Times New Roman" w:hAnsi="Calibri" w:eastAsia="宋体" w:cs="Times New Roman"/>
          <w:sz w:val="21"/>
        </w:rPr>
        <w:t>优先，而是</w:t>
      </w:r>
      <w:r>
        <w:rPr>
          <w:rFonts w:hint="eastAsia" w:ascii="Times New Roman" w:hAnsi="Times New Roman" w:eastAsia="宋体" w:cs="Times New Roman"/>
          <w:sz w:val="21"/>
          <w:lang w:eastAsia="zh-CN"/>
        </w:rPr>
        <w:t>“</w:t>
      </w:r>
      <w:r>
        <w:rPr>
          <w:rFonts w:ascii="Times New Roman" w:hAnsi="Calibri" w:eastAsia="宋体" w:cs="Times New Roman"/>
          <w:sz w:val="21"/>
        </w:rPr>
        <w:t>先运行起来</w:t>
      </w:r>
      <w:r>
        <w:rPr>
          <w:rFonts w:hint="eastAsia" w:ascii="Times New Roman" w:hAnsi="Times New Roman" w:eastAsia="宋体" w:cs="Times New Roman"/>
          <w:sz w:val="21"/>
          <w:lang w:eastAsia="zh-CN"/>
        </w:rPr>
        <w:t>”</w:t>
      </w:r>
      <w:r>
        <w:rPr>
          <w:rFonts w:ascii="Times New Roman" w:hAnsi="Calibri" w:eastAsia="宋体" w:cs="Times New Roman"/>
          <w:sz w:val="21"/>
        </w:rPr>
        <w:t>更重要。对多数项目而言，基础阶段能做到关键对象可识别、关键状态可采集、关键事项可留痕，就已经具备进入下一阶段的条件。</w:t>
      </w:r>
    </w:p>
    <w:p w14:paraId="0A43D51D">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应用深化阶段的目标扩展</w:t>
      </w:r>
    </w:p>
    <w:p w14:paraId="50543D75">
      <w:pPr>
        <w:pStyle w:val="11"/>
        <w:rPr>
          <w:rFonts w:ascii="Times New Roman" w:hAnsi="Calibri" w:eastAsia="宋体" w:cs="Times New Roman"/>
          <w:sz w:val="21"/>
        </w:rPr>
      </w:pPr>
      <w:r>
        <w:rPr>
          <w:rFonts w:ascii="Times New Roman" w:hAnsi="Calibri" w:eastAsia="宋体" w:cs="Times New Roman"/>
          <w:sz w:val="21"/>
        </w:rPr>
        <w:t>当基础条件稳定之后，建设目标应逐步转向应用深化。这个阶段的核心不再是</w:t>
      </w:r>
      <w:r>
        <w:rPr>
          <w:rFonts w:hint="eastAsia" w:ascii="Times New Roman" w:hAnsi="Times New Roman" w:eastAsia="宋体" w:cs="Times New Roman"/>
          <w:sz w:val="21"/>
          <w:lang w:eastAsia="zh-CN"/>
        </w:rPr>
        <w:t>“</w:t>
      </w:r>
      <w:r>
        <w:rPr>
          <w:rFonts w:ascii="Times New Roman" w:hAnsi="Calibri" w:eastAsia="宋体" w:cs="Times New Roman"/>
          <w:sz w:val="21"/>
        </w:rPr>
        <w:t>有没有系统</w:t>
      </w:r>
      <w:r>
        <w:rPr>
          <w:rFonts w:hint="eastAsia" w:ascii="Times New Roman" w:hAnsi="Times New Roman" w:eastAsia="宋体" w:cs="Times New Roman"/>
          <w:sz w:val="21"/>
          <w:lang w:eastAsia="zh-CN"/>
        </w:rPr>
        <w:t>”</w:t>
      </w:r>
      <w:r>
        <w:rPr>
          <w:rFonts w:ascii="Times New Roman" w:hAnsi="Calibri" w:eastAsia="宋体" w:cs="Times New Roman"/>
          <w:sz w:val="21"/>
        </w:rPr>
        <w:t>，而是</w:t>
      </w:r>
      <w:r>
        <w:rPr>
          <w:rFonts w:hint="eastAsia" w:ascii="Times New Roman" w:hAnsi="Times New Roman" w:eastAsia="宋体" w:cs="Times New Roman"/>
          <w:sz w:val="21"/>
          <w:lang w:eastAsia="zh-CN"/>
        </w:rPr>
        <w:t>“</w:t>
      </w:r>
      <w:r>
        <w:rPr>
          <w:rFonts w:ascii="Times New Roman" w:hAnsi="Calibri" w:eastAsia="宋体" w:cs="Times New Roman"/>
          <w:sz w:val="21"/>
        </w:rPr>
        <w:t>系统能不能真正改变管理方式</w:t>
      </w:r>
      <w:r>
        <w:rPr>
          <w:rFonts w:hint="eastAsia" w:ascii="Times New Roman" w:hAnsi="Times New Roman" w:eastAsia="宋体" w:cs="Times New Roman"/>
          <w:sz w:val="21"/>
          <w:lang w:eastAsia="zh-CN"/>
        </w:rPr>
        <w:t>”</w:t>
      </w:r>
      <w:r>
        <w:rPr>
          <w:rFonts w:ascii="Times New Roman" w:hAnsi="Calibri" w:eastAsia="宋体" w:cs="Times New Roman"/>
          <w:sz w:val="21"/>
        </w:rPr>
        <w:t>。业务协同、异常预警、过程分析和组织优化，通常都在这一阶段成为重点。前期分散采集的数据开始进入连续分析，前期上线的基础流程开始形成更完整闭环，项目部对平台的使用也由被动录入转向主动依赖。</w:t>
      </w:r>
    </w:p>
    <w:p w14:paraId="7B4E7CAC">
      <w:pPr>
        <w:pStyle w:val="11"/>
        <w:rPr>
          <w:rFonts w:ascii="Times New Roman" w:hAnsi="Calibri" w:eastAsia="宋体" w:cs="Times New Roman"/>
          <w:sz w:val="21"/>
        </w:rPr>
      </w:pPr>
      <w:r>
        <w:rPr>
          <w:rFonts w:ascii="Times New Roman" w:hAnsi="Calibri" w:eastAsia="宋体" w:cs="Times New Roman"/>
          <w:sz w:val="21"/>
        </w:rPr>
        <w:t>应用深化阶段最重要的标志，是项目管理开始从信息可见走向机制可用。系统不再只是承接记录任务，而开始承担组织协同、责任传递和偏差识别的实际功能。这个阶段的目标设计应当更加关注管理成效，例如隐患整改时效是否缩短、进度判断是否更准确、资源配置是否更贴近现场节奏、跨岗位协同是否更顺畅。只有当这些变化开始稳定出现，应用深化阶段才算真正实现，而不是停留在模块增加和界面丰富的表层状态。</w:t>
      </w:r>
    </w:p>
    <w:p w14:paraId="4DBF694A">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迭代提升阶段的目标延展</w:t>
      </w:r>
    </w:p>
    <w:p w14:paraId="0C5C0931">
      <w:pPr>
        <w:pStyle w:val="11"/>
        <w:rPr>
          <w:rFonts w:ascii="Times New Roman" w:hAnsi="Calibri" w:eastAsia="宋体" w:cs="Times New Roman"/>
          <w:sz w:val="21"/>
        </w:rPr>
      </w:pPr>
      <w:r>
        <w:rPr>
          <w:rFonts w:ascii="Times New Roman" w:hAnsi="Calibri" w:eastAsia="宋体" w:cs="Times New Roman"/>
          <w:sz w:val="21"/>
        </w:rPr>
        <w:t>智慧工地建设进入成熟期后，目标会进一步转向迭代提升。这个阶段更强调系统优化、经验沉淀和能力外溢，不再把重点放在单个项目</w:t>
      </w:r>
      <w:r>
        <w:rPr>
          <w:rFonts w:hint="eastAsia" w:ascii="Times New Roman" w:hAnsi="Times New Roman" w:eastAsia="宋体" w:cs="Times New Roman"/>
          <w:sz w:val="21"/>
          <w:lang w:eastAsia="zh-CN"/>
        </w:rPr>
        <w:t>“</w:t>
      </w:r>
      <w:r>
        <w:rPr>
          <w:rFonts w:ascii="Times New Roman" w:hAnsi="Calibri" w:eastAsia="宋体" w:cs="Times New Roman"/>
          <w:sz w:val="21"/>
        </w:rPr>
        <w:t>有没有建成</w:t>
      </w:r>
      <w:r>
        <w:rPr>
          <w:rFonts w:hint="eastAsia" w:ascii="Times New Roman" w:hAnsi="Times New Roman" w:eastAsia="宋体" w:cs="Times New Roman"/>
          <w:sz w:val="21"/>
          <w:lang w:eastAsia="zh-CN"/>
        </w:rPr>
        <w:t>”</w:t>
      </w:r>
      <w:r>
        <w:rPr>
          <w:rFonts w:ascii="Times New Roman" w:hAnsi="Calibri" w:eastAsia="宋体" w:cs="Times New Roman"/>
          <w:sz w:val="21"/>
        </w:rPr>
        <w:t>，而开始关注</w:t>
      </w:r>
      <w:r>
        <w:rPr>
          <w:rFonts w:hint="eastAsia" w:ascii="Times New Roman" w:hAnsi="Times New Roman" w:eastAsia="宋体" w:cs="Times New Roman"/>
          <w:sz w:val="21"/>
          <w:lang w:eastAsia="zh-CN"/>
        </w:rPr>
        <w:t>“</w:t>
      </w:r>
      <w:r>
        <w:rPr>
          <w:rFonts w:ascii="Times New Roman" w:hAnsi="Calibri" w:eastAsia="宋体" w:cs="Times New Roman"/>
          <w:sz w:val="21"/>
        </w:rPr>
        <w:t>能否持续优化、能否复用推广、能否形成组织资产</w:t>
      </w:r>
      <w:r>
        <w:rPr>
          <w:rFonts w:hint="eastAsia" w:ascii="Times New Roman" w:hAnsi="Times New Roman" w:eastAsia="宋体" w:cs="Times New Roman"/>
          <w:sz w:val="21"/>
          <w:lang w:eastAsia="zh-CN"/>
        </w:rPr>
        <w:t>”</w:t>
      </w:r>
      <w:r>
        <w:rPr>
          <w:rFonts w:ascii="Times New Roman" w:hAnsi="Calibri" w:eastAsia="宋体" w:cs="Times New Roman"/>
          <w:sz w:val="21"/>
        </w:rPr>
        <w:t>。智能识别、趋势分析、场景复盘、规则迭代等内容，通常都在这一阶段更有价值。项目通过前两个阶段积累起较稳定的数据和流程后，才有可能真正讨论更高层级的辅助决策与持续优化。</w:t>
      </w:r>
    </w:p>
    <w:p w14:paraId="7D6606A4">
      <w:pPr>
        <w:pStyle w:val="11"/>
        <w:rPr>
          <w:rFonts w:ascii="Times New Roman" w:hAnsi="Calibri" w:eastAsia="宋体" w:cs="Times New Roman"/>
          <w:sz w:val="21"/>
        </w:rPr>
      </w:pPr>
      <w:r>
        <w:rPr>
          <w:rFonts w:ascii="Times New Roman" w:hAnsi="Calibri" w:eastAsia="宋体" w:cs="Times New Roman"/>
          <w:sz w:val="21"/>
        </w:rPr>
        <w:t xml:space="preserve">迭代提升阶段还有一个重要意义，就是把项目经验从个人经验转化为组织经验。过去，很多有效做法停留在项目骨干的直觉和习惯中，项目结束后很难完整继承。进入这一阶段后，流程规则、问题类型、响应方式和优化路径都能够逐步沉淀下来，为后续项目提供参照。也正因为如此，阶段性目标的层级划分，不只是项目建设节奏的安排，更是智慧工地从一次性建设走向持续性能力建设的关键路径。  </w:t>
      </w:r>
    </w:p>
    <w:p w14:paraId="23CA0311">
      <w:pPr>
        <w:pStyle w:val="3"/>
        <w:numPr>
          <w:ilvl w:val="0"/>
          <w:numId w:val="0"/>
        </w:numPr>
        <w:ind w:left="0" w:leftChars="0" w:firstLine="0" w:firstLineChars="0"/>
        <w:rPr>
          <w:b/>
        </w:rPr>
      </w:pPr>
      <w:bookmarkStart w:id="9" w:name="_Toc12737"/>
      <w:r>
        <w:rPr>
          <w:rFonts w:hint="eastAsia" w:ascii="宋体" w:hAnsi="宋体" w:eastAsia="黑体" w:cs="宋体"/>
          <w:b/>
          <w:bCs/>
          <w:kern w:val="44"/>
          <w:sz w:val="30"/>
          <w:szCs w:val="30"/>
        </w:rPr>
        <w:t>第二节</w:t>
      </w:r>
      <w:r>
        <w:rPr>
          <w:rFonts w:hint="eastAsia" w:cs="宋体"/>
          <w:b/>
          <w:bCs/>
          <w:kern w:val="44"/>
          <w:sz w:val="30"/>
          <w:szCs w:val="30"/>
          <w:lang w:val="en-US" w:eastAsia="zh-CN"/>
        </w:rPr>
        <w:t xml:space="preserve"> </w:t>
      </w:r>
      <w:r>
        <w:t>建设原则与场景识别</w:t>
      </w:r>
      <w:bookmarkEnd w:id="9"/>
    </w:p>
    <w:p w14:paraId="13650BFF">
      <w:pPr>
        <w:pStyle w:val="4"/>
        <w:bidi w:val="0"/>
        <w:rPr>
          <w:rFonts w:hint="eastAsia"/>
        </w:rPr>
      </w:pPr>
      <w:r>
        <w:rPr>
          <w:rFonts w:hint="eastAsia"/>
        </w:rPr>
        <w:t>一、需求牵引与适度建设原则</w:t>
      </w:r>
    </w:p>
    <w:p w14:paraId="67CCC7E2">
      <w:pPr>
        <w:pStyle w:val="11"/>
        <w:rPr>
          <w:rFonts w:hint="eastAsia" w:ascii="Times New Roman" w:hAnsi="Calibri" w:eastAsia="宋体" w:cs="Times New Roman"/>
          <w:sz w:val="21"/>
        </w:rPr>
      </w:pPr>
      <w:r>
        <w:rPr>
          <w:rFonts w:hint="eastAsia" w:ascii="Times New Roman" w:hAnsi="Calibri" w:eastAsia="宋体" w:cs="Times New Roman"/>
          <w:sz w:val="21"/>
        </w:rPr>
        <w:t>（一）需求导向确定建设重点</w:t>
      </w:r>
    </w:p>
    <w:p w14:paraId="4BD8386B">
      <w:pPr>
        <w:pStyle w:val="11"/>
        <w:rPr>
          <w:rFonts w:hint="eastAsia" w:ascii="Times New Roman" w:hAnsi="Calibri" w:eastAsia="宋体" w:cs="Times New Roman"/>
          <w:sz w:val="21"/>
        </w:rPr>
      </w:pPr>
      <w:r>
        <w:rPr>
          <w:rFonts w:hint="eastAsia" w:ascii="Times New Roman" w:hAnsi="Calibri" w:eastAsia="宋体" w:cs="Times New Roman"/>
          <w:sz w:val="21"/>
        </w:rPr>
        <w:t>智慧工地建设进入实施阶段后，最需要先解决的不是系统做多少，而是项目到底要解决什么问题。很多项目一开始就把注意力放在设备数量、平台模块和展示功能上，结果建设动作不少，现场管理却没有明显改善。原因往往不在技术本身，而在于建设重点没有对准真实痛点。对施工现场来说，真正需要优先处理的，通常是流程反复卡顿、问题整改滞后、关键过程留痕不足、资源调配不顺和责任边界模糊等事项。只有先把这些问题识别出来，建设重点才不会停留在表面热闹上。需求导向的价值，就在于把数字化建设由“先配什么技术”转回到“先补什么短板”，让后续投入始终围绕项目治理的实际需要展开。</w:t>
      </w:r>
    </w:p>
    <w:p w14:paraId="78BCCEE0">
      <w:pPr>
        <w:pStyle w:val="11"/>
        <w:rPr>
          <w:rFonts w:hint="eastAsia" w:ascii="Times New Roman" w:hAnsi="Calibri" w:eastAsia="宋体" w:cs="Times New Roman"/>
          <w:sz w:val="21"/>
        </w:rPr>
      </w:pPr>
      <w:r>
        <w:rPr>
          <w:rFonts w:hint="eastAsia" w:ascii="Times New Roman" w:hAnsi="Calibri" w:eastAsia="宋体" w:cs="Times New Roman"/>
          <w:sz w:val="21"/>
        </w:rPr>
        <w:t>（二）适度投入控制建设边界</w:t>
      </w:r>
    </w:p>
    <w:p w14:paraId="3AAC393D">
      <w:pPr>
        <w:pStyle w:val="11"/>
        <w:rPr>
          <w:rFonts w:hint="eastAsia" w:ascii="Times New Roman" w:hAnsi="Calibri" w:eastAsia="宋体" w:cs="Times New Roman"/>
          <w:sz w:val="21"/>
        </w:rPr>
      </w:pPr>
      <w:r>
        <w:rPr>
          <w:rFonts w:hint="eastAsia" w:ascii="Times New Roman" w:hAnsi="Calibri" w:eastAsia="宋体" w:cs="Times New Roman"/>
          <w:sz w:val="21"/>
        </w:rPr>
        <w:t>建设重点明确之后，还要把握投入边界。智慧工地并不是配置越多越好，过轻的建设难以进入业务流程，过重的建设又容易让项目部背上过多维护和使用负担。真正合理的做法，是让建设深度与项目的管理需求、组织能力和周期条件相匹配。现场组织相对简单、工期较短、参建链条不长的项目，通常更适合围绕实名管理、过程留痕、问题闭环和关键节点控制建立基础体系；专业交叉复杂、协同压力较大、监管要求较高的项目，则需要适当提高平台支撑和风险预警能力。适度建设的关键，不是压缩投入本身，而是让每一项投入都能够对应明确的管理收益。凡是不能改善核心控制、却明显增加采集负担和运维成本的内容，都不宜过早纳入重点范围。</w:t>
      </w:r>
    </w:p>
    <w:p w14:paraId="44AA5DC1">
      <w:pPr>
        <w:pStyle w:val="11"/>
        <w:rPr>
          <w:rFonts w:hint="eastAsia" w:ascii="Times New Roman" w:hAnsi="Calibri" w:eastAsia="宋体" w:cs="Times New Roman"/>
          <w:sz w:val="21"/>
        </w:rPr>
      </w:pPr>
      <w:r>
        <w:rPr>
          <w:rFonts w:hint="eastAsia" w:ascii="Times New Roman" w:hAnsi="Calibri" w:eastAsia="宋体" w:cs="Times New Roman"/>
          <w:sz w:val="21"/>
        </w:rPr>
        <w:t>（三）建设内容与项目特征适配</w:t>
      </w:r>
    </w:p>
    <w:p w14:paraId="4C5E52A7">
      <w:pPr>
        <w:pStyle w:val="11"/>
        <w:rPr>
          <w:rFonts w:hint="eastAsia" w:ascii="Times New Roman" w:hAnsi="Calibri" w:eastAsia="宋体" w:cs="Times New Roman"/>
          <w:sz w:val="21"/>
        </w:rPr>
      </w:pPr>
      <w:r>
        <w:rPr>
          <w:rFonts w:hint="eastAsia" w:ascii="Times New Roman" w:hAnsi="Calibri" w:eastAsia="宋体" w:cs="Times New Roman"/>
          <w:sz w:val="21"/>
        </w:rPr>
        <w:t>智慧工地建设不能照搬统一模板，还必须与项目自身特征相适应。项目规模、空间条件、专业复杂度、风险集中程度和组织方式不同，建设内容自然不应完全一样。适配的重点，不在于形式上做多少差异化，而在于判断哪些内容更值得优先嵌入项目运行。住宅项目往往更适合强化劳务、材料、进度和质量留痕；专业系统复杂的公共建筑，更需要突出过程协同和验收支撑；作业面分散的线性工程，则更依赖定位、分段归集和跨区域调度。除了项目类型，项目阶段同样会影响建设重点。开工准备更看重建档和规则设定，主体施工更强调进度协同和风险预警，收尾阶段则更需要资料关联和问题销项。建设内容只有与项目实际运行节奏保持一致，智慧工地才不会变成悬浮于现场之上的附加系统。</w:t>
      </w:r>
    </w:p>
    <w:p w14:paraId="201C539C">
      <w:pPr>
        <w:pStyle w:val="4"/>
        <w:bidi w:val="0"/>
        <w:rPr>
          <w:rFonts w:hint="eastAsia"/>
        </w:rPr>
      </w:pPr>
      <w:r>
        <w:rPr>
          <w:rFonts w:hint="eastAsia"/>
        </w:rPr>
        <w:t>二、场景优先级的识别方法</w:t>
      </w:r>
    </w:p>
    <w:p w14:paraId="2C6A8529">
      <w:pPr>
        <w:pStyle w:val="11"/>
        <w:rPr>
          <w:rFonts w:hint="eastAsia" w:ascii="Times New Roman" w:hAnsi="Calibri" w:eastAsia="宋体" w:cs="Times New Roman"/>
          <w:sz w:val="21"/>
        </w:rPr>
      </w:pPr>
      <w:r>
        <w:rPr>
          <w:rFonts w:hint="eastAsia" w:ascii="Times New Roman" w:hAnsi="Calibri" w:eastAsia="宋体" w:cs="Times New Roman"/>
          <w:sz w:val="21"/>
        </w:rPr>
        <w:t>（一）高频场景优先识别</w:t>
      </w:r>
    </w:p>
    <w:p w14:paraId="15435A2B">
      <w:pPr>
        <w:pStyle w:val="11"/>
        <w:rPr>
          <w:rFonts w:hint="eastAsia" w:ascii="Times New Roman" w:hAnsi="Calibri" w:eastAsia="宋体" w:cs="Times New Roman"/>
          <w:sz w:val="21"/>
        </w:rPr>
      </w:pPr>
      <w:r>
        <w:rPr>
          <w:rFonts w:hint="eastAsia" w:ascii="Times New Roman" w:hAnsi="Calibri" w:eastAsia="宋体" w:cs="Times New Roman"/>
          <w:sz w:val="21"/>
        </w:rPr>
        <w:t>建设方向确定后，项目还要进一步判断哪些场景先做，哪些场景后做。优先识别高频场景，是较为稳妥的起步方法。所谓高频场景，并不是展示效果最强的场景，而是在项目日常运行中反复出现、涉及岗位较多、对管理连续性影响较大的业务环节。实名准入、考勤、巡检、验收、审批、整改、进度填报、材料进退场确认等事项，虽然单次影响未必最大，但由于出现频繁、参与面广，一旦长期依赖线下流转，就会不断消耗管理精力。把这些高频环节优先纳入，能够较快建立稳定的数据来源和流程基础，也更容易让项目部形成持续使用习惯。高频场景先行的意义，不只是为了尽快见效，更是为了让后续分析、预警和协同建立在较稳定的运行基础之上。</w:t>
      </w:r>
    </w:p>
    <w:p w14:paraId="29CD76FA">
      <w:pPr>
        <w:pStyle w:val="11"/>
        <w:rPr>
          <w:rFonts w:hint="eastAsia" w:ascii="Times New Roman" w:hAnsi="Calibri" w:eastAsia="宋体" w:cs="Times New Roman"/>
          <w:sz w:val="21"/>
        </w:rPr>
      </w:pPr>
      <w:r>
        <w:rPr>
          <w:rFonts w:hint="eastAsia" w:ascii="Times New Roman" w:hAnsi="Calibri" w:eastAsia="宋体" w:cs="Times New Roman"/>
          <w:sz w:val="21"/>
        </w:rPr>
        <w:t>（二）高风险场景优先纳入</w:t>
      </w:r>
    </w:p>
    <w:p w14:paraId="4B13F779">
      <w:pPr>
        <w:pStyle w:val="11"/>
        <w:rPr>
          <w:rFonts w:hint="eastAsia" w:ascii="Times New Roman" w:hAnsi="Calibri" w:eastAsia="宋体" w:cs="Times New Roman"/>
          <w:sz w:val="21"/>
        </w:rPr>
      </w:pPr>
      <w:r>
        <w:rPr>
          <w:rFonts w:hint="eastAsia" w:ascii="Times New Roman" w:hAnsi="Calibri" w:eastAsia="宋体" w:cs="Times New Roman"/>
          <w:sz w:val="21"/>
        </w:rPr>
        <w:t>仅凭频率还不足以确定优先顺序，施工现场还必须把高风险场景提前纳入建设视野。有些事项出现次数不算多，但一旦失控，后果往往十分严重。危大工程、深基坑、高支模、特种设备运行、交叉作业区域安全控制、关键隐蔽工程验收等，都属于典型的高风险环节。对这些场景而言，数字化建设的价值不主要在于提高一般效率，而在于增强风险前置识别、异常及时响应和责任链条留存。高风险场景优先纳入，体现的是一种治理顺序：先守住容易出大问题的地方，再逐步完善一般性的协同效率。若一个项目在展示功能上投入很多，却对真正关键的风险环节支撑不足，建设就容易流于形式。把风险场景提前纳入，能够让智慧工地更直接地服务项目底线管理。</w:t>
      </w:r>
    </w:p>
    <w:p w14:paraId="550DB388">
      <w:pPr>
        <w:pStyle w:val="11"/>
        <w:rPr>
          <w:rFonts w:hint="eastAsia" w:ascii="Times New Roman" w:hAnsi="Calibri" w:eastAsia="宋体" w:cs="Times New Roman"/>
          <w:sz w:val="21"/>
        </w:rPr>
      </w:pPr>
      <w:r>
        <w:rPr>
          <w:rFonts w:hint="eastAsia" w:ascii="Times New Roman" w:hAnsi="Calibri" w:eastAsia="宋体" w:cs="Times New Roman"/>
          <w:sz w:val="21"/>
        </w:rPr>
        <w:t>（三）高价值场景分步推进</w:t>
      </w:r>
    </w:p>
    <w:p w14:paraId="3B074BEB">
      <w:pPr>
        <w:pStyle w:val="11"/>
        <w:rPr>
          <w:rFonts w:ascii="Times New Roman" w:hAnsi="Calibri" w:eastAsia="宋体" w:cs="Times New Roman"/>
          <w:sz w:val="21"/>
        </w:rPr>
      </w:pPr>
      <w:r>
        <w:rPr>
          <w:rFonts w:hint="eastAsia" w:ascii="Times New Roman" w:hAnsi="Calibri" w:eastAsia="宋体" w:cs="Times New Roman"/>
          <w:sz w:val="21"/>
        </w:rPr>
        <w:t>在高频和高风险之外，还需要识别高价值场景。这里所说的价值，不只是技术展示价值，而是投入之后能否明显改善项目管理效果。一个场景如果既能减少重复协调，又能提升判断准确性，还能形成可复制经验，就值得优先推进。进度穿透、关键资源调配、质量问题闭环、劳务协同和材料追溯，往往都属于这类场景。但高价值场景并不适合一次铺满，更合理的方式是分步推进。先从数据来源较稳定、责任关系较清晰、运行条件较成熟的环节切入，待规则跑顺之后，再逐步扩展到关联更复杂的场景。这样做既有利于控制实施风险，也有利于把已有成果真正沉淀下来。智慧工地建设说到底不是一轮性的功能堆叠，而是一个逐步增强治理能力的过程。场景排序越清楚，建设路径就越稳，最终形成的应用成效也越容易持续。</w:t>
      </w:r>
    </w:p>
    <w:p w14:paraId="2842A662">
      <w:pPr>
        <w:pStyle w:val="3"/>
        <w:numPr>
          <w:ilvl w:val="0"/>
          <w:numId w:val="0"/>
        </w:numPr>
        <w:ind w:left="0" w:leftChars="0" w:firstLine="0" w:firstLineChars="0"/>
        <w:rPr>
          <w:b/>
        </w:rPr>
      </w:pPr>
      <w:bookmarkStart w:id="10" w:name="_Toc28234"/>
      <w:r>
        <w:rPr>
          <w:rFonts w:hint="eastAsia" w:ascii="宋体" w:hAnsi="宋体" w:eastAsia="黑体" w:cs="宋体"/>
          <w:b/>
          <w:bCs/>
          <w:kern w:val="44"/>
          <w:sz w:val="30"/>
          <w:szCs w:val="30"/>
        </w:rPr>
        <w:t>第三节</w:t>
      </w:r>
      <w:r>
        <w:rPr>
          <w:rFonts w:hint="eastAsia" w:cs="宋体"/>
          <w:b/>
          <w:bCs/>
          <w:kern w:val="44"/>
          <w:sz w:val="30"/>
          <w:szCs w:val="30"/>
          <w:lang w:val="en-US" w:eastAsia="zh-CN"/>
        </w:rPr>
        <w:t xml:space="preserve"> </w:t>
      </w:r>
      <w:r>
        <w:t>组织体系与协同机制</w:t>
      </w:r>
      <w:bookmarkEnd w:id="10"/>
    </w:p>
    <w:p w14:paraId="71443622">
      <w:pPr>
        <w:pStyle w:val="4"/>
        <w:bidi w:val="0"/>
        <w:rPr>
          <w:rFonts w:hint="eastAsia"/>
        </w:rPr>
      </w:pPr>
      <w:r>
        <w:rPr>
          <w:rFonts w:hint="eastAsia"/>
        </w:rPr>
        <w:t>一、建设单位的统筹职责</w:t>
      </w:r>
    </w:p>
    <w:p w14:paraId="5A721657">
      <w:pPr>
        <w:pStyle w:val="11"/>
        <w:rPr>
          <w:rFonts w:hint="eastAsia" w:ascii="Times New Roman" w:hAnsi="Calibri" w:eastAsia="宋体" w:cs="Times New Roman"/>
          <w:sz w:val="21"/>
        </w:rPr>
      </w:pPr>
      <w:r>
        <w:rPr>
          <w:rFonts w:hint="eastAsia" w:ascii="Times New Roman" w:hAnsi="Calibri" w:eastAsia="宋体" w:cs="Times New Roman"/>
          <w:sz w:val="21"/>
        </w:rPr>
        <w:t>（一）总体目标统筹</w:t>
      </w:r>
    </w:p>
    <w:p w14:paraId="7F5CF724">
      <w:pPr>
        <w:pStyle w:val="11"/>
        <w:rPr>
          <w:rFonts w:hint="eastAsia" w:ascii="Times New Roman" w:hAnsi="Calibri" w:eastAsia="宋体" w:cs="Times New Roman"/>
          <w:sz w:val="21"/>
        </w:rPr>
      </w:pPr>
      <w:r>
        <w:rPr>
          <w:rFonts w:hint="eastAsia" w:ascii="Times New Roman" w:hAnsi="Calibri" w:eastAsia="宋体" w:cs="Times New Roman"/>
          <w:sz w:val="21"/>
        </w:rPr>
        <w:t>智慧工地建设进入实施阶段后，最先需要明确的不是单项技术安排，而是项目整体目标由谁统筹。建设单位处于项目治理的源头位置，能够从质量、安全、进度、成本、履约和监管衔接等多重要求出发，对建设方向作出统一判断。若缺少这一层统筹，系统建设就容易被分散需求牵引，形成模块很多、目标不清、应用零散的局面。建设单位应当把智慧工地纳入项目总体管理框架，明确建设重点、应用深度和预期成效，使数字化建设与项目履约目标保持一致。它的职责重点在于定方向、定边界、定要求，而不是替代施工单位处理具体业务。</w:t>
      </w:r>
    </w:p>
    <w:p w14:paraId="233AB8BD">
      <w:pPr>
        <w:pStyle w:val="11"/>
        <w:rPr>
          <w:rFonts w:hint="eastAsia" w:ascii="Times New Roman" w:hAnsi="Calibri" w:eastAsia="宋体" w:cs="Times New Roman"/>
          <w:sz w:val="21"/>
        </w:rPr>
      </w:pPr>
      <w:r>
        <w:rPr>
          <w:rFonts w:hint="eastAsia" w:ascii="Times New Roman" w:hAnsi="Calibri" w:eastAsia="宋体" w:cs="Times New Roman"/>
          <w:sz w:val="21"/>
        </w:rPr>
        <w:t>（二）多方协同组织</w:t>
      </w:r>
    </w:p>
    <w:p w14:paraId="1C502B0D">
      <w:pPr>
        <w:pStyle w:val="11"/>
        <w:rPr>
          <w:rFonts w:hint="eastAsia" w:ascii="Times New Roman" w:hAnsi="Calibri" w:eastAsia="宋体" w:cs="Times New Roman"/>
          <w:sz w:val="21"/>
        </w:rPr>
      </w:pPr>
      <w:r>
        <w:rPr>
          <w:rFonts w:hint="eastAsia" w:ascii="Times New Roman" w:hAnsi="Calibri" w:eastAsia="宋体" w:cs="Times New Roman"/>
          <w:sz w:val="21"/>
        </w:rPr>
        <w:t>智慧工地不是单一主体可以独立完成的工作，它天然涉及建设、施工、监理、分包、供应和技术服务等多方参与。建设单位的重要作用，在于把这些主体纳入统一协同框架，明确各方在数据提供、流程配合、问题处置和成果反馈中的责任界面。协同机制若仅依赖临时沟通，系统运行就容易出现要求不一、响应失衡和事项卡滞。建设单位应通过制度安排、会议机制和考核要求，推动各方围绕同一目标和同一规则开展工作，使项目运行建立在清晰分工和稳定协同之上。其边界在于搭建规则和组织秩序，不宜过度介入现场具体操作。</w:t>
      </w:r>
    </w:p>
    <w:p w14:paraId="386768F1">
      <w:pPr>
        <w:pStyle w:val="11"/>
        <w:rPr>
          <w:rFonts w:hint="eastAsia" w:ascii="Times New Roman" w:hAnsi="Calibri" w:eastAsia="宋体" w:cs="Times New Roman"/>
          <w:sz w:val="21"/>
        </w:rPr>
      </w:pPr>
      <w:r>
        <w:rPr>
          <w:rFonts w:hint="eastAsia" w:ascii="Times New Roman" w:hAnsi="Calibri" w:eastAsia="宋体" w:cs="Times New Roman"/>
          <w:sz w:val="21"/>
        </w:rPr>
        <w:t>（三）实施效果监督</w:t>
      </w:r>
    </w:p>
    <w:p w14:paraId="72500E28">
      <w:pPr>
        <w:pStyle w:val="11"/>
        <w:rPr>
          <w:rFonts w:hint="eastAsia" w:ascii="Times New Roman" w:hAnsi="Calibri" w:eastAsia="宋体" w:cs="Times New Roman"/>
          <w:sz w:val="21"/>
        </w:rPr>
      </w:pPr>
      <w:r>
        <w:rPr>
          <w:rFonts w:hint="eastAsia" w:ascii="Times New Roman" w:hAnsi="Calibri" w:eastAsia="宋体" w:cs="Times New Roman"/>
          <w:sz w:val="21"/>
        </w:rPr>
        <w:t>建设单位还应承担实施效果监督责任，防止智慧工地停留在设备安装和界面展示层面。监督的重点不在于系统数量和终端数量，而在于平台是否进入项目运行、流程是否真正在线、问题是否能够闭合、责任是否能够追溯。只有把监督尺度由“是否建设”转向“是否有效”，智慧工地才能避免形式化。建设单位应持续关注实际应用情况，对偏离建设目标的内容及时校正，对使用不深、流转不畅的环节及时督促改进，但这种监督应当立足治理效果，而不是代替各参与方履行本应承担的职责。</w:t>
      </w:r>
    </w:p>
    <w:p w14:paraId="354D40B1">
      <w:pPr>
        <w:pStyle w:val="4"/>
        <w:bidi w:val="0"/>
        <w:rPr>
          <w:rFonts w:hint="eastAsia"/>
        </w:rPr>
      </w:pPr>
      <w:r>
        <w:rPr>
          <w:rFonts w:hint="eastAsia"/>
        </w:rPr>
        <w:t>二、总承包与专业分包的协同关系</w:t>
      </w:r>
    </w:p>
    <w:p w14:paraId="462BBB1E">
      <w:pPr>
        <w:pStyle w:val="11"/>
        <w:rPr>
          <w:rFonts w:hint="eastAsia" w:ascii="Times New Roman" w:hAnsi="Calibri" w:eastAsia="宋体" w:cs="Times New Roman"/>
          <w:sz w:val="21"/>
        </w:rPr>
      </w:pPr>
      <w:r>
        <w:rPr>
          <w:rFonts w:hint="eastAsia" w:ascii="Times New Roman" w:hAnsi="Calibri" w:eastAsia="宋体" w:cs="Times New Roman"/>
          <w:sz w:val="21"/>
        </w:rPr>
        <w:t>（一）总承包的实施主责</w:t>
      </w:r>
    </w:p>
    <w:p w14:paraId="61525EAB">
      <w:pPr>
        <w:pStyle w:val="11"/>
        <w:rPr>
          <w:rFonts w:hint="eastAsia" w:ascii="Times New Roman" w:hAnsi="Calibri" w:eastAsia="宋体" w:cs="Times New Roman"/>
          <w:sz w:val="21"/>
        </w:rPr>
      </w:pPr>
      <w:r>
        <w:rPr>
          <w:rFonts w:hint="eastAsia" w:ascii="Times New Roman" w:hAnsi="Calibri" w:eastAsia="宋体" w:cs="Times New Roman"/>
          <w:sz w:val="21"/>
        </w:rPr>
        <w:t>在项目执行层面，总承包单位是智慧工地建设的主要实施主体。建设单位负责统筹方向，总承包则负责把平台、终端、流程和现场管理动作真正连接起来。无论是进度组织、质量控制、安全管理还是资源协调，都需要总承包把数字化要求嵌入日常施工管理，使系统运行与现场生产同步推进。若总承包仅把智慧工地视为信息填报或资料管理工作，平台就难以进入项目核心业务。总承包的关键要求，是把生产、技术、安全、质量等岗位纳入统一运行链条，形成稳定执行机制；其边界则是负责现场实施，不应弱化建设单位的目标统筹和制度主导。</w:t>
      </w:r>
    </w:p>
    <w:p w14:paraId="2CAF0BAC">
      <w:pPr>
        <w:pStyle w:val="11"/>
        <w:rPr>
          <w:rFonts w:hint="eastAsia" w:ascii="Times New Roman" w:hAnsi="Calibri" w:eastAsia="宋体" w:cs="Times New Roman"/>
          <w:sz w:val="21"/>
        </w:rPr>
      </w:pPr>
      <w:r>
        <w:rPr>
          <w:rFonts w:hint="eastAsia" w:ascii="Times New Roman" w:hAnsi="Calibri" w:eastAsia="宋体" w:cs="Times New Roman"/>
          <w:sz w:val="21"/>
        </w:rPr>
        <w:t>（二）专业分包的数据配合</w:t>
      </w:r>
    </w:p>
    <w:p w14:paraId="6278CC20">
      <w:pPr>
        <w:pStyle w:val="11"/>
        <w:rPr>
          <w:rFonts w:hint="eastAsia" w:ascii="Times New Roman" w:hAnsi="Calibri" w:eastAsia="宋体" w:cs="Times New Roman"/>
          <w:sz w:val="21"/>
        </w:rPr>
      </w:pPr>
      <w:r>
        <w:rPr>
          <w:rFonts w:hint="eastAsia" w:ascii="Times New Roman" w:hAnsi="Calibri" w:eastAsia="宋体" w:cs="Times New Roman"/>
          <w:sz w:val="21"/>
        </w:rPr>
        <w:t>专业分包虽然不承担统筹责任，却掌握大量一线作业信息，是现场数据形成的重要来源。工序进展、隐蔽验收、材料使用、问题整改和专业调试等关键过程，往往都直接发生在分包作业层。若分包单位不能进入统一数据体系，项目过程记录就会出现断层，协同链条也难以闭合。因此，分包配合不是附属任务，而是智慧工地有效运行的必要条件。项目应明确分包在信息录入、过程留痕、节点确认和整改反馈中的具体责任，使其由被动配合转向按规则参与。其边界在于围绕本专业、本作业面承担真实、及时、完整的数据责任，而不承担项目总体协调职能。</w:t>
      </w:r>
    </w:p>
    <w:p w14:paraId="319DAA79">
      <w:pPr>
        <w:pStyle w:val="11"/>
        <w:rPr>
          <w:rFonts w:hint="eastAsia" w:ascii="Times New Roman" w:hAnsi="Calibri" w:eastAsia="宋体" w:cs="Times New Roman"/>
          <w:sz w:val="21"/>
        </w:rPr>
      </w:pPr>
      <w:r>
        <w:rPr>
          <w:rFonts w:hint="eastAsia" w:ascii="Times New Roman" w:hAnsi="Calibri" w:eastAsia="宋体" w:cs="Times New Roman"/>
          <w:sz w:val="21"/>
        </w:rPr>
        <w:t>（三）协同接口的制度安排</w:t>
      </w:r>
    </w:p>
    <w:p w14:paraId="5F29AB95">
      <w:pPr>
        <w:pStyle w:val="11"/>
        <w:rPr>
          <w:rFonts w:hint="eastAsia" w:ascii="Times New Roman" w:hAnsi="Calibri" w:eastAsia="宋体" w:cs="Times New Roman"/>
          <w:sz w:val="21"/>
        </w:rPr>
      </w:pPr>
      <w:r>
        <w:rPr>
          <w:rFonts w:hint="eastAsia" w:ascii="Times New Roman" w:hAnsi="Calibri" w:eastAsia="宋体" w:cs="Times New Roman"/>
          <w:sz w:val="21"/>
        </w:rPr>
        <w:t>总承包与专业分包之间最容易出现问题的，不是职责有没有写明，而是接口是否真正清楚。很多管理失效都发生在交接环节，例如问题发现后多次转交、前置条件未满足却进入下道工序、整改完成却缺少复核确认。要避免这些问题，必须把总分包之间的接口关系制度化。制度安排应明确事项由谁发起、谁响应、谁确认、谁复核，同时明确时间节点和留痕要求，使协同由经验推动转向规则运行。接口清楚之后，系统才能真正发挥作用。其边界在于固化协同路径，不宜把所有责任都压给某一方独自承担。</w:t>
      </w:r>
    </w:p>
    <w:p w14:paraId="140484CD">
      <w:pPr>
        <w:pStyle w:val="4"/>
        <w:bidi w:val="0"/>
        <w:rPr>
          <w:rFonts w:hint="eastAsia"/>
        </w:rPr>
      </w:pPr>
      <w:r>
        <w:rPr>
          <w:rFonts w:hint="eastAsia"/>
        </w:rPr>
        <w:t>三、技术服务方的支撑角色</w:t>
      </w:r>
    </w:p>
    <w:p w14:paraId="379277C1">
      <w:pPr>
        <w:pStyle w:val="11"/>
        <w:rPr>
          <w:rFonts w:hint="eastAsia" w:ascii="Times New Roman" w:hAnsi="Calibri" w:eastAsia="宋体" w:cs="Times New Roman"/>
          <w:sz w:val="21"/>
        </w:rPr>
      </w:pPr>
      <w:r>
        <w:rPr>
          <w:rFonts w:hint="eastAsia" w:ascii="Times New Roman" w:hAnsi="Calibri" w:eastAsia="宋体" w:cs="Times New Roman"/>
          <w:sz w:val="21"/>
        </w:rPr>
        <w:t>（一）平台实施支撑</w:t>
      </w:r>
    </w:p>
    <w:p w14:paraId="5D1C0581">
      <w:pPr>
        <w:pStyle w:val="11"/>
        <w:rPr>
          <w:rFonts w:hint="eastAsia" w:ascii="Times New Roman" w:hAnsi="Calibri" w:eastAsia="宋体" w:cs="Times New Roman"/>
          <w:sz w:val="21"/>
        </w:rPr>
      </w:pPr>
      <w:r>
        <w:rPr>
          <w:rFonts w:hint="eastAsia" w:ascii="Times New Roman" w:hAnsi="Calibri" w:eastAsia="宋体" w:cs="Times New Roman"/>
          <w:sz w:val="21"/>
        </w:rPr>
        <w:t>技术服务方在智慧工地建设中的首要角色，是把项目需求转化为可落地的技术实现路径。平台部署、终端接入、接口配置和权限设置，都需要技术服务方提供专业支撑。但技术服务并不只是把软件安装完成，更重要的是使系统结构和业务逻辑相匹配，让平台能够承接现场真实管理需求。若技术实施脱离项目特点，平台再完整也可能停留在“能展示、难应用”的状态。技术服务方的关键要求，是理解业务、支撑上线、保障可用；其边界则是提供实现工具和技术支持，而不是代替项目团队作出管理判断。</w:t>
      </w:r>
    </w:p>
    <w:p w14:paraId="54626789">
      <w:pPr>
        <w:pStyle w:val="11"/>
        <w:rPr>
          <w:rFonts w:hint="eastAsia" w:ascii="Times New Roman" w:hAnsi="Calibri" w:eastAsia="宋体" w:cs="Times New Roman"/>
          <w:sz w:val="21"/>
        </w:rPr>
      </w:pPr>
      <w:r>
        <w:rPr>
          <w:rFonts w:hint="eastAsia" w:ascii="Times New Roman" w:hAnsi="Calibri" w:eastAsia="宋体" w:cs="Times New Roman"/>
          <w:sz w:val="21"/>
        </w:rPr>
        <w:t>（二）问题响应支撑</w:t>
      </w:r>
    </w:p>
    <w:p w14:paraId="27DA59E5">
      <w:pPr>
        <w:pStyle w:val="11"/>
        <w:rPr>
          <w:rFonts w:hint="eastAsia" w:ascii="Times New Roman" w:hAnsi="Calibri" w:eastAsia="宋体" w:cs="Times New Roman"/>
          <w:sz w:val="21"/>
        </w:rPr>
      </w:pPr>
      <w:r>
        <w:rPr>
          <w:rFonts w:hint="eastAsia" w:ascii="Times New Roman" w:hAnsi="Calibri" w:eastAsia="宋体" w:cs="Times New Roman"/>
          <w:sz w:val="21"/>
        </w:rPr>
        <w:t>智慧工地上线之后，系统运行中不可避免会出现设备故障、数据异常、接口不畅和使用障碍等问题。技术服务方必须具备及时响应能力，确保现场问题能够被快速识别和处理，避免技术性障碍演变为管理性障碍。响应支撑的价值，不只在于修复故障，更在于维持项目对平台的使用信心。若问题长期积压，现场人员很容易重新回到线下沟通和人工补录的旧路径。技术服务方应建立清晰的响应机制、问题分级和处理时限，但其边界仍然是解决技术问题、优化系统运行，而不是替代项目部承担业务闭环责任。</w:t>
      </w:r>
    </w:p>
    <w:p w14:paraId="29FB5F31">
      <w:pPr>
        <w:pStyle w:val="11"/>
        <w:rPr>
          <w:rFonts w:hint="eastAsia" w:ascii="Times New Roman" w:hAnsi="Calibri" w:eastAsia="宋体" w:cs="Times New Roman"/>
          <w:sz w:val="21"/>
        </w:rPr>
      </w:pPr>
      <w:r>
        <w:rPr>
          <w:rFonts w:hint="eastAsia" w:ascii="Times New Roman" w:hAnsi="Calibri" w:eastAsia="宋体" w:cs="Times New Roman"/>
          <w:sz w:val="21"/>
        </w:rPr>
        <w:t>（三）优化升级支撑</w:t>
      </w:r>
    </w:p>
    <w:p w14:paraId="272AEC2D">
      <w:pPr>
        <w:pStyle w:val="11"/>
        <w:rPr>
          <w:rFonts w:hint="eastAsia" w:ascii="Times New Roman" w:hAnsi="Calibri" w:eastAsia="宋体" w:cs="Times New Roman"/>
          <w:sz w:val="21"/>
        </w:rPr>
      </w:pPr>
      <w:r>
        <w:rPr>
          <w:rFonts w:hint="eastAsia" w:ascii="Times New Roman" w:hAnsi="Calibri" w:eastAsia="宋体" w:cs="Times New Roman"/>
          <w:sz w:val="21"/>
        </w:rPr>
        <w:t>智慧工地建设不是一次性交付，而是伴随项目推进不断调整的过程。随着施工阶段变化和应用场景深化，平台功能、流程设置和数据规则都可能需要优化。技术服务方应在运行基础上持续总结问题、提出改进方案，并配合项目完成必要的版本升级和能力扩展。优化的重点应放在提升易用性、稳定性和适配性，而不是盲目追求功能堆叠。技术服务方的边界在于根据业务需求提供升级支撑，不应脱离项目实际自行扩张建设内容。</w:t>
      </w:r>
    </w:p>
    <w:p w14:paraId="74905155">
      <w:pPr>
        <w:pStyle w:val="4"/>
        <w:bidi w:val="0"/>
        <w:rPr>
          <w:rFonts w:hint="eastAsia"/>
        </w:rPr>
      </w:pPr>
      <w:r>
        <w:rPr>
          <w:rFonts w:hint="eastAsia"/>
        </w:rPr>
        <w:t>四、运行维护主体的责任分工</w:t>
      </w:r>
    </w:p>
    <w:p w14:paraId="07B1697D">
      <w:pPr>
        <w:pStyle w:val="11"/>
        <w:rPr>
          <w:rFonts w:hint="eastAsia" w:ascii="Times New Roman" w:hAnsi="Calibri" w:eastAsia="宋体" w:cs="Times New Roman"/>
          <w:sz w:val="21"/>
        </w:rPr>
      </w:pPr>
      <w:r>
        <w:rPr>
          <w:rFonts w:hint="eastAsia" w:ascii="Times New Roman" w:hAnsi="Calibri" w:eastAsia="宋体" w:cs="Times New Roman"/>
          <w:sz w:val="21"/>
        </w:rPr>
        <w:t>（一）日常运维管理责任</w:t>
      </w:r>
    </w:p>
    <w:p w14:paraId="0D97BA3C">
      <w:pPr>
        <w:pStyle w:val="11"/>
        <w:rPr>
          <w:rFonts w:hint="eastAsia" w:ascii="Times New Roman" w:hAnsi="Calibri" w:eastAsia="宋体" w:cs="Times New Roman"/>
          <w:sz w:val="21"/>
        </w:rPr>
      </w:pPr>
      <w:r>
        <w:rPr>
          <w:rFonts w:hint="eastAsia" w:ascii="Times New Roman" w:hAnsi="Calibri" w:eastAsia="宋体" w:cs="Times New Roman"/>
          <w:sz w:val="21"/>
        </w:rPr>
        <w:t>智慧工地要稳定运行，必须明确日常运维责任。项目部应负责一线使用管理、基础数据维护和问题上报，企业管理层负责制度保障和资源协调，技术服务方负责系统维护和技术支撑。只有三者分工明确，平台才能保持持续可用。若运维责任长期悬空，系统即使前期建设较好，后期也会因数据失真、流程中断和设备失管而逐渐失效。日常运维的关键要求，是责任到岗、工作有序、问题可追；其边界则是各主体按职能承担维护任务，避免职责交叉和相互推诿。</w:t>
      </w:r>
    </w:p>
    <w:p w14:paraId="5392BB76">
      <w:pPr>
        <w:pStyle w:val="11"/>
        <w:rPr>
          <w:rFonts w:hint="eastAsia" w:ascii="Times New Roman" w:hAnsi="Calibri" w:eastAsia="宋体" w:cs="Times New Roman"/>
          <w:sz w:val="21"/>
        </w:rPr>
      </w:pPr>
      <w:r>
        <w:rPr>
          <w:rFonts w:hint="eastAsia" w:ascii="Times New Roman" w:hAnsi="Calibri" w:eastAsia="宋体" w:cs="Times New Roman"/>
          <w:sz w:val="21"/>
        </w:rPr>
        <w:t>（二）异常问题处置责任</w:t>
      </w:r>
    </w:p>
    <w:p w14:paraId="085DC3CC">
      <w:pPr>
        <w:pStyle w:val="11"/>
        <w:rPr>
          <w:rFonts w:hint="eastAsia" w:ascii="Times New Roman" w:hAnsi="Calibri" w:eastAsia="宋体" w:cs="Times New Roman"/>
          <w:sz w:val="21"/>
        </w:rPr>
      </w:pPr>
      <w:r>
        <w:rPr>
          <w:rFonts w:hint="eastAsia" w:ascii="Times New Roman" w:hAnsi="Calibri" w:eastAsia="宋体" w:cs="Times New Roman"/>
          <w:sz w:val="21"/>
        </w:rPr>
        <w:t>系统运行中的异常问题具有突发性和扩散性，若处置不及时，往往会直接影响业务连续性。数据异常、设备离线、接口失效和权限错配等问题，都应形成明确的处置路径。项目部负责发现和反馈，技术服务方负责技术排查与修复，相关管理岗位负责确认异常是否影响业务运行。异常处置不能停留在“谁发现谁解决”的临时状态，而应形成标准化的报告、处理和复核机制。其边界在于按照问题性质分层处理，技术问题归技术，业务问题归业务，防止责任混淆。</w:t>
      </w:r>
    </w:p>
    <w:p w14:paraId="483CF4CF">
      <w:pPr>
        <w:pStyle w:val="11"/>
        <w:rPr>
          <w:rFonts w:hint="eastAsia" w:ascii="Times New Roman" w:hAnsi="Calibri" w:eastAsia="宋体" w:cs="Times New Roman"/>
          <w:sz w:val="21"/>
        </w:rPr>
      </w:pPr>
      <w:r>
        <w:rPr>
          <w:rFonts w:hint="eastAsia" w:ascii="Times New Roman" w:hAnsi="Calibri" w:eastAsia="宋体" w:cs="Times New Roman"/>
          <w:sz w:val="21"/>
        </w:rPr>
        <w:t>（三）长期更新迭代责任</w:t>
      </w:r>
    </w:p>
    <w:p w14:paraId="070D2E71">
      <w:pPr>
        <w:pStyle w:val="11"/>
        <w:rPr>
          <w:rFonts w:ascii="Times New Roman" w:hAnsi="Calibri" w:eastAsia="宋体" w:cs="Times New Roman"/>
          <w:sz w:val="21"/>
        </w:rPr>
      </w:pPr>
      <w:r>
        <w:rPr>
          <w:rFonts w:hint="eastAsia" w:ascii="Times New Roman" w:hAnsi="Calibri" w:eastAsia="宋体" w:cs="Times New Roman"/>
          <w:sz w:val="21"/>
        </w:rPr>
        <w:t>智慧工地具有持续运行属性，项目建设过程中积累的数据、流程和经验，只有经过持续更新和迭代，才能沉淀为真正的组织能力。运行维护主体不仅要保证系统不断线，还要推动规则优化、流程完善和经验固化。项目部应及时反馈使用痛点，企业应总结可复制做法，技术服务方应提供升级支持，共同推动系统由可用走向好用。长期迭代的关键要求，是坚持问题导向和应用导向；其边界则是围绕项目实际需要持续优化，而不是脱离管理场景追求形式上的先进性。</w:t>
      </w:r>
    </w:p>
    <w:p w14:paraId="1A11546F">
      <w:pPr>
        <w:pStyle w:val="3"/>
        <w:numPr>
          <w:ilvl w:val="0"/>
          <w:numId w:val="0"/>
        </w:numPr>
        <w:ind w:left="0" w:leftChars="0" w:firstLine="0" w:firstLineChars="0"/>
        <w:rPr>
          <w:b/>
        </w:rPr>
      </w:pPr>
      <w:bookmarkStart w:id="11" w:name="_Toc23668"/>
      <w:r>
        <w:rPr>
          <w:rFonts w:hint="eastAsia" w:ascii="宋体" w:hAnsi="宋体" w:eastAsia="黑体" w:cs="宋体"/>
          <w:b/>
          <w:bCs/>
          <w:kern w:val="44"/>
          <w:sz w:val="30"/>
          <w:szCs w:val="30"/>
        </w:rPr>
        <w:t>第四节</w:t>
      </w:r>
      <w:r>
        <w:rPr>
          <w:rFonts w:hint="eastAsia" w:cs="宋体"/>
          <w:b/>
          <w:bCs/>
          <w:kern w:val="44"/>
          <w:sz w:val="30"/>
          <w:szCs w:val="30"/>
          <w:lang w:val="en-US" w:eastAsia="zh-CN"/>
        </w:rPr>
        <w:t xml:space="preserve"> </w:t>
      </w:r>
      <w:r>
        <w:t>标准规则与制度安排</w:t>
      </w:r>
      <w:bookmarkEnd w:id="11"/>
    </w:p>
    <w:p w14:paraId="6C51151A">
      <w:pPr>
        <w:pStyle w:val="4"/>
        <w:bidi w:val="0"/>
        <w:rPr>
          <w:rFonts w:hint="eastAsia"/>
        </w:rPr>
      </w:pPr>
      <w:r>
        <w:rPr>
          <w:rFonts w:hint="eastAsia"/>
        </w:rPr>
        <w:t>一、数据编码与台账规则</w:t>
      </w:r>
    </w:p>
    <w:p w14:paraId="27A8485D">
      <w:pPr>
        <w:pStyle w:val="11"/>
        <w:rPr>
          <w:rFonts w:hint="eastAsia" w:ascii="Times New Roman" w:hAnsi="Calibri" w:eastAsia="宋体" w:cs="Times New Roman"/>
          <w:sz w:val="21"/>
        </w:rPr>
      </w:pPr>
      <w:r>
        <w:rPr>
          <w:rFonts w:hint="eastAsia" w:ascii="Times New Roman" w:hAnsi="Calibri" w:eastAsia="宋体" w:cs="Times New Roman"/>
          <w:sz w:val="21"/>
        </w:rPr>
        <w:t>（一）统一编码体系建立</w:t>
      </w:r>
    </w:p>
    <w:p w14:paraId="2FBE6B3A">
      <w:pPr>
        <w:pStyle w:val="11"/>
        <w:rPr>
          <w:rFonts w:hint="eastAsia" w:ascii="Times New Roman" w:hAnsi="Calibri" w:eastAsia="宋体" w:cs="Times New Roman"/>
          <w:sz w:val="21"/>
        </w:rPr>
      </w:pPr>
      <w:r>
        <w:rPr>
          <w:rFonts w:hint="eastAsia" w:ascii="Times New Roman" w:hAnsi="Calibri" w:eastAsia="宋体" w:cs="Times New Roman"/>
          <w:sz w:val="21"/>
        </w:rPr>
        <w:t>智慧工地能否真正运行起来，往往不取决于平台界面是否复杂，而取决于现场对象能否被统一识别。人员、设备、材料、构件、作业区域和验收事项如果没有统一编码，同一对象就会在不同台账、不同岗位和不同记录中反复变形，数据看似很多，实际却难以互认。统一编码的价值，不在于把对象机械编号，而在于给项目建立共同语言，让后续采集、流转、比对和追溯建立在同一识别基础上。编码规则应当体现分类、层级和关联三层逻辑，既能区分对象属性，也能反映对象之间的管理关系。只有识别口径统一，项目才能由分散记录走向统一治理。</w:t>
      </w:r>
    </w:p>
    <w:p w14:paraId="43990955">
      <w:pPr>
        <w:pStyle w:val="11"/>
        <w:rPr>
          <w:rFonts w:hint="eastAsia" w:ascii="Times New Roman" w:hAnsi="Calibri" w:eastAsia="宋体" w:cs="Times New Roman"/>
          <w:sz w:val="21"/>
        </w:rPr>
      </w:pPr>
      <w:r>
        <w:rPr>
          <w:rFonts w:hint="eastAsia" w:ascii="Times New Roman" w:hAnsi="Calibri" w:eastAsia="宋体" w:cs="Times New Roman"/>
          <w:sz w:val="21"/>
        </w:rPr>
        <w:t>（二）基础台账标准化</w:t>
      </w:r>
    </w:p>
    <w:p w14:paraId="08D79718">
      <w:pPr>
        <w:pStyle w:val="11"/>
        <w:rPr>
          <w:rFonts w:hint="eastAsia" w:ascii="Times New Roman" w:hAnsi="Calibri" w:eastAsia="宋体" w:cs="Times New Roman"/>
          <w:sz w:val="21"/>
        </w:rPr>
      </w:pPr>
      <w:r>
        <w:rPr>
          <w:rFonts w:hint="eastAsia" w:ascii="Times New Roman" w:hAnsi="Calibri" w:eastAsia="宋体" w:cs="Times New Roman"/>
          <w:sz w:val="21"/>
        </w:rPr>
        <w:t>编码解决的是“如何识别”，台账解决的是“如何稳定记录”。施工现场很多后续问题，看似出在分析和处置环节，根源却往往在基础台账不准。人员台账不全，实名制和考勤就会失真；设备台账不准，状态掌握和维保安排就会落空；材料台账混乱，追溯和库存控制就难以可靠。台账标准化不是把字段堆得越多越好，而是让台账内容与管理目的保持一致。对人员、设备、材料等核心对象，应围绕身份、状态、责任、时间和位置形成统一记录口径，使不同岗位录入的信息能够互相衔接。台账一旦稳定，现场管理才有持续判断的基础，系统运行也不至于因为人员变化和习惯差异而反复失序。</w:t>
      </w:r>
    </w:p>
    <w:p w14:paraId="4F620B25">
      <w:pPr>
        <w:pStyle w:val="11"/>
        <w:rPr>
          <w:rFonts w:hint="eastAsia" w:ascii="Times New Roman" w:hAnsi="Calibri" w:eastAsia="宋体" w:cs="Times New Roman"/>
          <w:sz w:val="21"/>
        </w:rPr>
      </w:pPr>
      <w:r>
        <w:rPr>
          <w:rFonts w:hint="eastAsia" w:ascii="Times New Roman" w:hAnsi="Calibri" w:eastAsia="宋体" w:cs="Times New Roman"/>
          <w:sz w:val="21"/>
        </w:rPr>
        <w:t>（三）编码规则动态维护</w:t>
      </w:r>
    </w:p>
    <w:p w14:paraId="70504635">
      <w:pPr>
        <w:pStyle w:val="11"/>
        <w:rPr>
          <w:rFonts w:hint="eastAsia" w:ascii="Times New Roman" w:hAnsi="Calibri" w:eastAsia="宋体" w:cs="Times New Roman"/>
          <w:sz w:val="21"/>
        </w:rPr>
      </w:pPr>
      <w:r>
        <w:rPr>
          <w:rFonts w:hint="eastAsia" w:ascii="Times New Roman" w:hAnsi="Calibri" w:eastAsia="宋体" w:cs="Times New Roman"/>
          <w:sz w:val="21"/>
        </w:rPr>
        <w:t>统一规则并不是开工阶段一次设定后就可以长期不变。施工现场始终处在动态变化中，新增分包、设备替换、材料调整和作业面转换都会不断发生。若缺少后续维护，前期建立的统一口径很快就会被冲散，编号重复、字段失准、对象失联等问题便会接连出现。编码和台账因此必须具备动态维护机制，新增对象如何进入体系，变更对象如何保留历史关系，停用对象如何退出而不破坏原有记录链条，都应有明确规则。真正重要的不是频繁改动规则，而是在变化中保持持续统一。只有把维护责任落实到岗位，项目才能避免重新回到线下人工补台的老路。</w:t>
      </w:r>
    </w:p>
    <w:p w14:paraId="76DC67FE">
      <w:pPr>
        <w:pStyle w:val="4"/>
        <w:bidi w:val="0"/>
        <w:rPr>
          <w:rFonts w:hint="eastAsia"/>
        </w:rPr>
      </w:pPr>
      <w:r>
        <w:rPr>
          <w:rFonts w:hint="eastAsia"/>
        </w:rPr>
        <w:t>二、业务流程与表单标准</w:t>
      </w:r>
    </w:p>
    <w:p w14:paraId="14D15B2F">
      <w:pPr>
        <w:pStyle w:val="11"/>
        <w:rPr>
          <w:rFonts w:hint="eastAsia" w:ascii="Times New Roman" w:hAnsi="Calibri" w:eastAsia="宋体" w:cs="Times New Roman"/>
          <w:sz w:val="21"/>
        </w:rPr>
      </w:pPr>
      <w:r>
        <w:rPr>
          <w:rFonts w:hint="eastAsia" w:ascii="Times New Roman" w:hAnsi="Calibri" w:eastAsia="宋体" w:cs="Times New Roman"/>
          <w:sz w:val="21"/>
        </w:rPr>
        <w:t>（一）业务流程标准梳理</w:t>
      </w:r>
    </w:p>
    <w:p w14:paraId="696742E9">
      <w:pPr>
        <w:pStyle w:val="11"/>
        <w:rPr>
          <w:rFonts w:hint="eastAsia" w:ascii="Times New Roman" w:hAnsi="Calibri" w:eastAsia="宋体" w:cs="Times New Roman"/>
          <w:sz w:val="21"/>
        </w:rPr>
      </w:pPr>
      <w:r>
        <w:rPr>
          <w:rFonts w:hint="eastAsia" w:ascii="Times New Roman" w:hAnsi="Calibri" w:eastAsia="宋体" w:cs="Times New Roman"/>
          <w:sz w:val="21"/>
        </w:rPr>
        <w:t>智慧工地不是简单的信息展示工具，而是依附业务流程运行的管理体系。流程如果本身就不清楚，线上化只会把原有混乱搬进系统。项目中最关键的环节，如隐患整改、材料验收、工序报验、设备异常处置和问题复核确认，都应先把发起、流转、审核和完成的路径梳理清楚。流程标准化的意义，在于让事项从发生到闭合有明确轨迹，而不是依赖会议、电话和临时催办维持运转。需要注意的是，流程标准化不等于层层加码。节点过多、手续过繁，同样会削弱执行意愿。更合理的做法，是围绕管理实质保留必要节点，压缩重复确认和无效流转，让流程既能管得住，又不至于拖慢现场节奏。</w:t>
      </w:r>
    </w:p>
    <w:p w14:paraId="67A1D089">
      <w:pPr>
        <w:pStyle w:val="11"/>
        <w:rPr>
          <w:rFonts w:hint="eastAsia" w:ascii="Times New Roman" w:hAnsi="Calibri" w:eastAsia="宋体" w:cs="Times New Roman"/>
          <w:sz w:val="21"/>
        </w:rPr>
      </w:pPr>
      <w:r>
        <w:rPr>
          <w:rFonts w:hint="eastAsia" w:ascii="Times New Roman" w:hAnsi="Calibri" w:eastAsia="宋体" w:cs="Times New Roman"/>
          <w:sz w:val="21"/>
        </w:rPr>
        <w:t>（二）表单结构统一设计</w:t>
      </w:r>
    </w:p>
    <w:p w14:paraId="5543BBF0">
      <w:pPr>
        <w:pStyle w:val="11"/>
        <w:rPr>
          <w:rFonts w:hint="eastAsia" w:ascii="Times New Roman" w:hAnsi="Calibri" w:eastAsia="宋体" w:cs="Times New Roman"/>
          <w:sz w:val="21"/>
        </w:rPr>
      </w:pPr>
      <w:r>
        <w:rPr>
          <w:rFonts w:hint="eastAsia" w:ascii="Times New Roman" w:hAnsi="Calibri" w:eastAsia="宋体" w:cs="Times New Roman"/>
          <w:sz w:val="21"/>
        </w:rPr>
        <w:t>流程明确之后，表单必须跟着统一。表单虽然只是信息载体，却直接决定记录能否被识别、比较和使用。若同类事项在不同岗位、不同时间、不同场景下采用不同填写方式，积累下来的记录就难以形成有效判断。表单统一的关键，不在版式整齐，而在字段设置能否服务后续管理。字段过少，无法支撑分析和追责；字段过多，又容易增加一线负担。真正可用的表单，应围绕事项最小闭环组织信息，把问题类型、责任主体、时间节点、位置描述和必要证据等核心内容稳定下来。这样做的意义，不只是方便归类，更在于让不同岗位围绕同一事项建立共同事实，减少信息在流转中的遗漏和变形。</w:t>
      </w:r>
    </w:p>
    <w:p w14:paraId="16595EC1">
      <w:pPr>
        <w:pStyle w:val="11"/>
        <w:rPr>
          <w:rFonts w:hint="eastAsia" w:ascii="Times New Roman" w:hAnsi="Calibri" w:eastAsia="宋体" w:cs="Times New Roman"/>
          <w:sz w:val="21"/>
        </w:rPr>
      </w:pPr>
      <w:r>
        <w:rPr>
          <w:rFonts w:hint="eastAsia" w:ascii="Times New Roman" w:hAnsi="Calibri" w:eastAsia="宋体" w:cs="Times New Roman"/>
          <w:sz w:val="21"/>
        </w:rPr>
        <w:t>（三）流程表单与系统映射</w:t>
      </w:r>
    </w:p>
    <w:p w14:paraId="6519B813">
      <w:pPr>
        <w:pStyle w:val="11"/>
        <w:rPr>
          <w:rFonts w:hint="eastAsia" w:ascii="Times New Roman" w:hAnsi="Calibri" w:eastAsia="宋体" w:cs="Times New Roman"/>
          <w:sz w:val="21"/>
        </w:rPr>
      </w:pPr>
      <w:r>
        <w:rPr>
          <w:rFonts w:hint="eastAsia" w:ascii="Times New Roman" w:hAnsi="Calibri" w:eastAsia="宋体" w:cs="Times New Roman"/>
          <w:sz w:val="21"/>
        </w:rPr>
        <w:t>制度文件写得完整，并不等于规则已经真正落地。流程和表单只有进入日常运行，标准才会转化为管理能力。这里所强调的，不是技术实现细节，而是规则应当能够落实到实际使用之中。谁可以发起，谁必须响应，什么事项应保留说明，什么节点必须完成确认，都应形成清晰要求。规则越明确，现场越能减少对个人催办的依赖，事项状态也越容易保持透明。反过来看，若制度只停留在纸面，流程仍然主要靠线下推动，那么所谓标准化就只是形式上的统一，并没有真正改变管理方式。</w:t>
      </w:r>
    </w:p>
    <w:p w14:paraId="354E3B27">
      <w:pPr>
        <w:pStyle w:val="4"/>
        <w:bidi w:val="0"/>
        <w:rPr>
          <w:rFonts w:hint="eastAsia"/>
        </w:rPr>
      </w:pPr>
      <w:r>
        <w:rPr>
          <w:rFonts w:hint="eastAsia"/>
        </w:rPr>
        <w:t>三、考核评价与责任追溯机制</w:t>
      </w:r>
    </w:p>
    <w:p w14:paraId="3A515B39">
      <w:pPr>
        <w:pStyle w:val="11"/>
        <w:rPr>
          <w:rFonts w:hint="eastAsia" w:ascii="Times New Roman" w:hAnsi="Calibri" w:eastAsia="宋体" w:cs="Times New Roman"/>
          <w:sz w:val="21"/>
        </w:rPr>
      </w:pPr>
      <w:r>
        <w:rPr>
          <w:rFonts w:hint="eastAsia" w:ascii="Times New Roman" w:hAnsi="Calibri" w:eastAsia="宋体" w:cs="Times New Roman"/>
          <w:sz w:val="21"/>
        </w:rPr>
        <w:t>（一）过程考核指标设置</w:t>
      </w:r>
    </w:p>
    <w:p w14:paraId="33383EF0">
      <w:pPr>
        <w:pStyle w:val="11"/>
        <w:rPr>
          <w:rFonts w:hint="eastAsia" w:ascii="Times New Roman" w:hAnsi="Calibri" w:eastAsia="宋体" w:cs="Times New Roman"/>
          <w:sz w:val="21"/>
        </w:rPr>
      </w:pPr>
      <w:r>
        <w:rPr>
          <w:rFonts w:hint="eastAsia" w:ascii="Times New Roman" w:hAnsi="Calibri" w:eastAsia="宋体" w:cs="Times New Roman"/>
          <w:sz w:val="21"/>
        </w:rPr>
        <w:t>标准规则若不进入考核，往往很难长期稳定执行。智慧工地强调过程受控，因此考核重点也应放在过程，而不是只盯最终结果。考核不能简单统计录入数量和模块使用次数，更应关注关键台账是否持续更新、关键流程是否按时闭合、问题整改是否及时完成、异常记录是否得到修正。也就是说，考核评价要引导项目真运行，而不是多留痕。一旦指标偏离这一点，现场就容易为了完成分值而机械填报，反而削弱系统质量。把过程性要求纳入考核，实质上是在为规则执行建立持续约束，让数字化由可做可不做转向必须稳定做好。</w:t>
      </w:r>
    </w:p>
    <w:p w14:paraId="5A443BA6">
      <w:pPr>
        <w:pStyle w:val="11"/>
        <w:rPr>
          <w:rFonts w:hint="eastAsia" w:ascii="Times New Roman" w:hAnsi="Calibri" w:eastAsia="宋体" w:cs="Times New Roman"/>
          <w:sz w:val="21"/>
        </w:rPr>
      </w:pPr>
      <w:r>
        <w:rPr>
          <w:rFonts w:hint="eastAsia" w:ascii="Times New Roman" w:hAnsi="Calibri" w:eastAsia="宋体" w:cs="Times New Roman"/>
          <w:sz w:val="21"/>
        </w:rPr>
        <w:t>（二）责任留痕路径设计</w:t>
      </w:r>
    </w:p>
    <w:p w14:paraId="0AEFB9C1">
      <w:pPr>
        <w:pStyle w:val="11"/>
        <w:rPr>
          <w:rFonts w:hint="eastAsia" w:ascii="Times New Roman" w:hAnsi="Calibri" w:eastAsia="宋体" w:cs="Times New Roman"/>
          <w:sz w:val="21"/>
        </w:rPr>
      </w:pPr>
      <w:r>
        <w:rPr>
          <w:rFonts w:hint="eastAsia" w:ascii="Times New Roman" w:hAnsi="Calibri" w:eastAsia="宋体" w:cs="Times New Roman"/>
          <w:sz w:val="21"/>
        </w:rPr>
        <w:t>智慧工地的一个核心价值，在于把原本容易模糊的责任关系变得可追踪。问题是谁发现的、由谁处置、何时反馈、谁来复核，如果没有连续留痕，后续追责往往只能依赖口头说明。责任留痕并不是为了事后追究而追究，而是为了让每个环节在运行中就保持清晰。留痕路径设计应围绕事项链条展开，把对象、时间、岗位、动作和结果稳定连接起来，使责任不再散落在微信群、纸面记录和个人记忆中。这样一来，问题一旦发生，项目能够迅速判断卡在哪个环节、需要谁来接续处理，责任追溯也由结果倒查转向过程可见。</w:t>
      </w:r>
    </w:p>
    <w:p w14:paraId="5C304CCA">
      <w:pPr>
        <w:pStyle w:val="11"/>
        <w:rPr>
          <w:rFonts w:hint="eastAsia" w:ascii="Times New Roman" w:hAnsi="Calibri" w:eastAsia="宋体" w:cs="Times New Roman"/>
          <w:sz w:val="21"/>
        </w:rPr>
      </w:pPr>
      <w:r>
        <w:rPr>
          <w:rFonts w:hint="eastAsia" w:ascii="Times New Roman" w:hAnsi="Calibri" w:eastAsia="宋体" w:cs="Times New Roman"/>
          <w:sz w:val="21"/>
        </w:rPr>
        <w:t>（三）考核结果反馈应用</w:t>
      </w:r>
    </w:p>
    <w:p w14:paraId="61EE9A6E">
      <w:pPr>
        <w:pStyle w:val="11"/>
        <w:rPr>
          <w:rFonts w:ascii="Times New Roman" w:hAnsi="Calibri" w:eastAsia="宋体" w:cs="Times New Roman"/>
          <w:sz w:val="21"/>
        </w:rPr>
      </w:pPr>
      <w:r>
        <w:rPr>
          <w:rFonts w:hint="eastAsia" w:ascii="Times New Roman" w:hAnsi="Calibri" w:eastAsia="宋体" w:cs="Times New Roman"/>
          <w:sz w:val="21"/>
        </w:rPr>
        <w:t>考核若止于打分，制度的作用就会被削弱。更有价值的做法，是把考核结果继续用于整改、优化和机制调整。哪些台账长期不稳定，说明基础管理仍有薄弱环节；哪些流程经常超时，说明流转设计还不够合理；哪些问题重复出现，说明制度要求尚未真正落到现场。考核结果只有进入后续改进，才会由监督工具转变为优化工具。对项目而言，这意味着评价不应只服务于阶段检查，还应服务于规则修订、岗位培训和资源调整。持续反馈的作用，在于让标准规则不是静止存在，而是在运行中不断校正和完善，最终沉淀为项目组织能力的一部分。</w:t>
      </w:r>
    </w:p>
    <w:p w14:paraId="1AD13EE0">
      <w:pPr>
        <w:pStyle w:val="3"/>
        <w:numPr>
          <w:ilvl w:val="0"/>
          <w:numId w:val="0"/>
        </w:numPr>
        <w:ind w:left="0" w:leftChars="0" w:firstLine="0" w:firstLineChars="0"/>
        <w:rPr>
          <w:b/>
        </w:rPr>
      </w:pPr>
      <w:bookmarkStart w:id="12" w:name="_Toc1304"/>
      <w:r>
        <w:rPr>
          <w:rFonts w:hint="eastAsia" w:ascii="宋体" w:hAnsi="宋体" w:eastAsia="黑体" w:cs="宋体"/>
          <w:b/>
          <w:bCs/>
          <w:kern w:val="44"/>
          <w:sz w:val="30"/>
          <w:szCs w:val="30"/>
        </w:rPr>
        <w:t>第五节</w:t>
      </w:r>
      <w:r>
        <w:rPr>
          <w:rFonts w:hint="eastAsia" w:cs="宋体"/>
          <w:b/>
          <w:bCs/>
          <w:kern w:val="44"/>
          <w:sz w:val="30"/>
          <w:szCs w:val="30"/>
          <w:lang w:val="en-US" w:eastAsia="zh-CN"/>
        </w:rPr>
        <w:t xml:space="preserve"> </w:t>
      </w:r>
      <w:r>
        <w:t>分阶段推进与落地路径</w:t>
      </w:r>
      <w:bookmarkEnd w:id="12"/>
    </w:p>
    <w:p w14:paraId="31F1103E">
      <w:pPr>
        <w:pStyle w:val="4"/>
        <w:bidi w:val="0"/>
        <w:rPr>
          <w:rFonts w:hint="eastAsia"/>
        </w:rPr>
      </w:pPr>
      <w:r>
        <w:rPr>
          <w:rFonts w:hint="eastAsia"/>
        </w:rPr>
        <w:t>一、策划设计阶段的准备重点</w:t>
      </w:r>
    </w:p>
    <w:p w14:paraId="4D79BA62">
      <w:pPr>
        <w:pStyle w:val="11"/>
        <w:rPr>
          <w:rFonts w:hint="eastAsia" w:ascii="Times New Roman" w:hAnsi="Calibri" w:eastAsia="宋体" w:cs="Times New Roman"/>
          <w:sz w:val="21"/>
        </w:rPr>
      </w:pPr>
      <w:r>
        <w:rPr>
          <w:rFonts w:hint="eastAsia" w:ascii="Times New Roman" w:hAnsi="Calibri" w:eastAsia="宋体" w:cs="Times New Roman"/>
          <w:sz w:val="21"/>
        </w:rPr>
        <w:t>（一）需求调研与方案编制</w:t>
      </w:r>
    </w:p>
    <w:p w14:paraId="14ACD4DC">
      <w:pPr>
        <w:pStyle w:val="11"/>
        <w:rPr>
          <w:rFonts w:hint="eastAsia" w:ascii="Times New Roman" w:hAnsi="Calibri" w:eastAsia="宋体" w:cs="Times New Roman"/>
          <w:sz w:val="21"/>
        </w:rPr>
      </w:pPr>
      <w:r>
        <w:rPr>
          <w:rFonts w:hint="eastAsia" w:ascii="Times New Roman" w:hAnsi="Calibri" w:eastAsia="宋体" w:cs="Times New Roman"/>
          <w:sz w:val="21"/>
        </w:rPr>
        <w:t>智慧工地建设真正落地，起点不在设备采购，也不在平台展示，而在于项目一开始能否把需求看准。策划设计阶段最重要的工作，是把项目现场准备解决什么问题说清楚。不同项目的风险来源、管理难点和协同压力并不一样，有的突出进度穿透，有的突出质量留痕，有的突出安全预警和多方协同。如果前期只是笼统提出要建智慧工地，后续很容易陷入模块很多、应用很浅的状态。更稳妥的做法，是围绕项目履约、质量安全、资源调配和过程追溯几个核心方向开展调研，把高频问题、高风险问题和反复失控的环节梳理出来，再据此形成建设方案。方案不必一开始追求大而全，但必须把建设目标、应用范围、实施顺序和预期成效写得具体，让后续推进有清晰抓手。</w:t>
      </w:r>
    </w:p>
    <w:p w14:paraId="15B8BD13">
      <w:pPr>
        <w:pStyle w:val="11"/>
        <w:rPr>
          <w:rFonts w:hint="eastAsia" w:ascii="Times New Roman" w:hAnsi="Calibri" w:eastAsia="宋体" w:cs="Times New Roman"/>
          <w:sz w:val="21"/>
        </w:rPr>
      </w:pPr>
      <w:r>
        <w:rPr>
          <w:rFonts w:hint="eastAsia" w:ascii="Times New Roman" w:hAnsi="Calibri" w:eastAsia="宋体" w:cs="Times New Roman"/>
          <w:sz w:val="21"/>
        </w:rPr>
        <w:t>（二）资源条件与技术选型</w:t>
      </w:r>
    </w:p>
    <w:p w14:paraId="1AFAD7DD">
      <w:pPr>
        <w:pStyle w:val="11"/>
        <w:rPr>
          <w:rFonts w:hint="eastAsia" w:ascii="Times New Roman" w:hAnsi="Calibri" w:eastAsia="宋体" w:cs="Times New Roman"/>
          <w:sz w:val="21"/>
        </w:rPr>
      </w:pPr>
      <w:r>
        <w:rPr>
          <w:rFonts w:hint="eastAsia" w:ascii="Times New Roman" w:hAnsi="Calibri" w:eastAsia="宋体" w:cs="Times New Roman"/>
          <w:sz w:val="21"/>
        </w:rPr>
        <w:t>方案确定之后，还要判断项目是否具备实施条件。智慧工地不是单靠软件就能运行的系统，它对网络环境、终端布设、基础数据、人员配合和服务保障都有现实要求。策划阶段如果不把这些条件提前核实，平台上线后就容易出现功能设计完整、现场却无法稳定使用的问题。技术选型也应在这一阶段完成基本判断，但选型的标准不应只是功能多少，而应看是否适合项目实际。一个工期紧、场地小、参建单位相对集中的项目，往往更需要稳定、轻量、易维护的配置；一个专业复杂、协同链条长、监管要求高的项目，则更适合平台能力更强、流程支撑更完整的方案。技术选型的关键，是让投入与项目治理需求相匹配，而不是让系统为了追求先进而增加现场负担。</w:t>
      </w:r>
    </w:p>
    <w:p w14:paraId="1900EB90">
      <w:pPr>
        <w:pStyle w:val="11"/>
        <w:rPr>
          <w:rFonts w:hint="eastAsia" w:ascii="Times New Roman" w:hAnsi="Calibri" w:eastAsia="宋体" w:cs="Times New Roman"/>
          <w:sz w:val="21"/>
        </w:rPr>
      </w:pPr>
      <w:r>
        <w:rPr>
          <w:rFonts w:hint="eastAsia" w:ascii="Times New Roman" w:hAnsi="Calibri" w:eastAsia="宋体" w:cs="Times New Roman"/>
          <w:sz w:val="21"/>
        </w:rPr>
        <w:t>（三）制度预设与组织准备</w:t>
      </w:r>
    </w:p>
    <w:p w14:paraId="2846B742">
      <w:pPr>
        <w:pStyle w:val="11"/>
        <w:rPr>
          <w:rFonts w:hint="eastAsia" w:ascii="Times New Roman" w:hAnsi="Calibri" w:eastAsia="宋体" w:cs="Times New Roman"/>
          <w:sz w:val="21"/>
        </w:rPr>
      </w:pPr>
      <w:r>
        <w:rPr>
          <w:rFonts w:hint="eastAsia" w:ascii="Times New Roman" w:hAnsi="Calibri" w:eastAsia="宋体" w:cs="Times New Roman"/>
          <w:sz w:val="21"/>
        </w:rPr>
        <w:t>策划设计阶段还有一项容易被忽视但又决定成败的工作，就是把制度和组织提前准备好。智慧工地一旦进入运行状态，谁负责录入、谁负责审核、谁负责处置、谁负责复核，都必须有明确安排。如果岗位职责、协同边界和管理要求没有先定下来，系统上线之后再补规则，现场很快就会出现互相等待、责任不清和流程空转。比较稳妥的做法，是在启动前就明确建设单位、总承包、分包单位和技术服务方各自承担什么责任，同时把基础台账、问题闭环、预警响应和日常运维的要求预先固化。这样做的价值，在于让平台一上线就能嵌入项目管理，而不是变成后期额外增加的一套工作。</w:t>
      </w:r>
    </w:p>
    <w:p w14:paraId="3720C615">
      <w:pPr>
        <w:pStyle w:val="4"/>
        <w:bidi w:val="0"/>
        <w:rPr>
          <w:rFonts w:hint="eastAsia"/>
        </w:rPr>
      </w:pPr>
      <w:r>
        <w:rPr>
          <w:rFonts w:hint="eastAsia"/>
        </w:rPr>
        <w:t>二、试点运行阶段的实施要点</w:t>
      </w:r>
    </w:p>
    <w:p w14:paraId="66FE6306">
      <w:pPr>
        <w:pStyle w:val="11"/>
        <w:rPr>
          <w:rFonts w:hint="eastAsia" w:ascii="Times New Roman" w:hAnsi="Calibri" w:eastAsia="宋体" w:cs="Times New Roman"/>
          <w:sz w:val="21"/>
        </w:rPr>
      </w:pPr>
      <w:r>
        <w:rPr>
          <w:rFonts w:hint="eastAsia" w:ascii="Times New Roman" w:hAnsi="Calibri" w:eastAsia="宋体" w:cs="Times New Roman"/>
          <w:sz w:val="21"/>
        </w:rPr>
        <w:t>（一）试点场景控制范围</w:t>
      </w:r>
    </w:p>
    <w:p w14:paraId="5336DD32">
      <w:pPr>
        <w:pStyle w:val="11"/>
        <w:rPr>
          <w:rFonts w:hint="eastAsia" w:ascii="Times New Roman" w:hAnsi="Calibri" w:eastAsia="宋体" w:cs="Times New Roman"/>
          <w:sz w:val="21"/>
        </w:rPr>
      </w:pPr>
      <w:r>
        <w:rPr>
          <w:rFonts w:hint="eastAsia" w:ascii="Times New Roman" w:hAnsi="Calibri" w:eastAsia="宋体" w:cs="Times New Roman"/>
          <w:sz w:val="21"/>
        </w:rPr>
        <w:t>进入试点运行阶段后，最需要控制的是范围。智慧工地建设如果一开始全面铺开，问题往往会被放大，项目部也难以判断究竟是哪一环节出了偏差。试点更合适的方式，是先围绕少数关键场景运行起来，优先选择那些问题集中、管理价值明确、又便于观察成效的环节。实名制管理、质量巡检、隐患整改、关键工序报验、设备状态监测，这类事项通常既贴近现场日常运行，又容易检验系统是否真正进入业务流程。试点范围控制得当，项目才能在可管理的空间里发现问题、调整规则、积累经验。范围过大，表面上像是在加快推进，实际上往往会把试点变成一次提前全面铺开的冒险。</w:t>
      </w:r>
    </w:p>
    <w:p w14:paraId="22006327">
      <w:pPr>
        <w:pStyle w:val="11"/>
        <w:rPr>
          <w:rFonts w:hint="eastAsia" w:ascii="Times New Roman" w:hAnsi="Calibri" w:eastAsia="宋体" w:cs="Times New Roman"/>
          <w:sz w:val="21"/>
        </w:rPr>
      </w:pPr>
      <w:r>
        <w:rPr>
          <w:rFonts w:hint="eastAsia" w:ascii="Times New Roman" w:hAnsi="Calibri" w:eastAsia="宋体" w:cs="Times New Roman"/>
          <w:sz w:val="21"/>
        </w:rPr>
        <w:t>（二）问题暴露与快速修正</w:t>
      </w:r>
    </w:p>
    <w:p w14:paraId="5AC0AF19">
      <w:pPr>
        <w:pStyle w:val="11"/>
        <w:rPr>
          <w:rFonts w:hint="eastAsia" w:ascii="Times New Roman" w:hAnsi="Calibri" w:eastAsia="宋体" w:cs="Times New Roman"/>
          <w:sz w:val="21"/>
        </w:rPr>
      </w:pPr>
      <w:r>
        <w:rPr>
          <w:rFonts w:hint="eastAsia" w:ascii="Times New Roman" w:hAnsi="Calibri" w:eastAsia="宋体" w:cs="Times New Roman"/>
          <w:sz w:val="21"/>
        </w:rPr>
        <w:t>试点的真正意义，不是证明方案已经完美，而是尽快把问题暴露出来。平台流程是否顺畅、表单设置是否合理、岗位操作是否方便、数据采集是否稳定、问题流转是否能够跑通，这些都只有在实际使用中才能看清。试点阶段最怕的是只看展示效果，不敢正视运行中的摩擦。事实上，越早发现问题，后期推广的成本越低。这个阶段应当建立快速修正机制，做到问题能被及时记录、责任能够迅速落实、规则可以尽快调整。若试点运行中明明已经出现流程卡顿、录入负担过重、字段重复设置或部门配合不畅，却仍然急于扩大范围，后续问题往往会成倍增加。试点阶段的价值，就在于用较小代价换来较大修正空间。</w:t>
      </w:r>
    </w:p>
    <w:p w14:paraId="245241E4">
      <w:pPr>
        <w:pStyle w:val="11"/>
        <w:rPr>
          <w:rFonts w:hint="eastAsia" w:ascii="Times New Roman" w:hAnsi="Calibri" w:eastAsia="宋体" w:cs="Times New Roman"/>
          <w:sz w:val="21"/>
        </w:rPr>
      </w:pPr>
      <w:r>
        <w:rPr>
          <w:rFonts w:hint="eastAsia" w:ascii="Times New Roman" w:hAnsi="Calibri" w:eastAsia="宋体" w:cs="Times New Roman"/>
          <w:sz w:val="21"/>
        </w:rPr>
        <w:t>（三）应用效果阶段评估</w:t>
      </w:r>
    </w:p>
    <w:p w14:paraId="1B614E9A">
      <w:pPr>
        <w:pStyle w:val="11"/>
        <w:rPr>
          <w:rFonts w:hint="eastAsia" w:ascii="Times New Roman" w:hAnsi="Calibri" w:eastAsia="宋体" w:cs="Times New Roman"/>
          <w:sz w:val="21"/>
        </w:rPr>
      </w:pPr>
      <w:r>
        <w:rPr>
          <w:rFonts w:hint="eastAsia" w:ascii="Times New Roman" w:hAnsi="Calibri" w:eastAsia="宋体" w:cs="Times New Roman"/>
          <w:sz w:val="21"/>
        </w:rPr>
        <w:t>试点运行不能只靠感觉判断是否有效，还需要进行阶段评估。评估的重点，不应停留在设备数量、模块数量和页面展示上，而应看试点场景是否真正改善了管理方式。比如，问题处理是否更快，责任传递是否更清楚，流程运行是否更连续，关键事项是否能够形成可追溯记录。只有当这些变化已经能够在试点中被看见，推广才有现实基础。若试点阶段仍停留在能登录、能录入、能展示的层面，就说明系统还没有真正进入项目核心业务。阶段评估的作用，不只是决定要不要继续做，更重要的是决定接下来该怎么做、先推什么、改什么。把这一环节做扎实，推广才不会失去方向。</w:t>
      </w:r>
    </w:p>
    <w:p w14:paraId="016134C4">
      <w:pPr>
        <w:pStyle w:val="4"/>
        <w:bidi w:val="0"/>
        <w:rPr>
          <w:rFonts w:hint="eastAsia"/>
        </w:rPr>
      </w:pPr>
      <w:r>
        <w:rPr>
          <w:rFonts w:hint="eastAsia"/>
        </w:rPr>
        <w:t>三、推广优化阶段的持续改进方法</w:t>
      </w:r>
    </w:p>
    <w:p w14:paraId="29D987B3">
      <w:pPr>
        <w:pStyle w:val="11"/>
        <w:rPr>
          <w:rFonts w:hint="eastAsia" w:ascii="Times New Roman" w:hAnsi="Calibri" w:eastAsia="宋体" w:cs="Times New Roman"/>
          <w:sz w:val="21"/>
        </w:rPr>
      </w:pPr>
      <w:r>
        <w:rPr>
          <w:rFonts w:hint="eastAsia" w:ascii="Times New Roman" w:hAnsi="Calibri" w:eastAsia="宋体" w:cs="Times New Roman"/>
          <w:sz w:val="21"/>
        </w:rPr>
        <w:t>（一）成熟经验复制推广</w:t>
      </w:r>
    </w:p>
    <w:p w14:paraId="2CBCA070">
      <w:pPr>
        <w:pStyle w:val="11"/>
        <w:rPr>
          <w:rFonts w:hint="eastAsia" w:ascii="Times New Roman" w:hAnsi="Calibri" w:eastAsia="宋体" w:cs="Times New Roman"/>
          <w:sz w:val="21"/>
        </w:rPr>
      </w:pPr>
      <w:r>
        <w:rPr>
          <w:rFonts w:hint="eastAsia" w:ascii="Times New Roman" w:hAnsi="Calibri" w:eastAsia="宋体" w:cs="Times New Roman"/>
          <w:sz w:val="21"/>
        </w:rPr>
        <w:t>经过试点之后，真正有效的做法应当被及时固化并复制推广。这里的推广不是简单把模块一并铺开，而是把已经被证明可行的规则、流程和组织方式稳定复制到更大范围。哪些表单设置合理，哪些流程节点顺畅，哪些岗位分工清晰，哪些预警方式更适合现场，这些成熟经验都应在推广前先整理清楚。只有把试点形成的有效做法转化为可复制的标准，推广才不会因为场景扩大而重新回到混乱状态。推广的过程本质上是经验扩散过程，先复制已经跑通的机制，再逐步扩大应用边界，比一次性全盘铺开更稳妥，也更符合工程项目的实际节奏。</w:t>
      </w:r>
    </w:p>
    <w:p w14:paraId="54D7334A">
      <w:pPr>
        <w:pStyle w:val="11"/>
        <w:rPr>
          <w:rFonts w:hint="eastAsia" w:ascii="Times New Roman" w:hAnsi="Calibri" w:eastAsia="宋体" w:cs="Times New Roman"/>
          <w:sz w:val="21"/>
        </w:rPr>
      </w:pPr>
      <w:r>
        <w:rPr>
          <w:rFonts w:hint="eastAsia" w:ascii="Times New Roman" w:hAnsi="Calibri" w:eastAsia="宋体" w:cs="Times New Roman"/>
          <w:sz w:val="21"/>
        </w:rPr>
        <w:t>（二）不足环节针对性优化</w:t>
      </w:r>
    </w:p>
    <w:p w14:paraId="6AA0BFB9">
      <w:pPr>
        <w:pStyle w:val="11"/>
        <w:rPr>
          <w:rFonts w:hint="eastAsia" w:ascii="Times New Roman" w:hAnsi="Calibri" w:eastAsia="宋体" w:cs="Times New Roman"/>
          <w:sz w:val="21"/>
        </w:rPr>
      </w:pPr>
      <w:r>
        <w:rPr>
          <w:rFonts w:hint="eastAsia" w:ascii="Times New Roman" w:hAnsi="Calibri" w:eastAsia="宋体" w:cs="Times New Roman"/>
          <w:sz w:val="21"/>
        </w:rPr>
        <w:t>推广并不意味着建设已经完成。范围一扩大，新的问题通常会随之出现。原本在试点场景中不明显的短板，进入更多岗位、更多作业面和更多单位协同时，往往会更集中地暴露出来。因此，推广阶段必须坚持边推边改，而不是把前期方案原封不动搬到底。针对性优化的关键，是把注意力始终放在运行不顺的地方，而不是继续增加表面功能。哪些流程仍然依赖线下催办，哪些岗位对系统使用积极性不高，哪些数据虽然采上来了却没有真正进入判断链条，这些都应成为优化重点。持续优化不是对前期工作的否定，而是让系统逐渐从能用走向好用，从局部见效走向整体稳定。</w:t>
      </w:r>
    </w:p>
    <w:p w14:paraId="2C49146A">
      <w:pPr>
        <w:pStyle w:val="11"/>
        <w:rPr>
          <w:rFonts w:hint="eastAsia" w:ascii="Times New Roman" w:hAnsi="Calibri" w:eastAsia="宋体" w:cs="Times New Roman"/>
          <w:sz w:val="21"/>
        </w:rPr>
      </w:pPr>
      <w:r>
        <w:rPr>
          <w:rFonts w:hint="eastAsia" w:ascii="Times New Roman" w:hAnsi="Calibri" w:eastAsia="宋体" w:cs="Times New Roman"/>
          <w:sz w:val="21"/>
        </w:rPr>
        <w:t>（三）运行机制常态化固化</w:t>
      </w:r>
    </w:p>
    <w:p w14:paraId="56C9B762">
      <w:pPr>
        <w:pStyle w:val="11"/>
        <w:rPr>
          <w:rFonts w:hint="eastAsia" w:ascii="Times New Roman" w:hAnsi="Calibri" w:eastAsia="宋体" w:cs="Times New Roman"/>
          <w:sz w:val="21"/>
        </w:rPr>
        <w:sectPr>
          <w:headerReference r:id="rId17" w:type="default"/>
          <w:footerReference r:id="rId19" w:type="default"/>
          <w:headerReference r:id="rId18" w:type="even"/>
          <w:footerReference r:id="rId20" w:type="even"/>
          <w:pgSz w:w="10431" w:h="14740"/>
          <w:pgMar w:top="1440" w:right="1800" w:bottom="1440" w:left="1800" w:header="851" w:footer="992" w:gutter="0"/>
          <w:pgNumType w:fmt="decimal"/>
          <w:cols w:space="425" w:num="1"/>
          <w:docGrid w:type="lines" w:linePitch="312" w:charSpace="0"/>
        </w:sectPr>
      </w:pPr>
      <w:r>
        <w:rPr>
          <w:rFonts w:hint="eastAsia" w:ascii="Times New Roman" w:hAnsi="Calibri" w:eastAsia="宋体" w:cs="Times New Roman"/>
          <w:sz w:val="21"/>
        </w:rPr>
        <w:t>推广优化的最终目标，不是让智慧工地成为某个阶段的专项工作，而是让它转化为项目日常管理的一部分。真正成熟的运行机制，应当做到平台持续可用、流程持续运行、责任持续明确、问题持续改进。只有当项目人员已经习惯通过系统完成日常管理动作，关键事项已经能够在平台上稳定闭合，智慧工地才算真正落地。要实现这一点，项目必须把运维、培训、考核和优化纳入常态管理，让系统运行不依赖某几个人临时推动，也不因为阶段切换而中断。机制一旦固化，智慧工地就不再只是项目上的一套工具，而会逐步沉淀为组织管理能力。</w:t>
      </w:r>
    </w:p>
    <w:p w14:paraId="5815F51D">
      <w:pPr>
        <w:pStyle w:val="11"/>
        <w:rPr>
          <w:rFonts w:hint="eastAsia" w:ascii="宋体" w:hAnsi="宋体" w:eastAsia="黑体" w:cs="宋体"/>
          <w:b/>
          <w:bCs/>
          <w:kern w:val="44"/>
          <w:sz w:val="40"/>
          <w:szCs w:val="30"/>
        </w:rPr>
        <w:sectPr>
          <w:pgSz w:w="10431" w:h="14740"/>
          <w:pgMar w:top="1440" w:right="1800" w:bottom="1440" w:left="1800" w:header="851" w:footer="992" w:gutter="0"/>
          <w:pgNumType w:fmt="decimal"/>
          <w:cols w:space="425" w:num="1"/>
          <w:docGrid w:type="lines" w:linePitch="312" w:charSpace="0"/>
        </w:sectPr>
      </w:pPr>
    </w:p>
    <w:p w14:paraId="3EA5E7D7">
      <w:pPr>
        <w:pStyle w:val="2"/>
        <w:bidi w:val="0"/>
        <w:rPr>
          <w:b/>
        </w:rPr>
      </w:pPr>
      <w:bookmarkStart w:id="13" w:name="_Toc22134"/>
      <w:r>
        <w:rPr>
          <w:rFonts w:hint="eastAsia" w:ascii="宋体" w:hAnsi="宋体" w:eastAsia="黑体" w:cs="宋体"/>
          <w:b/>
          <w:bCs/>
          <w:kern w:val="44"/>
          <w:sz w:val="40"/>
          <w:szCs w:val="30"/>
        </w:rPr>
        <w:t>第三章</w:t>
      </w:r>
      <w:r>
        <w:rPr>
          <w:rFonts w:hint="eastAsia" w:cs="宋体"/>
          <w:b/>
          <w:bCs/>
          <w:kern w:val="44"/>
          <w:sz w:val="40"/>
          <w:szCs w:val="30"/>
          <w:lang w:val="en-US" w:eastAsia="zh-CN"/>
        </w:rPr>
        <w:t xml:space="preserve"> </w:t>
      </w:r>
      <w:r>
        <w:t>工程现场数据底座与平台架构</w:t>
      </w:r>
      <w:bookmarkEnd w:id="13"/>
    </w:p>
    <w:p w14:paraId="0618CED3">
      <w:pPr>
        <w:pStyle w:val="3"/>
        <w:numPr>
          <w:ilvl w:val="0"/>
          <w:numId w:val="0"/>
        </w:numPr>
        <w:ind w:left="0" w:leftChars="0" w:firstLine="0" w:firstLineChars="0"/>
        <w:rPr>
          <w:b/>
        </w:rPr>
      </w:pPr>
      <w:bookmarkStart w:id="14" w:name="_Toc21097"/>
      <w:r>
        <w:rPr>
          <w:rFonts w:hint="eastAsia" w:ascii="宋体" w:hAnsi="宋体" w:eastAsia="黑体" w:cs="宋体"/>
          <w:b/>
          <w:bCs/>
          <w:kern w:val="44"/>
          <w:sz w:val="30"/>
          <w:szCs w:val="30"/>
        </w:rPr>
        <w:t>第一节</w:t>
      </w:r>
      <w:r>
        <w:rPr>
          <w:rFonts w:hint="eastAsia" w:cs="宋体"/>
          <w:b/>
          <w:bCs/>
          <w:kern w:val="44"/>
          <w:sz w:val="30"/>
          <w:szCs w:val="30"/>
          <w:lang w:val="en-US" w:eastAsia="zh-CN"/>
        </w:rPr>
        <w:t xml:space="preserve"> </w:t>
      </w:r>
      <w:r>
        <w:t>工程现场数据资源体系</w:t>
      </w:r>
      <w:bookmarkEnd w:id="14"/>
      <w:r>
        <w:t xml:space="preserve">  </w:t>
      </w:r>
    </w:p>
    <w:p w14:paraId="64FB036C">
      <w:pPr>
        <w:pStyle w:val="4"/>
        <w:numPr>
          <w:ilvl w:val="0"/>
          <w:numId w:val="0"/>
        </w:numPr>
        <w:topLinePunct w:val="0"/>
        <w:ind w:left="0" w:leftChars="0" w:firstLine="422" w:firstLineChars="0"/>
        <w:rPr>
          <w:b/>
        </w:rPr>
      </w:pPr>
      <w:r>
        <w:rPr>
          <w:rFonts w:hint="eastAsia" w:ascii="黑体" w:hAnsi="黑体" w:eastAsia="黑体" w:cs="黑体"/>
          <w:b/>
          <w:sz w:val="21"/>
        </w:rPr>
        <w:t>一、</w:t>
      </w:r>
      <w:r>
        <w:t>数据对象分类与属性设计</w:t>
      </w:r>
    </w:p>
    <w:p w14:paraId="6F5CE7A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基础对象分类标准</w:t>
      </w:r>
    </w:p>
    <w:p w14:paraId="57208604">
      <w:pPr>
        <w:pStyle w:val="11"/>
        <w:rPr>
          <w:rFonts w:ascii="Times New Roman" w:hAnsi="Calibri" w:eastAsia="宋体" w:cs="Times New Roman"/>
          <w:sz w:val="21"/>
        </w:rPr>
      </w:pPr>
      <w:r>
        <w:rPr>
          <w:rFonts w:ascii="Times New Roman" w:hAnsi="Calibri" w:eastAsia="宋体" w:cs="Times New Roman"/>
          <w:sz w:val="21"/>
        </w:rPr>
        <w:t>工程现场的数据资源体系，不能从技术设备出发搭建，而应从管理对象出发组织。项目现场真正需要被识别和持续管理的对象，大体包括人员、设备、材料、工序、空间、环境和事件七类。人员对象承接实名制、班组组织和岗位责任；设备对象承接状态监测、维保记录和使用风险；材料对象承接验收、库存和去向追溯；工序对象承接施工活动的阶段推进和质量控制；空间对象承接楼层、分区、作业面和关键部位；环境对象承接气象、扬尘、噪声和施工条件变化；事件对象则承接巡检、预警、整改、报验和审批等动态事项。分类的意义不在于把现场切碎，而在于为每类数据建立稳定归属，使后续采集、流转和分析有统一起点。若对象边界模糊，同一条信息在不同岗位口径中就会不断变形，平台再复杂，也难形成真正可用的数据底座。</w:t>
      </w:r>
    </w:p>
    <w:p w14:paraId="6B68D7B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属性字段设计逻辑</w:t>
      </w:r>
    </w:p>
    <w:p w14:paraId="423A3C72">
      <w:pPr>
        <w:pStyle w:val="11"/>
        <w:rPr>
          <w:rFonts w:ascii="Times New Roman" w:hAnsi="Calibri" w:eastAsia="宋体" w:cs="Times New Roman"/>
          <w:sz w:val="21"/>
        </w:rPr>
      </w:pPr>
      <w:r>
        <w:rPr>
          <w:rFonts w:ascii="Times New Roman" w:hAnsi="Calibri" w:eastAsia="宋体" w:cs="Times New Roman"/>
          <w:sz w:val="21"/>
        </w:rPr>
        <w:t>对象分类确定之后，字段设计决定数据是否能被系统有效调用。字段并不是越多越好，过多会增加录入负担，过少又难以支撑分析和追溯。较为稳妥的做法，是围绕身份属性、结构属性、状态属性和管理属性展开。身份属性解决对象是谁、如何唯一识别；结构属性说明对象属于哪个专业、哪个层级、哪个区域；状态属性反映对象当前是否在场、是否启用、是否验收、是否异常；管理属性则把对象与责任人、责任单位、时间节点和位置关系连接起来。这样的字段设置，既能满足日常使用，又能为后续分析预留空间。实践中很多项目的数据失效，并不是因为没有采集，而是因为字段设计脱离了管理动作，最后只能存，不能用。属性设计真正要追求的，不是形式上的完整，而是管理上的有效。</w:t>
      </w:r>
    </w:p>
    <w:p w14:paraId="07E63FD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对象关系层次表达</w:t>
      </w:r>
    </w:p>
    <w:p w14:paraId="514A9F72">
      <w:pPr>
        <w:pStyle w:val="11"/>
        <w:rPr>
          <w:rFonts w:ascii="Times New Roman" w:hAnsi="Calibri" w:eastAsia="宋体" w:cs="Times New Roman"/>
          <w:sz w:val="21"/>
        </w:rPr>
      </w:pPr>
      <w:r>
        <w:rPr>
          <w:rFonts w:ascii="Times New Roman" w:hAnsi="Calibri" w:eastAsia="宋体" w:cs="Times New Roman"/>
          <w:sz w:val="21"/>
        </w:rPr>
        <w:t>施工现场的数据如果只是孤立记录，价值十分有限。人员要与班组、作业面和工序建立联系，设备要与任务、时段和责任主体建立联系，材料要与批次、验收和使用位置形成映射，问题事项还要与发现人、处置人和复核结果串联起来。对象关系的层次表达，实质上是在把数据从单点记录变成网络化表达。这里通常包含三类关系：从属关系，用于表达对象归属；关联关系，用于表达对象之间的业务连接；映射关系，用于表达同一对象在不同系统、不同场景中的一致身份。关系一旦表达清楚，数据才能真正服务于分析判断。否则，系统里虽然信息很多，项目部仍然需要靠人工去拼接事实。对工程现场而言，数据资源体系的成熟，不仅体现在对象被建档，更体现在对象之间的业务联系能够被稳定识别。</w:t>
      </w:r>
    </w:p>
    <w:p w14:paraId="096D50AD">
      <w:pPr>
        <w:pStyle w:val="4"/>
        <w:numPr>
          <w:ilvl w:val="0"/>
          <w:numId w:val="0"/>
        </w:numPr>
        <w:topLinePunct w:val="0"/>
        <w:ind w:left="0" w:leftChars="0" w:firstLine="422" w:firstLineChars="0"/>
        <w:rPr>
          <w:b/>
        </w:rPr>
      </w:pPr>
      <w:r>
        <w:rPr>
          <w:rFonts w:hint="eastAsia" w:ascii="黑体" w:hAnsi="黑体" w:eastAsia="黑体" w:cs="黑体"/>
          <w:b/>
          <w:sz w:val="21"/>
        </w:rPr>
        <w:t>二、</w:t>
      </w:r>
      <w:r>
        <w:t>主数据业务数据与过程数据的关联</w:t>
      </w:r>
    </w:p>
    <w:p w14:paraId="1D0B8D5A">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主数据作为基础底座</w:t>
      </w:r>
    </w:p>
    <w:p w14:paraId="7D62CCBA">
      <w:pPr>
        <w:pStyle w:val="11"/>
        <w:rPr>
          <w:rFonts w:ascii="Times New Roman" w:hAnsi="Calibri" w:eastAsia="宋体" w:cs="Times New Roman"/>
          <w:sz w:val="21"/>
        </w:rPr>
      </w:pPr>
      <w:r>
        <w:rPr>
          <w:rFonts w:ascii="Times New Roman" w:hAnsi="Calibri" w:eastAsia="宋体" w:cs="Times New Roman"/>
          <w:sz w:val="21"/>
        </w:rPr>
        <w:t>主数据是工程现场数据体系中最稳定、也最基础的一层。它不直接表现为日常业务动作，却决定所有系统是否能说同一种语言。组织结构、项目分区、人员身份、设备编码、材料目录、工序清单和构件编号，都属于典型主数据。它们变化频率不高，却承担统一口径的重要职责。若主数据本身不稳定，同一分包单位在不同系统中名称不同，同一区域在质量和进度记录里编号不同，同一设备在台账和监测记录里身份不一致，后续所有业务数据都会失去统一参照。主数据的价值，正在于为平台建立共同坐标系，让不同岗位、不同模块和不同阶段生成的数据可以相互对照。没有这一层底座，数据体系看似热闹，实则难以贯通。</w:t>
      </w:r>
    </w:p>
    <w:p w14:paraId="0BCD661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业务数据承载执行过程</w:t>
      </w:r>
    </w:p>
    <w:p w14:paraId="6DEEDF12">
      <w:pPr>
        <w:pStyle w:val="11"/>
        <w:rPr>
          <w:rFonts w:ascii="Times New Roman" w:hAnsi="Calibri" w:eastAsia="宋体" w:cs="Times New Roman"/>
          <w:sz w:val="21"/>
        </w:rPr>
      </w:pPr>
      <w:r>
        <w:rPr>
          <w:rFonts w:ascii="Times New Roman" w:hAnsi="Calibri" w:eastAsia="宋体" w:cs="Times New Roman"/>
          <w:sz w:val="21"/>
        </w:rPr>
        <w:t>业务数据记录的是对象在项目运行中发生了什么，它承接的是施工现场真实的管理动作。人员进退场、材料验收、设备启停、工序报验、隐患整改、审批流转、问题销项，这些都属于业务数据范畴。与主数据相比，业务数据变化更频繁，时间属性和责任属性更明显。它的核心作用，是把现场执行过程转化为可记录、可查询、可复核的动态信息。业务数据只有与主数据挂接，才具有明确意义。一次报验，必须知道对应哪个分区、哪道工序、哪个责任单位；一次整改，也必须知道问题来源、处置时限和复核结论。很多项目并不缺记录，真正缺的是结构化业务数据。记录若长期停留在纸面、聊天记录或临时台账中，就很难形成连续管理。只有把关键业务动作稳定沉淀下来，项目才可能从经验驱动走向数据支撑。</w:t>
      </w:r>
    </w:p>
    <w:p w14:paraId="1B7C47F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过程数据支撑动态分析</w:t>
      </w:r>
    </w:p>
    <w:p w14:paraId="47A3880C">
      <w:pPr>
        <w:pStyle w:val="11"/>
        <w:rPr>
          <w:rFonts w:ascii="Times New Roman" w:hAnsi="Calibri" w:eastAsia="宋体" w:cs="Times New Roman"/>
          <w:sz w:val="21"/>
        </w:rPr>
      </w:pPr>
      <w:r>
        <w:rPr>
          <w:rFonts w:ascii="Times New Roman" w:hAnsi="Calibri" w:eastAsia="宋体" w:cs="Times New Roman"/>
          <w:sz w:val="21"/>
        </w:rPr>
        <w:t>过程数据进一步解决的是状态如何连续变化、偏差如何逐步形成的问题。施工现场很多判断都不是根据某一个时点作出的，而是根据一段时间内的轨迹变化得出的。设备运行曲线、环境监测连续值、人员出勤节奏、工序推进状态、问题闭环时长、材料消耗趋势，这些都属于过程数据。它们最重要的价值，不是记录某个瞬间，而是揭示变化趋势。项目是否滞后，往往不是看某一天的完成量，而是看一段时间内计划与实际的偏离程度；某类风险是否上升，也不是看一次巡检结果，而要看相近场景中异常是否重复出现。过程数据一旦被持续采集和组织，平台才能真正具备预警、比较和辅助决策能力。主数据回答</w:t>
      </w:r>
      <w:r>
        <w:rPr>
          <w:rFonts w:hint="eastAsia" w:ascii="Times New Roman" w:hAnsi="Times New Roman" w:eastAsia="宋体" w:cs="Times New Roman"/>
          <w:sz w:val="21"/>
          <w:lang w:eastAsia="zh-CN"/>
        </w:rPr>
        <w:t>“</w:t>
      </w:r>
      <w:r>
        <w:rPr>
          <w:rFonts w:ascii="Times New Roman" w:hAnsi="Calibri" w:eastAsia="宋体" w:cs="Times New Roman"/>
          <w:sz w:val="21"/>
        </w:rPr>
        <w:t>是什么</w:t>
      </w:r>
      <w:r>
        <w:rPr>
          <w:rFonts w:hint="eastAsia" w:ascii="Times New Roman" w:hAnsi="Times New Roman" w:eastAsia="宋体" w:cs="Times New Roman"/>
          <w:sz w:val="21"/>
          <w:lang w:eastAsia="zh-CN"/>
        </w:rPr>
        <w:t>”</w:t>
      </w:r>
      <w:r>
        <w:rPr>
          <w:rFonts w:ascii="Times New Roman" w:hAnsi="Calibri" w:eastAsia="宋体" w:cs="Times New Roman"/>
          <w:sz w:val="21"/>
        </w:rPr>
        <w:t>，业务数据回答</w:t>
      </w:r>
      <w:r>
        <w:rPr>
          <w:rFonts w:hint="eastAsia" w:ascii="Times New Roman" w:hAnsi="Times New Roman" w:eastAsia="宋体" w:cs="Times New Roman"/>
          <w:sz w:val="21"/>
          <w:lang w:eastAsia="zh-CN"/>
        </w:rPr>
        <w:t>“</w:t>
      </w:r>
      <w:r>
        <w:rPr>
          <w:rFonts w:ascii="Times New Roman" w:hAnsi="Calibri" w:eastAsia="宋体" w:cs="Times New Roman"/>
          <w:sz w:val="21"/>
        </w:rPr>
        <w:t>做了什么</w:t>
      </w:r>
      <w:r>
        <w:rPr>
          <w:rFonts w:hint="eastAsia" w:ascii="Times New Roman" w:hAnsi="Times New Roman" w:eastAsia="宋体" w:cs="Times New Roman"/>
          <w:sz w:val="21"/>
          <w:lang w:eastAsia="zh-CN"/>
        </w:rPr>
        <w:t>”</w:t>
      </w:r>
      <w:r>
        <w:rPr>
          <w:rFonts w:ascii="Times New Roman" w:hAnsi="Calibri" w:eastAsia="宋体" w:cs="Times New Roman"/>
          <w:sz w:val="21"/>
        </w:rPr>
        <w:t>，过程数据则回答</w:t>
      </w:r>
      <w:r>
        <w:rPr>
          <w:rFonts w:hint="eastAsia" w:ascii="Times New Roman" w:hAnsi="Times New Roman" w:eastAsia="宋体" w:cs="Times New Roman"/>
          <w:sz w:val="21"/>
          <w:lang w:eastAsia="zh-CN"/>
        </w:rPr>
        <w:t>“</w:t>
      </w:r>
      <w:r>
        <w:rPr>
          <w:rFonts w:ascii="Times New Roman" w:hAnsi="Calibri" w:eastAsia="宋体" w:cs="Times New Roman"/>
          <w:sz w:val="21"/>
        </w:rPr>
        <w:t>如何演变</w:t>
      </w:r>
      <w:r>
        <w:rPr>
          <w:rFonts w:hint="eastAsia" w:ascii="Times New Roman" w:hAnsi="Times New Roman" w:eastAsia="宋体" w:cs="Times New Roman"/>
          <w:sz w:val="21"/>
          <w:lang w:eastAsia="zh-CN"/>
        </w:rPr>
        <w:t>”</w:t>
      </w:r>
      <w:r>
        <w:rPr>
          <w:rFonts w:ascii="Times New Roman" w:hAnsi="Calibri" w:eastAsia="宋体" w:cs="Times New Roman"/>
          <w:sz w:val="21"/>
        </w:rPr>
        <w:t>。三者连起来，数据资源体系才具有治理意义。</w:t>
      </w:r>
    </w:p>
    <w:p w14:paraId="71B39763">
      <w:pPr>
        <w:pStyle w:val="4"/>
        <w:numPr>
          <w:ilvl w:val="0"/>
          <w:numId w:val="0"/>
        </w:numPr>
        <w:topLinePunct w:val="0"/>
        <w:ind w:left="0" w:leftChars="0" w:firstLine="422" w:firstLineChars="0"/>
        <w:rPr>
          <w:b/>
        </w:rPr>
      </w:pPr>
      <w:r>
        <w:rPr>
          <w:rFonts w:hint="eastAsia" w:ascii="黑体" w:hAnsi="黑体" w:eastAsia="黑体" w:cs="黑体"/>
          <w:b/>
          <w:sz w:val="21"/>
        </w:rPr>
        <w:t>三、</w:t>
      </w:r>
      <w:r>
        <w:t>数据采集频率与更新机制</w:t>
      </w:r>
    </w:p>
    <w:p w14:paraId="10FC718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静态数据更新规则</w:t>
      </w:r>
    </w:p>
    <w:p w14:paraId="22D380E1">
      <w:pPr>
        <w:pStyle w:val="11"/>
        <w:rPr>
          <w:rFonts w:ascii="Times New Roman" w:hAnsi="Calibri" w:eastAsia="宋体" w:cs="Times New Roman"/>
          <w:sz w:val="21"/>
        </w:rPr>
      </w:pPr>
      <w:r>
        <w:rPr>
          <w:rFonts w:ascii="Times New Roman" w:hAnsi="Calibri" w:eastAsia="宋体" w:cs="Times New Roman"/>
          <w:sz w:val="21"/>
        </w:rPr>
        <w:t>并非所有数据都需要高频更新。人员基础信息、组织关系、设备台账、材料目录、区域编码等静态数据，重在稳定，而不在频繁变化。这类数据若长期不更新，会逐渐失真；若过度频繁修改，又会破坏统一口径。更合理的做法，是按照事件触发规则进行更新，即在人员进退场、设备进出场、班组调整、区域划分变化、材料类别增补等关键节点进行修订。静态数据更新的核心不是追求</w:t>
      </w:r>
      <w:r>
        <w:rPr>
          <w:rFonts w:hint="eastAsia" w:ascii="Times New Roman" w:hAnsi="Times New Roman" w:eastAsia="宋体" w:cs="Times New Roman"/>
          <w:sz w:val="21"/>
          <w:lang w:eastAsia="zh-CN"/>
        </w:rPr>
        <w:t>“</w:t>
      </w:r>
      <w:r>
        <w:rPr>
          <w:rFonts w:ascii="Times New Roman" w:hAnsi="Calibri" w:eastAsia="宋体" w:cs="Times New Roman"/>
          <w:sz w:val="21"/>
        </w:rPr>
        <w:t>时时在变</w:t>
      </w:r>
      <w:r>
        <w:rPr>
          <w:rFonts w:hint="eastAsia" w:ascii="Times New Roman" w:hAnsi="Times New Roman" w:eastAsia="宋体" w:cs="Times New Roman"/>
          <w:sz w:val="21"/>
          <w:lang w:eastAsia="zh-CN"/>
        </w:rPr>
        <w:t>”</w:t>
      </w:r>
      <w:r>
        <w:rPr>
          <w:rFonts w:ascii="Times New Roman" w:hAnsi="Calibri" w:eastAsia="宋体" w:cs="Times New Roman"/>
          <w:sz w:val="21"/>
        </w:rPr>
        <w:t>，而是确保</w:t>
      </w:r>
      <w:r>
        <w:rPr>
          <w:rFonts w:hint="eastAsia" w:ascii="Times New Roman" w:hAnsi="Times New Roman" w:eastAsia="宋体" w:cs="Times New Roman"/>
          <w:sz w:val="21"/>
          <w:lang w:eastAsia="zh-CN"/>
        </w:rPr>
        <w:t>“</w:t>
      </w:r>
      <w:r>
        <w:rPr>
          <w:rFonts w:ascii="Times New Roman" w:hAnsi="Calibri" w:eastAsia="宋体" w:cs="Times New Roman"/>
          <w:sz w:val="21"/>
        </w:rPr>
        <w:t>变化时能及时改</w:t>
      </w:r>
      <w:r>
        <w:rPr>
          <w:rFonts w:hint="eastAsia" w:ascii="Times New Roman" w:hAnsi="Times New Roman" w:eastAsia="宋体" w:cs="Times New Roman"/>
          <w:sz w:val="21"/>
          <w:lang w:eastAsia="zh-CN"/>
        </w:rPr>
        <w:t>”</w:t>
      </w:r>
      <w:r>
        <w:rPr>
          <w:rFonts w:ascii="Times New Roman" w:hAnsi="Calibri" w:eastAsia="宋体" w:cs="Times New Roman"/>
          <w:sz w:val="21"/>
        </w:rPr>
        <w:t>。在项目管理中，很多后续分析出现偏差，并不是业务数据本身有问题，而是底层静态数据没有同步修正。由此可见，静态数据管理强调的应是节点更新、口径一致和责任明确。</w:t>
      </w:r>
    </w:p>
    <w:p w14:paraId="5141B9B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动态数据采集节奏</w:t>
      </w:r>
    </w:p>
    <w:p w14:paraId="05163FD6">
      <w:pPr>
        <w:pStyle w:val="11"/>
        <w:rPr>
          <w:rFonts w:ascii="Times New Roman" w:hAnsi="Calibri" w:eastAsia="宋体" w:cs="Times New Roman"/>
          <w:sz w:val="21"/>
        </w:rPr>
      </w:pPr>
      <w:r>
        <w:rPr>
          <w:rFonts w:ascii="Times New Roman" w:hAnsi="Calibri" w:eastAsia="宋体" w:cs="Times New Roman"/>
          <w:sz w:val="21"/>
        </w:rPr>
        <w:t>动态数据则必须依据管理需求确定节奏。环境参数、设备状态、重点区域行为识别等高风险、高波动数据，更适合高频采集，因为它们直接关系异常预警和及时响应。进度完成量、班组出勤、库存变化、问题整改状态等数据，则更适合按日、按班次或按节点更新。还有一些数据并不需要连续采集，而应由业务动作触发，例如验收结论、审批结果、停机复工、复核确认等。现场最忌讳的是把所有数据都当作实时数据处理，结果大量低价值信息涌入系统，真正关键的异常反而被淹没。动态数据采集节奏的设置，应当同时考虑风险等级、状态变化速度和管理响应时限。只有节奏与业务特征匹配，数据才不会变成负担，而能真正进入判断链条。</w:t>
      </w:r>
    </w:p>
    <w:p w14:paraId="39CE78CD">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更新责任与校验机制</w:t>
      </w:r>
    </w:p>
    <w:p w14:paraId="36BB94E4">
      <w:pPr>
        <w:pStyle w:val="11"/>
        <w:rPr>
          <w:rFonts w:ascii="Times New Roman" w:hAnsi="Calibri" w:eastAsia="宋体" w:cs="Times New Roman"/>
          <w:sz w:val="21"/>
        </w:rPr>
      </w:pPr>
      <w:r>
        <w:rPr>
          <w:rFonts w:ascii="Times New Roman" w:hAnsi="Calibri" w:eastAsia="宋体" w:cs="Times New Roman"/>
          <w:sz w:val="21"/>
        </w:rPr>
        <w:t>数据能否长期可靠，最终取决于谁来更新、谁来核验、谁来修正。施工现场的数据问题很多时候并不是采不上来，而是采了以后无人确认，更新之后无人检查，异常出现后无人处理。比较稳妥的责任划分是：最接近业务真实的岗位负责源头更新，项目管理岗位负责节点审核和跨岗位协调，技术服务方负责系统支持与异常提示，但不替代业务主体对真实性负责。与此同时，必须建立常态化校验机制，对缺失、重复、冲突和滞后数据进行识别。哪些字段缺失必须补录，哪些状态不一致必须核查，哪些数据超过时限应自动提醒，都应形成规则。数据底座不是一次性建成的，而是在持续更新和不断校验中逐步稳定的。对工程现场而言，真正成熟的数据资源体系，并不是</w:t>
      </w:r>
      <w:r>
        <w:rPr>
          <w:rFonts w:hint="eastAsia" w:ascii="Times New Roman" w:hAnsi="Times New Roman" w:eastAsia="宋体" w:cs="Times New Roman"/>
          <w:sz w:val="21"/>
          <w:lang w:eastAsia="zh-CN"/>
        </w:rPr>
        <w:t>“</w:t>
      </w:r>
      <w:r>
        <w:rPr>
          <w:rFonts w:ascii="Times New Roman" w:hAnsi="Calibri" w:eastAsia="宋体" w:cs="Times New Roman"/>
          <w:sz w:val="21"/>
        </w:rPr>
        <w:t>采得多</w:t>
      </w:r>
      <w:r>
        <w:rPr>
          <w:rFonts w:hint="eastAsia" w:ascii="Times New Roman" w:hAnsi="Times New Roman" w:eastAsia="宋体" w:cs="Times New Roman"/>
          <w:sz w:val="21"/>
          <w:lang w:eastAsia="zh-CN"/>
        </w:rPr>
        <w:t>”</w:t>
      </w:r>
      <w:r>
        <w:rPr>
          <w:rFonts w:ascii="Times New Roman" w:hAnsi="Calibri" w:eastAsia="宋体" w:cs="Times New Roman"/>
          <w:sz w:val="21"/>
        </w:rPr>
        <w:t>，而是</w:t>
      </w:r>
      <w:r>
        <w:rPr>
          <w:rFonts w:hint="eastAsia" w:ascii="Times New Roman" w:hAnsi="Times New Roman" w:eastAsia="宋体" w:cs="Times New Roman"/>
          <w:sz w:val="21"/>
          <w:lang w:eastAsia="zh-CN"/>
        </w:rPr>
        <w:t>“</w:t>
      </w:r>
      <w:r>
        <w:rPr>
          <w:rFonts w:ascii="Times New Roman" w:hAnsi="Calibri" w:eastAsia="宋体" w:cs="Times New Roman"/>
          <w:sz w:val="21"/>
        </w:rPr>
        <w:t>采得准、连得上、用得住</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066DE91A">
      <w:pPr>
        <w:pStyle w:val="3"/>
        <w:numPr>
          <w:ilvl w:val="0"/>
          <w:numId w:val="0"/>
        </w:numPr>
        <w:ind w:left="0" w:leftChars="0" w:firstLine="0" w:firstLineChars="0"/>
        <w:rPr>
          <w:b/>
        </w:rPr>
      </w:pPr>
      <w:bookmarkStart w:id="15" w:name="_Toc22683"/>
      <w:r>
        <w:rPr>
          <w:rFonts w:hint="eastAsia" w:ascii="宋体" w:hAnsi="宋体" w:eastAsia="黑体" w:cs="宋体"/>
          <w:b/>
          <w:bCs/>
          <w:kern w:val="44"/>
          <w:sz w:val="30"/>
          <w:szCs w:val="30"/>
        </w:rPr>
        <w:t>第二节</w:t>
      </w:r>
      <w:r>
        <w:rPr>
          <w:rFonts w:hint="eastAsia" w:cs="宋体"/>
          <w:b/>
          <w:bCs/>
          <w:kern w:val="44"/>
          <w:sz w:val="30"/>
          <w:szCs w:val="30"/>
          <w:lang w:val="en-US" w:eastAsia="zh-CN"/>
        </w:rPr>
        <w:t xml:space="preserve"> </w:t>
      </w:r>
      <w:r>
        <w:t>数据质量控制与治理基础</w:t>
      </w:r>
      <w:bookmarkEnd w:id="15"/>
      <w:r>
        <w:t xml:space="preserve">   </w:t>
      </w:r>
    </w:p>
    <w:p w14:paraId="75473D61">
      <w:pPr>
        <w:pStyle w:val="4"/>
        <w:numPr>
          <w:ilvl w:val="0"/>
          <w:numId w:val="0"/>
        </w:numPr>
        <w:topLinePunct w:val="0"/>
        <w:ind w:left="0" w:leftChars="0" w:firstLine="422" w:firstLineChars="0"/>
        <w:rPr>
          <w:b/>
        </w:rPr>
      </w:pPr>
      <w:r>
        <w:rPr>
          <w:rFonts w:hint="eastAsia" w:ascii="黑体" w:hAnsi="黑体" w:eastAsia="黑体" w:cs="黑体"/>
          <w:b/>
          <w:sz w:val="21"/>
        </w:rPr>
        <w:t>一、</w:t>
      </w:r>
      <w:r>
        <w:t>数据完整性校核方法</w:t>
      </w:r>
    </w:p>
    <w:p w14:paraId="3CE9EDC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缺失数据识别规则</w:t>
      </w:r>
    </w:p>
    <w:p w14:paraId="6605BEAD">
      <w:pPr>
        <w:pStyle w:val="11"/>
        <w:rPr>
          <w:rFonts w:ascii="Times New Roman" w:hAnsi="Calibri" w:eastAsia="宋体" w:cs="Times New Roman"/>
          <w:sz w:val="21"/>
        </w:rPr>
      </w:pPr>
      <w:r>
        <w:rPr>
          <w:rFonts w:ascii="Times New Roman" w:hAnsi="Calibri" w:eastAsia="宋体" w:cs="Times New Roman"/>
          <w:sz w:val="21"/>
        </w:rPr>
        <w:t>工程现场的数据完整性，并不只是看系统里有没有数据，而是看关键对象、关键节点和关键责任是否被连续记录。很多项目表面上数据量很大，真正进入分析环节时却发现，缺的往往不是一般信息，而是最能支撑判断的核心字段，例如责任单位缺失、发生时间不明、空间位置模糊、处置结果未填。这类缺失比单纯的空白更危险，因为它会让数据看似存在，实际却无法用于判断。完整性识别应当建立分层规则，把必填字段、条件必填字段和关联必填字段区分开来。人员、设备、材料、工序、问题事项等不同对象，其完整性要求不能一概而论。只有把</w:t>
      </w:r>
      <w:r>
        <w:rPr>
          <w:rFonts w:hint="eastAsia" w:ascii="Times New Roman" w:hAnsi="Times New Roman" w:eastAsia="宋体" w:cs="Times New Roman"/>
          <w:sz w:val="21"/>
          <w:lang w:eastAsia="zh-CN"/>
        </w:rPr>
        <w:t>“</w:t>
      </w:r>
      <w:r>
        <w:rPr>
          <w:rFonts w:ascii="Times New Roman" w:hAnsi="Calibri" w:eastAsia="宋体" w:cs="Times New Roman"/>
          <w:sz w:val="21"/>
        </w:rPr>
        <w:t>哪些必须有、缺了会影响什么、由谁补齐</w:t>
      </w:r>
      <w:r>
        <w:rPr>
          <w:rFonts w:hint="eastAsia" w:ascii="Times New Roman" w:hAnsi="Times New Roman" w:eastAsia="宋体" w:cs="Times New Roman"/>
          <w:sz w:val="21"/>
          <w:lang w:eastAsia="zh-CN"/>
        </w:rPr>
        <w:t>”</w:t>
      </w:r>
      <w:r>
        <w:rPr>
          <w:rFonts w:ascii="Times New Roman" w:hAnsi="Calibri" w:eastAsia="宋体" w:cs="Times New Roman"/>
          <w:sz w:val="21"/>
        </w:rPr>
        <w:t>说清楚，完整性校核才不会停留在机械查空，而能真正服务现场治理。</w:t>
      </w:r>
    </w:p>
    <w:p w14:paraId="00CB7FFD">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完整性校核流程</w:t>
      </w:r>
    </w:p>
    <w:p w14:paraId="28BAE2F6">
      <w:pPr>
        <w:pStyle w:val="11"/>
        <w:rPr>
          <w:rFonts w:ascii="Times New Roman" w:hAnsi="Calibri" w:eastAsia="宋体" w:cs="Times New Roman"/>
          <w:sz w:val="21"/>
        </w:rPr>
      </w:pPr>
      <w:r>
        <w:rPr>
          <w:rFonts w:ascii="Times New Roman" w:hAnsi="Calibri" w:eastAsia="宋体" w:cs="Times New Roman"/>
          <w:sz w:val="21"/>
        </w:rPr>
        <w:t>完整性校核不能等到月末汇总或迎检前集中处理，而应嵌入日常运行链条。更有效的做法，是把校核放在采集、提交、审核和归档几个关键节点上，形成前端发现、中端拦截、后端复核的连续机制。前端采集时，系统应对基础字段缺漏作出即时提示，避免问题在源头被带入；进入提交流转后，岗位审核要重点检查数据是否满足业务闭环要求，不能只看是否填了内容；到了归档和分析阶段，还应结合时间、对象和流程状态进行再核验，识别那些形式完整却逻辑残缺的数据。实践中不少项目的问题，恰恰出在校核只做一次，导致前一环节留下的缺口被后一环节放大。把完整性校核做成过程动作，而不是事后动作，数据底座才会逐步稳固。</w:t>
      </w:r>
    </w:p>
    <w:p w14:paraId="142162E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完整性问题整改机制</w:t>
      </w:r>
    </w:p>
    <w:p w14:paraId="2BDE2408">
      <w:pPr>
        <w:pStyle w:val="11"/>
        <w:rPr>
          <w:rFonts w:ascii="Times New Roman" w:hAnsi="Calibri" w:eastAsia="宋体" w:cs="Times New Roman"/>
          <w:sz w:val="21"/>
        </w:rPr>
      </w:pPr>
      <w:r>
        <w:rPr>
          <w:rFonts w:ascii="Times New Roman" w:hAnsi="Calibri" w:eastAsia="宋体" w:cs="Times New Roman"/>
          <w:sz w:val="21"/>
        </w:rPr>
        <w:t>数据完整性一旦发现问题，关键不在于补录本身，而在于能否形成明确整改机制。若缺项总由信息员兜底，业务岗位对数据真实性和及时性就不会真正负责，系统迟早会滑向</w:t>
      </w:r>
      <w:r>
        <w:rPr>
          <w:rFonts w:hint="eastAsia" w:ascii="Times New Roman" w:hAnsi="Times New Roman" w:eastAsia="宋体" w:cs="Times New Roman"/>
          <w:sz w:val="21"/>
          <w:lang w:eastAsia="zh-CN"/>
        </w:rPr>
        <w:t>“</w:t>
      </w:r>
      <w:r>
        <w:rPr>
          <w:rFonts w:ascii="Times New Roman" w:hAnsi="Calibri" w:eastAsia="宋体" w:cs="Times New Roman"/>
          <w:sz w:val="21"/>
        </w:rPr>
        <w:t>有人补表、无人管数</w:t>
      </w:r>
      <w:r>
        <w:rPr>
          <w:rFonts w:hint="eastAsia" w:ascii="Times New Roman" w:hAnsi="Times New Roman" w:eastAsia="宋体" w:cs="Times New Roman"/>
          <w:sz w:val="21"/>
          <w:lang w:eastAsia="zh-CN"/>
        </w:rPr>
        <w:t>”</w:t>
      </w:r>
      <w:r>
        <w:rPr>
          <w:rFonts w:ascii="Times New Roman" w:hAnsi="Calibri" w:eastAsia="宋体" w:cs="Times New Roman"/>
          <w:sz w:val="21"/>
        </w:rPr>
        <w:t>的状态。更合理的机制，是按照数据来源确定整改责任，谁最接近业务真实，谁就承担首要补正义务；项目管理岗位负责督办和复核，确保补录不是简单填空，而是对照现场事实完成修正。对反复出现的缺失问题，还应倒查流程设计和岗位分工，判断究竟是采集要求过于繁琐，还是责任边界不够清楚。完整性治理若只盯个别缺项，容易陷入反复补漏；只有把问题回溯到流程和责任层，项目才能从</w:t>
      </w:r>
      <w:r>
        <w:rPr>
          <w:rFonts w:hint="eastAsia" w:ascii="Times New Roman" w:hAnsi="Times New Roman" w:eastAsia="宋体" w:cs="Times New Roman"/>
          <w:sz w:val="21"/>
          <w:lang w:eastAsia="zh-CN"/>
        </w:rPr>
        <w:t>“</w:t>
      </w:r>
      <w:r>
        <w:rPr>
          <w:rFonts w:ascii="Times New Roman" w:hAnsi="Calibri" w:eastAsia="宋体" w:cs="Times New Roman"/>
          <w:sz w:val="21"/>
        </w:rPr>
        <w:t>总在补</w:t>
      </w:r>
      <w:r>
        <w:rPr>
          <w:rFonts w:hint="eastAsia" w:ascii="Times New Roman" w:hAnsi="Times New Roman" w:eastAsia="宋体" w:cs="Times New Roman"/>
          <w:sz w:val="21"/>
          <w:lang w:eastAsia="zh-CN"/>
        </w:rPr>
        <w:t>”</w:t>
      </w:r>
      <w:r>
        <w:rPr>
          <w:rFonts w:ascii="Times New Roman" w:hAnsi="Calibri" w:eastAsia="宋体" w:cs="Times New Roman"/>
          <w:sz w:val="21"/>
        </w:rPr>
        <w:t>走向</w:t>
      </w:r>
      <w:r>
        <w:rPr>
          <w:rFonts w:hint="eastAsia" w:ascii="Times New Roman" w:hAnsi="Times New Roman" w:eastAsia="宋体" w:cs="Times New Roman"/>
          <w:sz w:val="21"/>
          <w:lang w:eastAsia="zh-CN"/>
        </w:rPr>
        <w:t>“</w:t>
      </w:r>
      <w:r>
        <w:rPr>
          <w:rFonts w:ascii="Times New Roman" w:hAnsi="Calibri" w:eastAsia="宋体" w:cs="Times New Roman"/>
          <w:sz w:val="21"/>
        </w:rPr>
        <w:t>逐步不缺</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5E4AF929">
      <w:pPr>
        <w:pStyle w:val="4"/>
        <w:numPr>
          <w:ilvl w:val="0"/>
          <w:numId w:val="0"/>
        </w:numPr>
        <w:topLinePunct w:val="0"/>
        <w:ind w:left="0" w:leftChars="0" w:firstLine="422" w:firstLineChars="0"/>
        <w:rPr>
          <w:b/>
        </w:rPr>
      </w:pPr>
      <w:r>
        <w:rPr>
          <w:rFonts w:hint="eastAsia" w:ascii="黑体" w:hAnsi="黑体" w:eastAsia="黑体" w:cs="黑体"/>
          <w:b/>
          <w:sz w:val="21"/>
        </w:rPr>
        <w:t>二、</w:t>
      </w:r>
      <w:r>
        <w:t>数据一致性维护机制</w:t>
      </w:r>
    </w:p>
    <w:p w14:paraId="1373BC7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多源数据口径统一</w:t>
      </w:r>
    </w:p>
    <w:p w14:paraId="04E98557">
      <w:pPr>
        <w:pStyle w:val="11"/>
        <w:rPr>
          <w:rFonts w:ascii="Times New Roman" w:hAnsi="Calibri" w:eastAsia="宋体" w:cs="Times New Roman"/>
          <w:sz w:val="21"/>
        </w:rPr>
      </w:pPr>
      <w:r>
        <w:rPr>
          <w:rFonts w:ascii="Times New Roman" w:hAnsi="Calibri" w:eastAsia="宋体" w:cs="Times New Roman"/>
          <w:sz w:val="21"/>
        </w:rPr>
        <w:t>施工现场的数据很少只来自一个来源。实名制系统、设备监测、巡检记录、验收表单、进度填报、材料台账往往同时存在，若这些来源对同一对象使用不同名称、不同编号、不同时间口径，即便每一套数据各自完整，也难以形成可用的整体。数据一致性的首要任务，就是统一口径。这里的统一并不是把所有字段做成完全相同，而是围绕核心对象建立共同识别规则，保证同一人员、同一设备、同一区域、同一工序在不同业务场景中拥有稳定身份。项目管理中很多争议，本质上不是数据真假问题，而是各方说的不是同一对象。口径一旦不统一，比较、汇总和分析都会失去基础。也正因此，一致性维护应从主数据和基础编码入手，把统一口径作为后续多源归集的前提，而不是等冲突出现后再被动解释。</w:t>
      </w:r>
    </w:p>
    <w:p w14:paraId="511CB47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数据冲突识别与比对</w:t>
      </w:r>
    </w:p>
    <w:p w14:paraId="34873AEF">
      <w:pPr>
        <w:pStyle w:val="11"/>
        <w:rPr>
          <w:rFonts w:ascii="Times New Roman" w:hAnsi="Calibri" w:eastAsia="宋体" w:cs="Times New Roman"/>
          <w:sz w:val="21"/>
        </w:rPr>
      </w:pPr>
      <w:r>
        <w:rPr>
          <w:rFonts w:ascii="Times New Roman" w:hAnsi="Calibri" w:eastAsia="宋体" w:cs="Times New Roman"/>
          <w:sz w:val="21"/>
        </w:rPr>
        <w:t>一致性问题往往不是完全缺失，而是多条记录彼此矛盾。设备台账显示已进场，状态记录却长期为空；某道工序已报验通过，问题清单中却仍显示未整改完成；同一批材料在验收表中数量一致，在库存表中却出现明显偏差。类似冲突若不能及时识别，系统分析出来的结果就会南辕北辙。数据比对应当围绕对象、时间和状态三条线展开。对象是否为同一对象，时间是否处于同一时段，状态是否具备前后逻辑，这三项是判断冲突的基本依据。比对不能只靠人工肉眼查找，更应建立规则化校核，例如状态前后不一致自动提醒、跨表数量差异超阈值预警、时间倒挂直接拦截。对现场而言，冲突数据最容易伤害管理信任。一旦项目部发现同一事项在不同页面呈现两种结果，平台权威性就会迅速下降。</w:t>
      </w:r>
    </w:p>
    <w:p w14:paraId="75DEB36D">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一致性维护责任链条</w:t>
      </w:r>
    </w:p>
    <w:p w14:paraId="740955B9">
      <w:pPr>
        <w:pStyle w:val="11"/>
        <w:rPr>
          <w:rFonts w:ascii="Times New Roman" w:hAnsi="Calibri" w:eastAsia="宋体" w:cs="Times New Roman"/>
          <w:sz w:val="21"/>
        </w:rPr>
      </w:pPr>
      <w:r>
        <w:rPr>
          <w:rFonts w:ascii="Times New Roman" w:hAnsi="Calibri" w:eastAsia="宋体" w:cs="Times New Roman"/>
          <w:sz w:val="21"/>
        </w:rPr>
        <w:t>数据一致性很难靠某一个岗位单独维持，它本质上是一条跨岗位、跨系统、跨业务的责任链。源头岗位负责按统一口径录入，业务管理岗位负责审核同类数据之间是否匹配，项目级数据管理岗位负责跨系统比对和规则维护，技术服务方则负责提供校验工具和异常提示。只有责任链条完整，一致性才可能成为日常状态。现实中很多项目把一致性问题笼统交给信息化人员处理，结果技术上看到了冲突，却无法判断哪条记录更接近现场真实，最终仍要回到业务部门核实。由此可见，一致性维护不能被理解为纯技术工作，它本质上仍是管理工作。数据能否一致，背后反映的是项目各岗位是否遵守同一规则、是否承认同一事实、是否愿意对自身录入结果负责。</w:t>
      </w:r>
    </w:p>
    <w:p w14:paraId="6433D824">
      <w:pPr>
        <w:pStyle w:val="4"/>
        <w:numPr>
          <w:ilvl w:val="0"/>
          <w:numId w:val="0"/>
        </w:numPr>
        <w:topLinePunct w:val="0"/>
        <w:ind w:left="0" w:leftChars="0" w:firstLine="422" w:firstLineChars="0"/>
        <w:rPr>
          <w:b/>
        </w:rPr>
      </w:pPr>
      <w:r>
        <w:rPr>
          <w:rFonts w:hint="eastAsia" w:ascii="黑体" w:hAnsi="黑体" w:eastAsia="黑体" w:cs="黑体"/>
          <w:b/>
          <w:sz w:val="21"/>
        </w:rPr>
        <w:t>三、</w:t>
      </w:r>
      <w:r>
        <w:t>异常数据识别与修正规则</w:t>
      </w:r>
    </w:p>
    <w:p w14:paraId="557036C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异常数据判定标准</w:t>
      </w:r>
    </w:p>
    <w:p w14:paraId="7AEF4B1C">
      <w:pPr>
        <w:pStyle w:val="11"/>
        <w:rPr>
          <w:rFonts w:ascii="Times New Roman" w:hAnsi="Calibri" w:eastAsia="宋体" w:cs="Times New Roman"/>
          <w:sz w:val="21"/>
        </w:rPr>
      </w:pPr>
      <w:r>
        <w:rPr>
          <w:rFonts w:ascii="Times New Roman" w:hAnsi="Calibri" w:eastAsia="宋体" w:cs="Times New Roman"/>
          <w:sz w:val="21"/>
        </w:rPr>
        <w:t>异常数据并不等同于错误数据，它更常见的状态是偏离常态、超出逻辑或明显不符合现场规律。人员连续多日满勤却无作业记录，环境监测数据长时间保持完全不变，设备运行时长与施工时段明显冲突，问题整改时间早于问题发现时间，这些都属于典型异常。判定异常不能只凭经验感觉，而应建立相对稳定的标准。这个标准通常包括范围阈值、逻辑关系和变化趋势三个维度。范围阈值用于识别极端值，逻辑关系用于识别前后矛盾，变化趋势则用于识别看似正常但长期异常的数据模式。工程现场的数据复杂在于，很多异常并非一眼可见，而是隐藏在连续记录之中。若没有判定标准，项目部往往只能在出了问题之后才回头发现异常早已存在。</w:t>
      </w:r>
    </w:p>
    <w:p w14:paraId="7A9F63A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修正流程与留痕要求</w:t>
      </w:r>
    </w:p>
    <w:p w14:paraId="2D3AB153">
      <w:pPr>
        <w:pStyle w:val="11"/>
        <w:rPr>
          <w:rFonts w:ascii="Times New Roman" w:hAnsi="Calibri" w:eastAsia="宋体" w:cs="Times New Roman"/>
          <w:sz w:val="21"/>
        </w:rPr>
      </w:pPr>
      <w:r>
        <w:rPr>
          <w:rFonts w:ascii="Times New Roman" w:hAnsi="Calibri" w:eastAsia="宋体" w:cs="Times New Roman"/>
          <w:sz w:val="21"/>
        </w:rPr>
        <w:t>异常数据被识别出来后，修正不能只追求把数改对，更要保证修正过程可回看、可说明、可复核。若数据被随意覆盖，虽然表面结果变得整齐，后续却无法判断问题原因为何、责任发生在哪一环，甚至会损害系统证据价值。比较稳妥的修正规则，是保留原始记录、标注修正原因、明确修正人和修正时间，并由相应业务岗位完成确认。对轻微异常，可采用岗位复核后直接修正；对涉及关键事项、关键节点和责任争议的数据，则应设置更严格的复核程序。这样做的意义，在于让修正成为治理过程的一部分，而不是掩盖问题的手段。对工程现场来说，真正可靠的数据体系不是永远不出错，而是出了错能够被看见、被纠正，并且留下清楚轨迹。</w:t>
      </w:r>
    </w:p>
    <w:p w14:paraId="202A078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异常数据对管理的影响</w:t>
      </w:r>
    </w:p>
    <w:p w14:paraId="6E1EE733">
      <w:pPr>
        <w:pStyle w:val="11"/>
        <w:rPr>
          <w:rFonts w:ascii="Times New Roman" w:hAnsi="Calibri" w:eastAsia="宋体" w:cs="Times New Roman"/>
          <w:sz w:val="21"/>
        </w:rPr>
      </w:pPr>
      <w:r>
        <w:rPr>
          <w:rFonts w:ascii="Times New Roman" w:hAnsi="Calibri" w:eastAsia="宋体" w:cs="Times New Roman"/>
          <w:sz w:val="21"/>
        </w:rPr>
        <w:t>异常数据若长期存在，影响绝不止于报表误差。它会直接干扰风险识别、进度判断、资源调配和责任追溯，使管理者在错误依据上作出看似合理的决定。轻则造成统计失真和工作重复，重则掩盖安全隐患、放大工期偏差，甚至使后续考核和责任认定失去公信力。项目中很多管理失灵并不是因为系统没有数据，而是因为系统里混入了未经识别的异常数据，结果平台输出的判断与现场真实感受持续脱节，最终导致使用者重新回到经验决策。也就是说，异常数据治理并不是数据工作的边角内容，而是决定平台能否被信任的关键环节。只有把异常识别、修正和复核稳定下来，数据质量控制才不再停留在技术层，而真正进入工程现场的管理基础。</w:t>
      </w:r>
    </w:p>
    <w:p w14:paraId="5F9CE06A">
      <w:pPr>
        <w:pStyle w:val="3"/>
        <w:numPr>
          <w:ilvl w:val="0"/>
          <w:numId w:val="0"/>
        </w:numPr>
        <w:ind w:left="0" w:leftChars="0" w:firstLine="0" w:firstLineChars="0"/>
        <w:rPr>
          <w:b/>
        </w:rPr>
      </w:pPr>
      <w:bookmarkStart w:id="16" w:name="_Toc14679"/>
      <w:r>
        <w:rPr>
          <w:rFonts w:hint="eastAsia" w:ascii="宋体" w:hAnsi="宋体" w:eastAsia="黑体" w:cs="宋体"/>
          <w:b/>
          <w:bCs/>
          <w:kern w:val="44"/>
          <w:sz w:val="30"/>
          <w:szCs w:val="30"/>
        </w:rPr>
        <w:t>第三节</w:t>
      </w:r>
      <w:r>
        <w:rPr>
          <w:rFonts w:hint="eastAsia" w:cs="宋体"/>
          <w:b/>
          <w:bCs/>
          <w:kern w:val="44"/>
          <w:sz w:val="30"/>
          <w:szCs w:val="30"/>
          <w:lang w:val="en-US" w:eastAsia="zh-CN"/>
        </w:rPr>
        <w:t xml:space="preserve"> </w:t>
      </w:r>
      <w:r>
        <w:t>智慧工地平台的总体架构</w:t>
      </w:r>
      <w:bookmarkEnd w:id="16"/>
      <w:r>
        <w:t xml:space="preserve">   </w:t>
      </w:r>
    </w:p>
    <w:p w14:paraId="4B9B86A3">
      <w:pPr>
        <w:pStyle w:val="4"/>
        <w:numPr>
          <w:ilvl w:val="0"/>
          <w:numId w:val="0"/>
        </w:numPr>
        <w:topLinePunct w:val="0"/>
        <w:ind w:left="0" w:leftChars="0" w:firstLine="422" w:firstLineChars="0"/>
        <w:rPr>
          <w:b/>
        </w:rPr>
      </w:pPr>
      <w:r>
        <w:rPr>
          <w:rFonts w:hint="eastAsia" w:ascii="黑体" w:hAnsi="黑体" w:eastAsia="黑体" w:cs="黑体"/>
          <w:b/>
          <w:sz w:val="21"/>
        </w:rPr>
        <w:t>一、</w:t>
      </w:r>
      <w:r>
        <w:t>平台架构的层级划分</w:t>
      </w:r>
    </w:p>
    <w:p w14:paraId="66004B2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感知层的构成</w:t>
      </w:r>
    </w:p>
    <w:p w14:paraId="228C0841">
      <w:pPr>
        <w:pStyle w:val="11"/>
        <w:rPr>
          <w:rFonts w:ascii="Times New Roman" w:hAnsi="Calibri" w:eastAsia="宋体" w:cs="Times New Roman"/>
          <w:sz w:val="21"/>
        </w:rPr>
      </w:pPr>
      <w:r>
        <w:rPr>
          <w:rFonts w:ascii="Times New Roman" w:hAnsi="Calibri" w:eastAsia="宋体" w:cs="Times New Roman"/>
          <w:sz w:val="21"/>
        </w:rPr>
        <w:t>智慧工地平台的总体架构，不能从软件页面倒着设计，而应从施工现场的信息形成路径顺着搭建。人员在场、设备运行、材料进退场、环境变化、工序检查、问题处置，这些信息不会自动进入平台，必须先经过感知层的捕捉和转换。感知层因此不是平台之外的附属部分，而是整个架构的起点。它承担的职责，不只是把数据采上来，更重要的是把原本分散、短暂、难以留存的现场状态转化为可进入数字系统的基础信号。</w:t>
      </w:r>
    </w:p>
    <w:p w14:paraId="33F2C13D">
      <w:pPr>
        <w:pStyle w:val="11"/>
        <w:rPr>
          <w:rFonts w:ascii="Times New Roman" w:hAnsi="Calibri" w:eastAsia="宋体" w:cs="Times New Roman"/>
          <w:sz w:val="21"/>
        </w:rPr>
      </w:pPr>
      <w:r>
        <w:rPr>
          <w:rFonts w:ascii="Times New Roman" w:hAnsi="Calibri" w:eastAsia="宋体" w:cs="Times New Roman"/>
          <w:sz w:val="21"/>
        </w:rPr>
        <w:t>从工程实践看，感知层的有效性不取决于终端数量，而取决于布设是否围绕管理问题展开。更合理的架构思路，是把感知层分为对象感知、过程感知和环境感知三个基本面向。对象感知针对人、机、料等核心管理对象，解决身份识别、状态确认和位置归属问题；过程感知面向巡检、验收、整改、报验等业务活动，解决事项发生与流转留痕问题；环境感知则服务于气象、扬尘、噪声和现场条件变化，承担风险预警的前端基础。这样划分之后，感知层就不再只是设备集合，而成为与治理对象对应的基础结构。</w:t>
      </w:r>
    </w:p>
    <w:p w14:paraId="6797E3D0">
      <w:pPr>
        <w:pStyle w:val="11"/>
        <w:rPr>
          <w:rFonts w:ascii="Times New Roman" w:hAnsi="Calibri" w:eastAsia="宋体" w:cs="Times New Roman"/>
          <w:sz w:val="21"/>
        </w:rPr>
      </w:pPr>
      <w:r>
        <w:rPr>
          <w:rFonts w:ascii="Times New Roman" w:hAnsi="Calibri" w:eastAsia="宋体" w:cs="Times New Roman"/>
          <w:sz w:val="21"/>
        </w:rPr>
        <w:t>感知层在总体架构中的边界也需要说清。它负责把现场状态转化为数据入口，但并不直接完成复杂判断，更不应承担业务闭环本身。清晰分层的意义，恰恰在于让感知层更多承担可靠采集、及时上传和初步校验的职责，把后续的数据组织与业务处理交给上层平台完成。</w:t>
      </w:r>
    </w:p>
    <w:p w14:paraId="6F6C012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平台层的核心功能</w:t>
      </w:r>
    </w:p>
    <w:p w14:paraId="5D016E47">
      <w:pPr>
        <w:pStyle w:val="11"/>
        <w:rPr>
          <w:rFonts w:ascii="Times New Roman" w:hAnsi="Calibri" w:eastAsia="宋体" w:cs="Times New Roman"/>
          <w:sz w:val="21"/>
        </w:rPr>
      </w:pPr>
      <w:r>
        <w:rPr>
          <w:rFonts w:ascii="Times New Roman" w:hAnsi="Calibri" w:eastAsia="宋体" w:cs="Times New Roman"/>
          <w:sz w:val="21"/>
        </w:rPr>
        <w:t>感知层采集的信息，只有进入统一的平台层，才可能真正转化为治理能力。平台层在总体架构中居于承上启下的位置，一端连接现场数据来源，一端连接项目管理动作。它最核心的价值，不在于把所有数据汇总到同一界面，而在于完成三项转换：把离散状态转换为结构化数据，把结构化数据转换为业务事项，把业务事项再转换为可追踪、可反馈的管理流程。很多项目系统看似建成了平台，实质却只实现了第一步，即把信息集中起来，并没有继续向流程运行和管理响应推进，这也是平台</w:t>
      </w:r>
      <w:r>
        <w:rPr>
          <w:rFonts w:hint="eastAsia" w:ascii="Times New Roman" w:hAnsi="Times New Roman" w:eastAsia="宋体" w:cs="Times New Roman"/>
          <w:sz w:val="21"/>
          <w:lang w:eastAsia="zh-CN"/>
        </w:rPr>
        <w:t>“</w:t>
      </w:r>
      <w:r>
        <w:rPr>
          <w:rFonts w:ascii="Times New Roman" w:hAnsi="Calibri" w:eastAsia="宋体" w:cs="Times New Roman"/>
          <w:sz w:val="21"/>
        </w:rPr>
        <w:t>能看不能管</w:t>
      </w:r>
      <w:r>
        <w:rPr>
          <w:rFonts w:hint="eastAsia" w:ascii="Times New Roman" w:hAnsi="Times New Roman" w:eastAsia="宋体" w:cs="Times New Roman"/>
          <w:sz w:val="21"/>
          <w:lang w:eastAsia="zh-CN"/>
        </w:rPr>
        <w:t>”</w:t>
      </w:r>
      <w:r>
        <w:rPr>
          <w:rFonts w:ascii="Times New Roman" w:hAnsi="Calibri" w:eastAsia="宋体" w:cs="Times New Roman"/>
          <w:sz w:val="21"/>
        </w:rPr>
        <w:t>的根本原因。</w:t>
      </w:r>
    </w:p>
    <w:p w14:paraId="433F0DC4">
      <w:pPr>
        <w:pStyle w:val="11"/>
        <w:rPr>
          <w:rFonts w:ascii="Times New Roman" w:hAnsi="Calibri" w:eastAsia="宋体" w:cs="Times New Roman"/>
          <w:sz w:val="21"/>
        </w:rPr>
      </w:pPr>
      <w:r>
        <w:rPr>
          <w:rFonts w:ascii="Times New Roman" w:hAnsi="Calibri" w:eastAsia="宋体" w:cs="Times New Roman"/>
          <w:sz w:val="21"/>
        </w:rPr>
        <w:t>成熟的平台层通常应当具备数据汇聚、规则处理、流程支撑和预警分发四类功能。数据汇聚解决的是多源数据进入统一底座的问题；规则处理解决编码映射、字段校验和逻辑约束问题；流程支撑负责把巡检、报验、整改、审批、销项等事项组织起来；预警分发则通过阈值判断和角色推送，把隐藏在数据中的偏差及时送达到相应岗位。四类功能如果缺一，平台架构就会出现明显短板。</w:t>
      </w:r>
    </w:p>
    <w:p w14:paraId="0FC415C8">
      <w:pPr>
        <w:pStyle w:val="11"/>
        <w:rPr>
          <w:rFonts w:ascii="Times New Roman" w:hAnsi="Calibri" w:eastAsia="宋体" w:cs="Times New Roman"/>
          <w:sz w:val="21"/>
        </w:rPr>
      </w:pPr>
      <w:r>
        <w:rPr>
          <w:rFonts w:ascii="Times New Roman" w:hAnsi="Calibri" w:eastAsia="宋体" w:cs="Times New Roman"/>
          <w:sz w:val="21"/>
        </w:rPr>
        <w:t>平台层还在很大程度上重构了项目部的管理节奏。过去很多现场管理依赖会议收集情况、电话确认状态、微信群催办事项，管理动作围绕</w:t>
      </w:r>
      <w:r>
        <w:rPr>
          <w:rFonts w:hint="eastAsia" w:ascii="Times New Roman" w:hAnsi="Times New Roman" w:eastAsia="宋体" w:cs="Times New Roman"/>
          <w:sz w:val="21"/>
          <w:lang w:eastAsia="zh-CN"/>
        </w:rPr>
        <w:t>“</w:t>
      </w:r>
      <w:r>
        <w:rPr>
          <w:rFonts w:ascii="Times New Roman" w:hAnsi="Calibri" w:eastAsia="宋体" w:cs="Times New Roman"/>
          <w:sz w:val="21"/>
        </w:rPr>
        <w:t>人找信息</w:t>
      </w:r>
      <w:r>
        <w:rPr>
          <w:rFonts w:hint="eastAsia" w:ascii="Times New Roman" w:hAnsi="Times New Roman" w:eastAsia="宋体" w:cs="Times New Roman"/>
          <w:sz w:val="21"/>
          <w:lang w:eastAsia="zh-CN"/>
        </w:rPr>
        <w:t>”</w:t>
      </w:r>
      <w:r>
        <w:rPr>
          <w:rFonts w:ascii="Times New Roman" w:hAnsi="Calibri" w:eastAsia="宋体" w:cs="Times New Roman"/>
          <w:sz w:val="21"/>
        </w:rPr>
        <w:t>展开。平台层运行成熟之后，状态变化、问题暴露和事项滞后会以更清晰的方式主动呈现，管理开始逐步转向</w:t>
      </w:r>
      <w:r>
        <w:rPr>
          <w:rFonts w:hint="eastAsia" w:ascii="Times New Roman" w:hAnsi="Times New Roman" w:eastAsia="宋体" w:cs="Times New Roman"/>
          <w:sz w:val="21"/>
          <w:lang w:eastAsia="zh-CN"/>
        </w:rPr>
        <w:t>“</w:t>
      </w:r>
      <w:r>
        <w:rPr>
          <w:rFonts w:ascii="Times New Roman" w:hAnsi="Calibri" w:eastAsia="宋体" w:cs="Times New Roman"/>
          <w:sz w:val="21"/>
        </w:rPr>
        <w:t>信息找人</w:t>
      </w:r>
      <w:r>
        <w:rPr>
          <w:rFonts w:hint="eastAsia" w:ascii="Times New Roman" w:hAnsi="Times New Roman" w:eastAsia="宋体" w:cs="Times New Roman"/>
          <w:sz w:val="21"/>
          <w:lang w:eastAsia="zh-CN"/>
        </w:rPr>
        <w:t>”</w:t>
      </w:r>
      <w:r>
        <w:rPr>
          <w:rFonts w:ascii="Times New Roman" w:hAnsi="Calibri" w:eastAsia="宋体" w:cs="Times New Roman"/>
          <w:sz w:val="21"/>
        </w:rPr>
        <w:t>。这一变化看似只是技术体验改善，实际上改变的是项目组织的运行方式。</w:t>
      </w:r>
    </w:p>
    <w:p w14:paraId="274448E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应用层的管理表达</w:t>
      </w:r>
    </w:p>
    <w:p w14:paraId="2DCCB0C2">
      <w:pPr>
        <w:pStyle w:val="11"/>
        <w:rPr>
          <w:rFonts w:ascii="Times New Roman" w:hAnsi="Calibri" w:eastAsia="宋体" w:cs="Times New Roman"/>
          <w:sz w:val="21"/>
        </w:rPr>
      </w:pPr>
      <w:r>
        <w:rPr>
          <w:rFonts w:ascii="Times New Roman" w:hAnsi="Calibri" w:eastAsia="宋体" w:cs="Times New Roman"/>
          <w:sz w:val="21"/>
        </w:rPr>
        <w:t>平台架构如果只有感知层和平台层，仍然难以支撑复杂项目运行，因为不同岗位对信息的关注重点并不相同。项目经理关心的是整体态势和关键偏差，生产负责人关注工序推进和资源协调，安全质量岗位更看重异常状态与问题闭环，班组和一线作业人员则需要简明、直接、能执行的任务入口。应用层的价值，正是在统一底座和统一规则之上，把同一平台能力转化为面向不同角色的管理表达。它不是额外叠加的一层界面，而是平台架构走向实际使用的出口。</w:t>
      </w:r>
    </w:p>
    <w:p w14:paraId="211AD002">
      <w:pPr>
        <w:pStyle w:val="11"/>
        <w:rPr>
          <w:rFonts w:ascii="Times New Roman" w:hAnsi="Calibri" w:eastAsia="宋体" w:cs="Times New Roman"/>
          <w:sz w:val="21"/>
        </w:rPr>
      </w:pPr>
      <w:r>
        <w:rPr>
          <w:rFonts w:ascii="Times New Roman" w:hAnsi="Calibri" w:eastAsia="宋体" w:cs="Times New Roman"/>
          <w:sz w:val="21"/>
        </w:rPr>
        <w:t>应用层设计的关键，不是模块越多越好，而是角色视角越清楚越好。同样一组底层数据，进入项目经理端应呈现为总体进展、关键风险和待决事项，进入专业管理端则应呈现为可处理的任务链条，进入作业端更应压缩为操作步骤、反馈入口和异常上报。很多系统上线后利用率不高，并不是功能不足，而是所有岗位面对同一套复杂界面，导致高层看不准、基层用不动。应用层如果能够围绕组织角色进行精准表达，平台价值就会明显提升。</w:t>
      </w:r>
    </w:p>
    <w:p w14:paraId="4EF0F216">
      <w:pPr>
        <w:pStyle w:val="4"/>
        <w:numPr>
          <w:ilvl w:val="0"/>
          <w:numId w:val="0"/>
        </w:numPr>
        <w:topLinePunct w:val="0"/>
        <w:ind w:left="0" w:leftChars="0" w:firstLine="422" w:firstLineChars="0"/>
        <w:rPr>
          <w:b/>
        </w:rPr>
      </w:pPr>
      <w:r>
        <w:rPr>
          <w:rFonts w:hint="eastAsia" w:ascii="黑体" w:hAnsi="黑体" w:eastAsia="黑体" w:cs="黑体"/>
          <w:b/>
          <w:sz w:val="21"/>
        </w:rPr>
        <w:t>二、</w:t>
      </w:r>
      <w:r>
        <w:t>业务中台与数据中台的功能分工</w:t>
      </w:r>
    </w:p>
    <w:p w14:paraId="2451881A">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业务中台场景承载</w:t>
      </w:r>
    </w:p>
    <w:p w14:paraId="2FEE5620">
      <w:pPr>
        <w:pStyle w:val="11"/>
        <w:rPr>
          <w:rFonts w:ascii="Times New Roman" w:hAnsi="Calibri" w:eastAsia="宋体" w:cs="Times New Roman"/>
          <w:sz w:val="21"/>
        </w:rPr>
      </w:pPr>
      <w:r>
        <w:rPr>
          <w:rFonts w:ascii="Times New Roman" w:hAnsi="Calibri" w:eastAsia="宋体" w:cs="Times New Roman"/>
          <w:sz w:val="21"/>
        </w:rPr>
        <w:t>智慧工地平台进入一定复杂度之后，若仍用传统模块拼盘方式建设，很容易出现功能重复、流程割裂和后续扩展困难的问题。业务中台之所以必要，就在于它把不同场景中反复出现的业务能力抽取出来，形成可复用的流程能力和规则能力。现场巡检、问题派发、整改反馈、审批确认、节点留痕，这些动作看似分散在安全、质量、进度、材料等不同场景中，实则具有相似的运行逻辑。若每个模块都单独开发一套流程，不仅效率低，也会造成同类事项标准不一。业务中台的价值，正是把共性的业务能力沉淀下来，让场景建设从重复开发转向按需组装。</w:t>
      </w:r>
    </w:p>
    <w:p w14:paraId="0C9319F6">
      <w:pPr>
        <w:pStyle w:val="11"/>
        <w:rPr>
          <w:rFonts w:ascii="Times New Roman" w:hAnsi="Calibri" w:eastAsia="宋体" w:cs="Times New Roman"/>
          <w:sz w:val="21"/>
        </w:rPr>
      </w:pPr>
      <w:r>
        <w:rPr>
          <w:rFonts w:ascii="Times New Roman" w:hAnsi="Calibri" w:eastAsia="宋体" w:cs="Times New Roman"/>
          <w:sz w:val="21"/>
        </w:rPr>
        <w:t>从平台总体架构看，业务中台更接近项目管理方法的数字化承载。它不直接等同于某个模块，而是负责维护事项流转、角色权限、节点规则、闭环逻辑和业务服务接口。这样一来，项目增加新场景时，不必重写全部流程，只需在既有能力基础上做针对性配置。对施工现场而言，这种方式尤其重要，因为工程项目的管理重点会随阶段变化不断调整。</w:t>
      </w:r>
    </w:p>
    <w:p w14:paraId="5FED3F9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数据中台集成处理</w:t>
      </w:r>
    </w:p>
    <w:p w14:paraId="0500B305">
      <w:pPr>
        <w:pStyle w:val="11"/>
        <w:rPr>
          <w:rFonts w:ascii="Times New Roman" w:hAnsi="Calibri" w:eastAsia="宋体" w:cs="Times New Roman"/>
          <w:sz w:val="21"/>
        </w:rPr>
      </w:pPr>
      <w:r>
        <w:rPr>
          <w:rFonts w:ascii="Times New Roman" w:hAnsi="Calibri" w:eastAsia="宋体" w:cs="Times New Roman"/>
          <w:sz w:val="21"/>
        </w:rPr>
        <w:t>若说业务中台解决的是</w:t>
      </w:r>
      <w:r>
        <w:rPr>
          <w:rFonts w:hint="eastAsia" w:ascii="Times New Roman" w:hAnsi="Times New Roman" w:eastAsia="宋体" w:cs="Times New Roman"/>
          <w:sz w:val="21"/>
          <w:lang w:eastAsia="zh-CN"/>
        </w:rPr>
        <w:t>“</w:t>
      </w:r>
      <w:r>
        <w:rPr>
          <w:rFonts w:ascii="Times New Roman" w:hAnsi="Calibri" w:eastAsia="宋体" w:cs="Times New Roman"/>
          <w:sz w:val="21"/>
        </w:rPr>
        <w:t>事情怎样运行</w:t>
      </w:r>
      <w:r>
        <w:rPr>
          <w:rFonts w:hint="eastAsia" w:ascii="Times New Roman" w:hAnsi="Times New Roman" w:eastAsia="宋体" w:cs="Times New Roman"/>
          <w:sz w:val="21"/>
          <w:lang w:eastAsia="zh-CN"/>
        </w:rPr>
        <w:t>”</w:t>
      </w:r>
      <w:r>
        <w:rPr>
          <w:rFonts w:ascii="Times New Roman" w:hAnsi="Calibri" w:eastAsia="宋体" w:cs="Times New Roman"/>
          <w:sz w:val="21"/>
        </w:rPr>
        <w:t>，数据中台解决的就是</w:t>
      </w:r>
      <w:r>
        <w:rPr>
          <w:rFonts w:hint="eastAsia" w:ascii="Times New Roman" w:hAnsi="Times New Roman" w:eastAsia="宋体" w:cs="Times New Roman"/>
          <w:sz w:val="21"/>
          <w:lang w:eastAsia="zh-CN"/>
        </w:rPr>
        <w:t>“</w:t>
      </w:r>
      <w:r>
        <w:rPr>
          <w:rFonts w:ascii="Times New Roman" w:hAnsi="Calibri" w:eastAsia="宋体" w:cs="Times New Roman"/>
          <w:sz w:val="21"/>
        </w:rPr>
        <w:t>数据怎样被统一管理和持续服务</w:t>
      </w:r>
      <w:r>
        <w:rPr>
          <w:rFonts w:hint="eastAsia" w:ascii="Times New Roman" w:hAnsi="Times New Roman" w:eastAsia="宋体" w:cs="Times New Roman"/>
          <w:sz w:val="21"/>
          <w:lang w:eastAsia="zh-CN"/>
        </w:rPr>
        <w:t>”</w:t>
      </w:r>
      <w:r>
        <w:rPr>
          <w:rFonts w:ascii="Times New Roman" w:hAnsi="Calibri" w:eastAsia="宋体" w:cs="Times New Roman"/>
          <w:sz w:val="21"/>
        </w:rPr>
        <w:t>。施工现场的数据来源复杂、频率不一、结构差异明显，若没有统一的数据组织层，前端采集越多，后台混乱往往越严重。数据中台的职责，不是简单存放数据，而是围绕统一编码、清洗整合、标签组织、指标加工和数据服务展开，使不同来源的数据能够进入同一逻辑体系。它更像平台中的数据枢纽，负责让原始信息从可存储走向可调用，从分散记录走向稳定供给。</w:t>
      </w:r>
    </w:p>
    <w:p w14:paraId="416FCE0D">
      <w:pPr>
        <w:pStyle w:val="11"/>
        <w:rPr>
          <w:rFonts w:ascii="Times New Roman" w:hAnsi="Calibri" w:eastAsia="宋体" w:cs="Times New Roman"/>
          <w:sz w:val="21"/>
        </w:rPr>
      </w:pPr>
      <w:r>
        <w:rPr>
          <w:rFonts w:ascii="Times New Roman" w:hAnsi="Calibri" w:eastAsia="宋体" w:cs="Times New Roman"/>
          <w:sz w:val="21"/>
        </w:rPr>
        <w:t>数据中台的重要性，恰恰体现在它并不直接面向用户，却深刻决定平台上层是否可靠。项目经理看到的风险看板、生产负责人看到的偏差分析、质量岗位看到的问题闭环率，背后都依赖数据中台的加工和输出。若缺少这一层，不同模块就会各自维护自己的数据口径，最后同一项目在不同页面上呈现不同结论，平台信任度很快下降。</w:t>
      </w:r>
    </w:p>
    <w:p w14:paraId="360818B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双中台的协同关系</w:t>
      </w:r>
    </w:p>
    <w:p w14:paraId="7BE2970F">
      <w:pPr>
        <w:pStyle w:val="11"/>
        <w:rPr>
          <w:rFonts w:ascii="Times New Roman" w:hAnsi="Calibri" w:eastAsia="宋体" w:cs="Times New Roman"/>
          <w:sz w:val="21"/>
        </w:rPr>
      </w:pPr>
      <w:r>
        <w:rPr>
          <w:rFonts w:ascii="Times New Roman" w:hAnsi="Calibri" w:eastAsia="宋体" w:cs="Times New Roman"/>
          <w:sz w:val="21"/>
        </w:rPr>
        <w:t>业务中台和数据中台并不是两套平行系统，它们之间应当保持紧密协同。业务中台提出流程需要什么数据、哪些节点需要判断、哪些角色需要推送，数据中台则负责提供统一、稳定、可解释的数据服务；反过来，数据中台在运行中发现的质量问题、异常趋势和口径冲突，也会反向推动业务规则优化。两者如果割裂设计，平台就容易出现一种常见问题：业务流程能跑，但数据支撑不稳；数据汇总很多，却难以进入具体管理动作。真正成熟的平台架构，应让业务逻辑和数据逻辑在同一治理目标下相互牵引。</w:t>
      </w:r>
    </w:p>
    <w:p w14:paraId="55FF93DC">
      <w:pPr>
        <w:pStyle w:val="4"/>
        <w:numPr>
          <w:ilvl w:val="0"/>
          <w:numId w:val="0"/>
        </w:numPr>
        <w:topLinePunct w:val="0"/>
        <w:ind w:left="0" w:leftChars="0" w:firstLine="422" w:firstLineChars="0"/>
        <w:rPr>
          <w:b/>
        </w:rPr>
      </w:pPr>
      <w:r>
        <w:rPr>
          <w:rFonts w:hint="eastAsia" w:ascii="黑体" w:hAnsi="黑体" w:eastAsia="黑体" w:cs="黑体"/>
          <w:b/>
          <w:sz w:val="21"/>
        </w:rPr>
        <w:t>三、</w:t>
      </w:r>
      <w:r>
        <w:t>端边云协同的部署方式</w:t>
      </w:r>
    </w:p>
    <w:p w14:paraId="62B0FC03">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终端采集层部署</w:t>
      </w:r>
    </w:p>
    <w:p w14:paraId="221D9427">
      <w:pPr>
        <w:pStyle w:val="11"/>
        <w:rPr>
          <w:rFonts w:ascii="Times New Roman" w:hAnsi="Calibri" w:eastAsia="宋体" w:cs="Times New Roman"/>
          <w:sz w:val="21"/>
        </w:rPr>
      </w:pPr>
      <w:r>
        <w:rPr>
          <w:rFonts w:ascii="Times New Roman" w:hAnsi="Calibri" w:eastAsia="宋体" w:cs="Times New Roman"/>
          <w:sz w:val="21"/>
        </w:rPr>
        <w:t>智慧工地平台不是纯后台系统，它必须建立在前端稳定采集之上。终端采集层部署的核心，不在于把设备尽可能铺满现场，而在于让关键区域、关键对象和关键动作都拥有可持续的数据入口。部署时既要考虑采集范围，也要考虑供电、网络、环境干扰、施工阶段变化和维护便利。终端部署因此应坚持关键点位优先、动态调整跟进、运行维护并重的原则，使前端真正成为可长期依赖的入口。</w:t>
      </w:r>
    </w:p>
    <w:p w14:paraId="059CA31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边缘处理层响应机制</w:t>
      </w:r>
    </w:p>
    <w:p w14:paraId="3C0653FE">
      <w:pPr>
        <w:pStyle w:val="11"/>
        <w:rPr>
          <w:rFonts w:ascii="Times New Roman" w:hAnsi="Calibri" w:eastAsia="宋体" w:cs="Times New Roman"/>
          <w:sz w:val="21"/>
        </w:rPr>
      </w:pPr>
      <w:r>
        <w:rPr>
          <w:rFonts w:ascii="Times New Roman" w:hAnsi="Calibri" w:eastAsia="宋体" w:cs="Times New Roman"/>
          <w:sz w:val="21"/>
        </w:rPr>
        <w:t>施工现场对部分数据的处理时效要求很高，若全部传到中心端再统一计算，往往难以及时响应。边缘处理层的意义，就在于把一部分识别、过滤、缓存和快速判断能力前置到现场附近，使高频数据不必都长距离回传，异常状态也能更快触发。特别是在视频识别、环境监测、设备状态感知等场景中，边缘层能显著减少传输压力，提高现场响应速度。它在架构中的价值，不是替代云端分析，而是在时效与稳定之间建立更合理的分工。</w:t>
      </w:r>
    </w:p>
    <w:p w14:paraId="7B781B2E">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云端汇聚与集中管理</w:t>
      </w:r>
    </w:p>
    <w:p w14:paraId="49A30EE5">
      <w:pPr>
        <w:pStyle w:val="11"/>
        <w:rPr>
          <w:rFonts w:ascii="Times New Roman" w:hAnsi="Calibri" w:eastAsia="宋体" w:cs="Times New Roman"/>
          <w:sz w:val="21"/>
        </w:rPr>
      </w:pPr>
      <w:r>
        <w:rPr>
          <w:rFonts w:ascii="Times New Roman" w:hAnsi="Calibri" w:eastAsia="宋体" w:cs="Times New Roman"/>
          <w:sz w:val="21"/>
        </w:rPr>
        <w:t>边缘层解决的是即时性，云端解决的则是统一性和持续性。平台的集中存储、跨项目分析、历史归档、指标计算和权限管理，都更适合在云端完成。云端的优势不在于</w:t>
      </w:r>
      <w:r>
        <w:rPr>
          <w:rFonts w:hint="eastAsia" w:ascii="Times New Roman" w:hAnsi="Times New Roman" w:eastAsia="宋体" w:cs="Times New Roman"/>
          <w:sz w:val="21"/>
          <w:lang w:eastAsia="zh-CN"/>
        </w:rPr>
        <w:t>“</w:t>
      </w:r>
      <w:r>
        <w:rPr>
          <w:rFonts w:ascii="Times New Roman" w:hAnsi="Calibri" w:eastAsia="宋体" w:cs="Times New Roman"/>
          <w:sz w:val="21"/>
        </w:rPr>
        <w:t>离现场更远</w:t>
      </w:r>
      <w:r>
        <w:rPr>
          <w:rFonts w:hint="eastAsia" w:ascii="Times New Roman" w:hAnsi="Times New Roman" w:eastAsia="宋体" w:cs="Times New Roman"/>
          <w:sz w:val="21"/>
          <w:lang w:eastAsia="zh-CN"/>
        </w:rPr>
        <w:t>”</w:t>
      </w:r>
      <w:r>
        <w:rPr>
          <w:rFonts w:ascii="Times New Roman" w:hAnsi="Calibri" w:eastAsia="宋体" w:cs="Times New Roman"/>
          <w:sz w:val="21"/>
        </w:rPr>
        <w:t>，而在于它能提供更强的整合能力，让不同区域、不同阶段、不同系统的数据进入统一管理空间。端、边、云三者并非谁替代谁，而是围绕现场时效、平台稳定和管理深度形成协同分工。</w:t>
      </w:r>
    </w:p>
    <w:p w14:paraId="52F340BD">
      <w:pPr>
        <w:pStyle w:val="4"/>
        <w:numPr>
          <w:ilvl w:val="0"/>
          <w:numId w:val="0"/>
        </w:numPr>
        <w:topLinePunct w:val="0"/>
        <w:ind w:left="0" w:leftChars="0" w:firstLine="422" w:firstLineChars="0"/>
        <w:rPr>
          <w:b/>
        </w:rPr>
      </w:pPr>
      <w:r>
        <w:rPr>
          <w:rFonts w:hint="eastAsia" w:ascii="黑体" w:hAnsi="黑体" w:eastAsia="黑体" w:cs="黑体"/>
          <w:b/>
          <w:sz w:val="21"/>
        </w:rPr>
        <w:t>四、</w:t>
      </w:r>
      <w:r>
        <w:t>多终端访问的组织逻辑</w:t>
      </w:r>
    </w:p>
    <w:p w14:paraId="0AC7D7D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管理端使用场景</w:t>
      </w:r>
    </w:p>
    <w:p w14:paraId="46BA8895">
      <w:pPr>
        <w:pStyle w:val="11"/>
        <w:rPr>
          <w:rFonts w:ascii="Times New Roman" w:hAnsi="Calibri" w:eastAsia="宋体" w:cs="Times New Roman"/>
          <w:sz w:val="21"/>
        </w:rPr>
      </w:pPr>
      <w:r>
        <w:rPr>
          <w:rFonts w:ascii="Times New Roman" w:hAnsi="Calibri" w:eastAsia="宋体" w:cs="Times New Roman"/>
          <w:sz w:val="21"/>
        </w:rPr>
        <w:t>管理端的核心任务，是让项目管理层在有限时间内看清整体状态、识别关键偏差并作出组织判断。因此，管理端不宜承载过于细碎的操作，而应突出全局态势、关键指标、风险事项和决策支持。项目经理、总工、生产负责人、安全质量负责人虽然角色不同，但都需要从管理端获得对项目整体运行的快速把握。管理端设计得是否合理，往往决定高层是否愿意持续使用平台。</w:t>
      </w:r>
    </w:p>
    <w:p w14:paraId="3051574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作业端使用场景</w:t>
      </w:r>
    </w:p>
    <w:p w14:paraId="56FFCEFC">
      <w:pPr>
        <w:pStyle w:val="11"/>
        <w:rPr>
          <w:rFonts w:ascii="Times New Roman" w:hAnsi="Calibri" w:eastAsia="宋体" w:cs="Times New Roman"/>
          <w:sz w:val="21"/>
        </w:rPr>
      </w:pPr>
      <w:r>
        <w:rPr>
          <w:rFonts w:ascii="Times New Roman" w:hAnsi="Calibri" w:eastAsia="宋体" w:cs="Times New Roman"/>
          <w:sz w:val="21"/>
        </w:rPr>
        <w:t>与管理端相比，作业端更强调轻量、直接和可执行。一线人员不需要复杂报表，他们真正需要的是任务接收、过程反馈、拍照留痕、异常上报和节点确认等简单功能。作业端若设计过重，很容易增加现场排斥感；若设计过轻，又无法形成必要留痕。更合适的组织逻辑，是把复杂判断留在平台后端，把操作入口尽量压缩到现场可承受范围内，使数字化真正嵌入作业流程，而不是成为额外负担。</w:t>
      </w:r>
    </w:p>
    <w:p w14:paraId="0C4623D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移动终端协同场景</w:t>
      </w:r>
    </w:p>
    <w:p w14:paraId="6E09AFB6">
      <w:pPr>
        <w:pStyle w:val="11"/>
        <w:rPr>
          <w:rFonts w:ascii="Times New Roman" w:hAnsi="Calibri" w:eastAsia="宋体" w:cs="Times New Roman"/>
          <w:sz w:val="21"/>
        </w:rPr>
      </w:pPr>
      <w:r>
        <w:rPr>
          <w:rFonts w:ascii="Times New Roman" w:hAnsi="Calibri" w:eastAsia="宋体" w:cs="Times New Roman"/>
          <w:sz w:val="21"/>
        </w:rPr>
        <w:t>移动终端是连接管理端与作业端的重要桥梁。很多现场事项并不适合回到办公室再处理，巡检、验收、复核、审批和问题确认往往都发生在移动状态下。移动终端的价值，不只是把网页搬到手机上，而是重构现场协同节奏，让信息采集、任务处理和结果反馈在同一时空内完成。移动协同一旦运行顺畅，项目部很多原本依赖电话催办和纸面传递的动作，就会逐步转化为可记录、可追踪、可反馈的线上闭环。这也说明，多终端访问并不是技术兼容问题，而是平台如何顺应现场组织逻辑的问题。</w:t>
      </w:r>
    </w:p>
    <w:p w14:paraId="75D19AF1">
      <w:pPr>
        <w:pStyle w:val="3"/>
        <w:numPr>
          <w:ilvl w:val="0"/>
          <w:numId w:val="0"/>
        </w:numPr>
        <w:ind w:left="0" w:leftChars="0" w:firstLine="0" w:firstLineChars="0"/>
        <w:rPr>
          <w:b/>
        </w:rPr>
      </w:pPr>
      <w:bookmarkStart w:id="17" w:name="_Toc22746"/>
      <w:r>
        <w:rPr>
          <w:rFonts w:hint="eastAsia" w:ascii="宋体" w:hAnsi="宋体" w:eastAsia="黑体" w:cs="宋体"/>
          <w:b/>
          <w:bCs/>
          <w:kern w:val="44"/>
          <w:sz w:val="30"/>
          <w:szCs w:val="30"/>
        </w:rPr>
        <w:t>第四节</w:t>
      </w:r>
      <w:r>
        <w:rPr>
          <w:rFonts w:hint="eastAsia" w:cs="宋体"/>
          <w:b/>
          <w:bCs/>
          <w:kern w:val="44"/>
          <w:sz w:val="30"/>
          <w:szCs w:val="30"/>
          <w:lang w:val="en-US" w:eastAsia="zh-CN"/>
        </w:rPr>
        <w:t xml:space="preserve"> </w:t>
      </w:r>
      <w:r>
        <w:t>模型技术与场景映射</w:t>
      </w:r>
      <w:bookmarkEnd w:id="17"/>
    </w:p>
    <w:p w14:paraId="3B6D6803">
      <w:pPr>
        <w:pStyle w:val="4"/>
        <w:numPr>
          <w:ilvl w:val="0"/>
          <w:numId w:val="0"/>
        </w:numPr>
        <w:topLinePunct w:val="0"/>
        <w:ind w:left="0" w:leftChars="0" w:firstLine="422" w:firstLineChars="0"/>
        <w:rPr>
          <w:b/>
        </w:rPr>
      </w:pPr>
      <w:r>
        <w:rPr>
          <w:rFonts w:hint="eastAsia" w:ascii="黑体" w:hAnsi="黑体" w:eastAsia="黑体" w:cs="黑体"/>
          <w:b/>
          <w:sz w:val="21"/>
        </w:rPr>
        <w:t>一、</w:t>
      </w:r>
      <w:r>
        <w:rPr>
          <w:rFonts w:ascii="Times New Roman" w:hAnsi="Times New Roman" w:eastAsia="宋体" w:cs="Times New Roman"/>
        </w:rPr>
        <w:t>BIM</w:t>
      </w:r>
      <w:r>
        <w:t>模型的组织方式</w:t>
      </w:r>
    </w:p>
    <w:p w14:paraId="5AA279C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模型分级构建逻辑</w:t>
      </w:r>
    </w:p>
    <w:p w14:paraId="2DB12E49">
      <w:pPr>
        <w:pStyle w:val="11"/>
        <w:rPr>
          <w:rFonts w:ascii="Times New Roman" w:hAnsi="Calibri" w:eastAsia="宋体" w:cs="Times New Roman"/>
          <w:sz w:val="21"/>
        </w:rPr>
      </w:pPr>
      <w:r>
        <w:rPr>
          <w:rFonts w:ascii="Times New Roman" w:hAnsi="Calibri" w:eastAsia="宋体" w:cs="Times New Roman"/>
          <w:sz w:val="21"/>
        </w:rPr>
        <w:t>工程现场中的</w:t>
      </w:r>
      <w:r>
        <w:rPr>
          <w:rFonts w:ascii="Times New Roman" w:hAnsi="Times New Roman" w:eastAsia="宋体" w:cs="Times New Roman"/>
          <w:sz w:val="21"/>
        </w:rPr>
        <w:t>BIM</w:t>
      </w:r>
      <w:r>
        <w:rPr>
          <w:rFonts w:ascii="Times New Roman" w:hAnsi="Calibri" w:eastAsia="宋体" w:cs="Times New Roman"/>
          <w:sz w:val="21"/>
        </w:rPr>
        <w:t>模型，若只被理解为设计成果的三维表达，其管理价值会很快触顶。真正适用于智慧工地的模型组织方式，应当从项目治理需求出发进行分级构建。项目级模型解决整体空间框架与专业边界问题，专业级模型服务土建、机电、装饰、幕墙等不同系统的协同表达，构件级模型则面向可识别、可关联、可追溯的最小管理单元。这样分级，并不是为了追求模型精细，而是为了让不同层面的管理活动都能找到对应载体。项目经理需要看到总体关系，专业负责人需要看专业冲突与穿插位置，一线管理人员则更关心具体构件和具体部位。模型一旦没有层级，就容易出现两种偏差：要么过粗，只能看形体；要么过细，现场难以使用。分级构建的核心，是让模型既能表达建筑实体，也能适应管理尺度。</w:t>
      </w:r>
    </w:p>
    <w:p w14:paraId="7F88A04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构件信息挂接方式</w:t>
      </w:r>
    </w:p>
    <w:p w14:paraId="5FF27305">
      <w:pPr>
        <w:pStyle w:val="11"/>
        <w:rPr>
          <w:rFonts w:ascii="Times New Roman" w:hAnsi="Calibri" w:eastAsia="宋体" w:cs="Times New Roman"/>
          <w:sz w:val="21"/>
        </w:rPr>
      </w:pPr>
      <w:r>
        <w:rPr>
          <w:rFonts w:ascii="Times New Roman" w:hAnsi="Calibri" w:eastAsia="宋体" w:cs="Times New Roman"/>
          <w:sz w:val="21"/>
        </w:rPr>
        <w:t>模型能否真正进入现场管理，关键不在几何精度，而在信息挂接是否准确。构件如果只有名称、尺寸和材质，模型仍然只是可视化成果；只有把进度状态、质量要求、验收节点、责任单位和空间位置等信息稳定挂接上去，构件才会从静态图元转变为管理对象。挂接方式应强调唯一标识和稳定映射，使同一构件在模型、台账、报验记录和问题清单中保持一致身份。这样一来，模型不再只是</w:t>
      </w:r>
      <w:r>
        <w:rPr>
          <w:rFonts w:hint="eastAsia" w:ascii="Times New Roman" w:hAnsi="Times New Roman" w:eastAsia="宋体" w:cs="Times New Roman"/>
          <w:sz w:val="21"/>
          <w:lang w:eastAsia="zh-CN"/>
        </w:rPr>
        <w:t>“</w:t>
      </w:r>
      <w:r>
        <w:rPr>
          <w:rFonts w:ascii="Times New Roman" w:hAnsi="Calibri" w:eastAsia="宋体" w:cs="Times New Roman"/>
          <w:sz w:val="21"/>
        </w:rPr>
        <w:t>看建筑</w:t>
      </w:r>
      <w:r>
        <w:rPr>
          <w:rFonts w:hint="eastAsia" w:ascii="Times New Roman" w:hAnsi="Times New Roman" w:eastAsia="宋体" w:cs="Times New Roman"/>
          <w:sz w:val="21"/>
          <w:lang w:eastAsia="zh-CN"/>
        </w:rPr>
        <w:t>”</w:t>
      </w:r>
      <w:r>
        <w:rPr>
          <w:rFonts w:ascii="Times New Roman" w:hAnsi="Calibri" w:eastAsia="宋体" w:cs="Times New Roman"/>
          <w:sz w:val="21"/>
        </w:rPr>
        <w:t>，而开始承担</w:t>
      </w:r>
      <w:r>
        <w:rPr>
          <w:rFonts w:hint="eastAsia" w:ascii="Times New Roman" w:hAnsi="Times New Roman" w:eastAsia="宋体" w:cs="Times New Roman"/>
          <w:sz w:val="21"/>
          <w:lang w:eastAsia="zh-CN"/>
        </w:rPr>
        <w:t>“</w:t>
      </w:r>
      <w:r>
        <w:rPr>
          <w:rFonts w:ascii="Times New Roman" w:hAnsi="Calibri" w:eastAsia="宋体" w:cs="Times New Roman"/>
          <w:sz w:val="21"/>
        </w:rPr>
        <w:t>看业务</w:t>
      </w:r>
      <w:r>
        <w:rPr>
          <w:rFonts w:hint="eastAsia" w:ascii="Times New Roman" w:hAnsi="Times New Roman" w:eastAsia="宋体" w:cs="Times New Roman"/>
          <w:sz w:val="21"/>
          <w:lang w:eastAsia="zh-CN"/>
        </w:rPr>
        <w:t>”</w:t>
      </w:r>
      <w:r>
        <w:rPr>
          <w:rFonts w:ascii="Times New Roman" w:hAnsi="Calibri" w:eastAsia="宋体" w:cs="Times New Roman"/>
          <w:sz w:val="21"/>
        </w:rPr>
        <w:t>的功能。</w:t>
      </w:r>
      <w:r>
        <w:rPr>
          <w:rFonts w:hint="eastAsia" w:ascii="Times New Roman" w:hAnsi="Calibri" w:eastAsia="宋体" w:cs="Times New Roman"/>
          <w:sz w:val="21"/>
        </w:rPr>
        <w:t>在工程实践中，更适合采用一种轻量化挂接思路，即把最能支撑现场判断的关键字段先挂接上去，而不是一开始就试图把所有信息塞进模型。</w:t>
      </w:r>
      <w:r>
        <w:rPr>
          <w:rFonts w:ascii="Times New Roman" w:hAnsi="Calibri" w:eastAsia="宋体" w:cs="Times New Roman"/>
          <w:sz w:val="21"/>
        </w:rPr>
        <w:t>字段过多会增加维护负担，真正有效的做法，是围绕构件当前状态和业务用途组织信息，让模型成为流程的入口，而不是资料的仓库。</w:t>
      </w:r>
    </w:p>
    <w:p w14:paraId="06E2BDD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模型服务现场业务表达</w:t>
      </w:r>
    </w:p>
    <w:p w14:paraId="7B4DBAB9">
      <w:pPr>
        <w:pStyle w:val="11"/>
        <w:rPr>
          <w:rFonts w:ascii="Times New Roman" w:hAnsi="Calibri" w:eastAsia="宋体" w:cs="Times New Roman"/>
          <w:sz w:val="21"/>
        </w:rPr>
      </w:pPr>
      <w:r>
        <w:rPr>
          <w:rFonts w:ascii="Times New Roman" w:hAnsi="Times New Roman" w:eastAsia="宋体" w:cs="Times New Roman"/>
          <w:sz w:val="21"/>
        </w:rPr>
        <w:t>BIM</w:t>
      </w:r>
      <w:r>
        <w:rPr>
          <w:rFonts w:ascii="Times New Roman" w:hAnsi="Calibri" w:eastAsia="宋体" w:cs="Times New Roman"/>
          <w:sz w:val="21"/>
        </w:rPr>
        <w:t>模型的价值，最终要体现在现场业务表达上。进度协调、工序穿插、质量复核、安全交底、材料定位，这些管理活动之所以适合与模型结合，是因为它们本来就具有明显的空间属性。传统管理中，同一个问题往往分散在图纸、表格和口头说明里，理解成本很高。模型介入之后，问题可以被放回具体部位和具体空间中表达，管理者看到的不再只是抽象条目，而是与现场状态相对应的可视对象。这种表达方式对复杂项目尤其重要。多专业交叉施工时，图纸能说明关系，却不一定能直观反映冲突；模型则可以把位置、顺序和影响范围更集中地呈现出来。也正因为如此，</w:t>
      </w:r>
      <w:r>
        <w:rPr>
          <w:rFonts w:ascii="Times New Roman" w:hAnsi="Times New Roman" w:eastAsia="宋体" w:cs="Times New Roman"/>
          <w:sz w:val="21"/>
        </w:rPr>
        <w:t>BIM</w:t>
      </w:r>
      <w:r>
        <w:rPr>
          <w:rFonts w:ascii="Times New Roman" w:hAnsi="Calibri" w:eastAsia="宋体" w:cs="Times New Roman"/>
          <w:sz w:val="21"/>
        </w:rPr>
        <w:t>在智慧工地中的作用，不应停留在展示层，而应被理解为一种空间化的业务表达工具。</w:t>
      </w:r>
    </w:p>
    <w:p w14:paraId="417EE8E1">
      <w:pPr>
        <w:pStyle w:val="4"/>
        <w:numPr>
          <w:ilvl w:val="0"/>
          <w:numId w:val="0"/>
        </w:numPr>
        <w:topLinePunct w:val="0"/>
        <w:ind w:left="0" w:leftChars="0" w:firstLine="422" w:firstLineChars="0"/>
        <w:rPr>
          <w:b/>
        </w:rPr>
      </w:pPr>
      <w:r>
        <w:rPr>
          <w:rFonts w:hint="eastAsia" w:ascii="黑体" w:hAnsi="黑体" w:eastAsia="黑体" w:cs="黑体"/>
          <w:b/>
          <w:sz w:val="21"/>
        </w:rPr>
        <w:t>二、</w:t>
      </w:r>
      <w:r>
        <w:t>数字孪生的场景映射逻辑</w:t>
      </w:r>
    </w:p>
    <w:p w14:paraId="7FFBFD7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物理现场数字映射</w:t>
      </w:r>
    </w:p>
    <w:p w14:paraId="491EF9D8">
      <w:pPr>
        <w:pStyle w:val="11"/>
        <w:rPr>
          <w:rFonts w:ascii="Times New Roman" w:hAnsi="Calibri" w:eastAsia="宋体" w:cs="Times New Roman"/>
          <w:sz w:val="21"/>
        </w:rPr>
      </w:pPr>
      <w:r>
        <w:rPr>
          <w:rFonts w:ascii="Times New Roman" w:hAnsi="Calibri" w:eastAsia="宋体" w:cs="Times New Roman"/>
          <w:sz w:val="21"/>
        </w:rPr>
        <w:t>数字孪生与一般模型展示的区别，在于它试图让数字空间持续对应物理现场，而不是只提供一个静态三维外壳。施工现场变化快、干扰多、状态复杂，若数字表达停留在某个固定时点，很快就会失去使用价值。数字孪生的基础逻辑，就是围绕现场实体、运行状态和管理事件建立持续映射关系。作业面推进到哪里，设备运行到什么状态，环境参数是否异常，问题事项停留在哪个节点，这些内容都应尽量在数字空间中有所对应。映射的关键不是画面逼真，而是逻辑真实。一个真正有用的孪生场景，不一定视觉上最复杂，但一定能够把现场最关键的变化反映出来，使管理者在数字界面中看到与现实接近的运行状态。</w:t>
      </w:r>
    </w:p>
    <w:p w14:paraId="1A547E9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动态状态实时同步</w:t>
      </w:r>
    </w:p>
    <w:p w14:paraId="3FD307F1">
      <w:pPr>
        <w:pStyle w:val="11"/>
        <w:rPr>
          <w:rFonts w:ascii="Times New Roman" w:hAnsi="Calibri" w:eastAsia="宋体" w:cs="Times New Roman"/>
          <w:sz w:val="21"/>
        </w:rPr>
      </w:pPr>
      <w:r>
        <w:rPr>
          <w:rFonts w:ascii="Times New Roman" w:hAnsi="Calibri" w:eastAsia="宋体" w:cs="Times New Roman"/>
          <w:sz w:val="21"/>
        </w:rPr>
        <w:t>数字孪生若想摆脱</w:t>
      </w:r>
      <w:r>
        <w:rPr>
          <w:rFonts w:hint="eastAsia" w:ascii="Times New Roman" w:hAnsi="Times New Roman" w:eastAsia="宋体" w:cs="Times New Roman"/>
          <w:sz w:val="21"/>
          <w:lang w:eastAsia="zh-CN"/>
        </w:rPr>
        <w:t>“</w:t>
      </w:r>
      <w:r>
        <w:rPr>
          <w:rFonts w:ascii="Times New Roman" w:hAnsi="Calibri" w:eastAsia="宋体" w:cs="Times New Roman"/>
          <w:sz w:val="21"/>
        </w:rPr>
        <w:t>会动的模型</w:t>
      </w:r>
      <w:r>
        <w:rPr>
          <w:rFonts w:hint="eastAsia" w:ascii="Times New Roman" w:hAnsi="Times New Roman" w:eastAsia="宋体" w:cs="Times New Roman"/>
          <w:sz w:val="21"/>
          <w:lang w:eastAsia="zh-CN"/>
        </w:rPr>
        <w:t>”</w:t>
      </w:r>
      <w:r>
        <w:rPr>
          <w:rFonts w:ascii="Times New Roman" w:hAnsi="Calibri" w:eastAsia="宋体" w:cs="Times New Roman"/>
          <w:sz w:val="21"/>
        </w:rPr>
        <w:t>这种浅层印象，必须建立动态同步机制。这里的同步并不意味着所有数据都要毫秒级刷新，而是要根据管理需要确定不同状态的更新节奏。高风险对象、高频变化区域和关键预警场景需要更高时效，进度节点、构件状态和问题闭环则可以按业务触发或按周期更新。真正重要的是，同步后的状态能够反映现场演变，而不是停留在某个过时界面。很多项目之所以对数字孪生评价不高，原因并不是概念无效，而是状态更新滞后，导致数字空间与物理现场逐渐脱节。一旦出现这种脱节，管理者便会重新回到线下确认。同步机制因此不是技术装饰，而是孪生场景可信度的核心来源。</w:t>
      </w:r>
    </w:p>
    <w:p w14:paraId="207BC07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孪生场景辅助管理决策</w:t>
      </w:r>
    </w:p>
    <w:p w14:paraId="6CD26E3E">
      <w:pPr>
        <w:pStyle w:val="11"/>
        <w:rPr>
          <w:rFonts w:ascii="Times New Roman" w:hAnsi="Calibri" w:eastAsia="宋体" w:cs="Times New Roman"/>
          <w:sz w:val="21"/>
        </w:rPr>
      </w:pPr>
      <w:r>
        <w:rPr>
          <w:rFonts w:ascii="Times New Roman" w:hAnsi="Calibri" w:eastAsia="宋体" w:cs="Times New Roman"/>
          <w:sz w:val="21"/>
        </w:rPr>
        <w:t>数字孪生的真正价值，不在于把现场搬进屏幕，而在于帮助管理者更快识别问题、更准判断影响、更清楚安排处置。对复杂项目来说，许多管理决策并不缺依据，而是缺少能把多类依据放到同一空间中综合判断的工具。孪生场景恰好能够把构件状态、作业位置、设备运行、环境变化和问题记录组织到一个连续界面中，使风险和偏差不再以分散数据形式出现，而以更接近现场逻辑的方式被看见。它尤其适合用于穿插冲突判断、重点区域风险观察、工序准备条件核验和应急处置推演。也就是说，数字孪生不是替代人的判断，而是通过更贴近现场的数字映射，降低判断成本、缩短反应时间、增强组织协同。</w:t>
      </w:r>
    </w:p>
    <w:p w14:paraId="03582D9A">
      <w:pPr>
        <w:pStyle w:val="4"/>
        <w:numPr>
          <w:ilvl w:val="0"/>
          <w:numId w:val="0"/>
        </w:numPr>
        <w:topLinePunct w:val="0"/>
        <w:ind w:left="0" w:leftChars="0" w:firstLine="422" w:firstLineChars="0"/>
        <w:rPr>
          <w:b/>
        </w:rPr>
      </w:pPr>
      <w:r>
        <w:rPr>
          <w:rFonts w:hint="eastAsia" w:ascii="黑体" w:hAnsi="黑体" w:eastAsia="黑体" w:cs="黑体"/>
          <w:b/>
          <w:sz w:val="21"/>
        </w:rPr>
        <w:t>三、</w:t>
      </w:r>
      <w:r>
        <w:t>模型数据与业务流程的关联机制</w:t>
      </w:r>
    </w:p>
    <w:p w14:paraId="3194658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模型数据进入业务流程</w:t>
      </w:r>
    </w:p>
    <w:p w14:paraId="05C7BE90">
      <w:pPr>
        <w:pStyle w:val="11"/>
        <w:rPr>
          <w:rFonts w:ascii="Times New Roman" w:hAnsi="Calibri" w:eastAsia="宋体" w:cs="Times New Roman"/>
          <w:sz w:val="21"/>
        </w:rPr>
      </w:pPr>
      <w:r>
        <w:rPr>
          <w:rFonts w:ascii="Times New Roman" w:hAnsi="Calibri" w:eastAsia="宋体" w:cs="Times New Roman"/>
          <w:sz w:val="21"/>
        </w:rPr>
        <w:t>模型数据若始终停留在浏览层，再精细也难以形成治理价值。真正成熟的做法，是让模型进入现场业务流程，成为事项发起、状态确认和结果反馈的组成部分。质量巡检可以在模型部位上直接定位问题，隐蔽工程验收可以围绕构件和空间单元形成留痕，进度填报可以与模型分区和构件状态对应，安全风险也可以依托模型位置进行识别和提示。这样一来，模型不再是流程之外的辅助图形，而是流程中的对象索引和空间入口。业务人员在处理事项时，不只是</w:t>
      </w:r>
      <w:r>
        <w:rPr>
          <w:rFonts w:hint="eastAsia" w:ascii="Times New Roman" w:hAnsi="Times New Roman" w:eastAsia="宋体" w:cs="Times New Roman"/>
          <w:sz w:val="21"/>
          <w:lang w:eastAsia="zh-CN"/>
        </w:rPr>
        <w:t>“</w:t>
      </w:r>
      <w:r>
        <w:rPr>
          <w:rFonts w:ascii="Times New Roman" w:hAnsi="Calibri" w:eastAsia="宋体" w:cs="Times New Roman"/>
          <w:sz w:val="21"/>
        </w:rPr>
        <w:t>填一张表</w:t>
      </w:r>
      <w:r>
        <w:rPr>
          <w:rFonts w:hint="eastAsia" w:ascii="Times New Roman" w:hAnsi="Times New Roman" w:eastAsia="宋体" w:cs="Times New Roman"/>
          <w:sz w:val="21"/>
          <w:lang w:eastAsia="zh-CN"/>
        </w:rPr>
        <w:t>”</w:t>
      </w:r>
      <w:r>
        <w:rPr>
          <w:rFonts w:ascii="Times New Roman" w:hAnsi="Calibri" w:eastAsia="宋体" w:cs="Times New Roman"/>
          <w:sz w:val="21"/>
        </w:rPr>
        <w:t>，而是在明确位置、明确对象、明确责任的前提下完成记录和流转。模型一旦进入流程，现场管理的空间属性就被稳定保留下来，很多过去难以说清的位置关系和影响范围，也会随之变得清楚。</w:t>
      </w:r>
    </w:p>
    <w:p w14:paraId="3C024EF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业务结果反哺模型更新</w:t>
      </w:r>
    </w:p>
    <w:p w14:paraId="0EBDB060">
      <w:pPr>
        <w:pStyle w:val="11"/>
        <w:rPr>
          <w:rFonts w:ascii="Times New Roman" w:hAnsi="Calibri" w:eastAsia="宋体" w:cs="Times New Roman"/>
          <w:sz w:val="21"/>
        </w:rPr>
      </w:pPr>
      <w:r>
        <w:rPr>
          <w:rFonts w:ascii="Times New Roman" w:hAnsi="Calibri" w:eastAsia="宋体" w:cs="Times New Roman"/>
          <w:sz w:val="21"/>
        </w:rPr>
        <w:t>模型进入业务流程之后，关系并不是单向的。流程运行产生的结果，也应当反过来推动模型状态更新。构件已验收、问题已整改、工序已完成、区域已移交，这些业务结果如果不能反哺模型，模型就会重新变成静态成果。真正有生命力的模型，应该随着业务推进不断调整状态，使数字表达与现场进展保持一致。这样形成的是一种双向机制：模型为流程提供空间载体，流程又为模型提供状态来源。项目管理中的很多断裂，恰恰出现在这一步。模型单独维护一套状态，业务系统单独保存一套记录，二者长期不能联动，最终谁都不再完全可信。让业务结果持续反哺模型，本质上是在用流程运行维护模型有效性。</w:t>
      </w:r>
    </w:p>
    <w:p w14:paraId="5E71D74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流程关联提升协同效率</w:t>
      </w:r>
    </w:p>
    <w:p w14:paraId="54CFE169">
      <w:pPr>
        <w:pStyle w:val="11"/>
        <w:rPr>
          <w:rFonts w:ascii="Times New Roman" w:hAnsi="Calibri" w:eastAsia="宋体" w:cs="Times New Roman"/>
          <w:sz w:val="21"/>
        </w:rPr>
      </w:pPr>
      <w:r>
        <w:rPr>
          <w:rFonts w:ascii="Times New Roman" w:hAnsi="Calibri" w:eastAsia="宋体" w:cs="Times New Roman"/>
          <w:sz w:val="21"/>
        </w:rPr>
        <w:t>模型数据与业务流程真正建立关联之后，最直接的变化不是界面更丰富，而是协同效率显著提高。过去一个问题从发现到说明再到确认，往往需要借助图纸、照片、位置描述和口头沟通反复核对。模型进入流程后，事项从一开始就附着在具体部位和具体对象上，信息解释成本明显下降。不同岗位围绕同一构件、同一区域、同一状态开展协同，分歧会少很多，流转也更顺畅。对总承包、分包、监理等多方参与的现场而言，这种关联尤其重要，因为它能把原本抽象的管理语言转化为共同可见的空间事实。模型与流程的结合，归根结底不是为了技术叠加，而是为了让现场协同从</w:t>
      </w:r>
      <w:r>
        <w:rPr>
          <w:rFonts w:hint="eastAsia" w:ascii="Times New Roman" w:hAnsi="Times New Roman" w:eastAsia="宋体" w:cs="Times New Roman"/>
          <w:sz w:val="21"/>
          <w:lang w:eastAsia="zh-CN"/>
        </w:rPr>
        <w:t>“</w:t>
      </w:r>
      <w:r>
        <w:rPr>
          <w:rFonts w:ascii="Times New Roman" w:hAnsi="Calibri" w:eastAsia="宋体" w:cs="Times New Roman"/>
          <w:sz w:val="21"/>
        </w:rPr>
        <w:t>各说各的</w:t>
      </w:r>
      <w:r>
        <w:rPr>
          <w:rFonts w:hint="eastAsia" w:ascii="Times New Roman" w:hAnsi="Times New Roman" w:eastAsia="宋体" w:cs="Times New Roman"/>
          <w:sz w:val="21"/>
          <w:lang w:eastAsia="zh-CN"/>
        </w:rPr>
        <w:t>”</w:t>
      </w:r>
      <w:r>
        <w:rPr>
          <w:rFonts w:ascii="Times New Roman" w:hAnsi="Calibri" w:eastAsia="宋体" w:cs="Times New Roman"/>
          <w:sz w:val="21"/>
        </w:rPr>
        <w:t>逐步走向</w:t>
      </w:r>
      <w:r>
        <w:rPr>
          <w:rFonts w:hint="eastAsia" w:ascii="Times New Roman" w:hAnsi="Times New Roman" w:eastAsia="宋体" w:cs="Times New Roman"/>
          <w:sz w:val="21"/>
          <w:lang w:eastAsia="zh-CN"/>
        </w:rPr>
        <w:t>“</w:t>
      </w:r>
      <w:r>
        <w:rPr>
          <w:rFonts w:ascii="Times New Roman" w:hAnsi="Calibri" w:eastAsia="宋体" w:cs="Times New Roman"/>
          <w:sz w:val="21"/>
        </w:rPr>
        <w:t>围绕同一对象处理同一问题</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47CF29C1">
      <w:pPr>
        <w:pStyle w:val="3"/>
        <w:numPr>
          <w:ilvl w:val="0"/>
          <w:numId w:val="0"/>
        </w:numPr>
        <w:ind w:left="0" w:leftChars="0" w:firstLine="0" w:firstLineChars="0"/>
        <w:rPr>
          <w:b/>
        </w:rPr>
      </w:pPr>
      <w:bookmarkStart w:id="18" w:name="_Toc8732"/>
      <w:r>
        <w:rPr>
          <w:rFonts w:hint="eastAsia" w:ascii="宋体" w:hAnsi="宋体" w:eastAsia="黑体" w:cs="宋体"/>
          <w:b/>
          <w:bCs/>
          <w:kern w:val="44"/>
          <w:sz w:val="30"/>
          <w:szCs w:val="30"/>
        </w:rPr>
        <w:t>第五节</w:t>
      </w:r>
      <w:r>
        <w:rPr>
          <w:rFonts w:hint="eastAsia" w:cs="宋体"/>
          <w:b/>
          <w:bCs/>
          <w:kern w:val="44"/>
          <w:sz w:val="30"/>
          <w:szCs w:val="30"/>
          <w:lang w:val="en-US" w:eastAsia="zh-CN"/>
        </w:rPr>
        <w:t xml:space="preserve"> </w:t>
      </w:r>
      <w:r>
        <w:t>感知终端与系统接入</w:t>
      </w:r>
      <w:bookmarkEnd w:id="18"/>
    </w:p>
    <w:p w14:paraId="1B539CB2">
      <w:pPr>
        <w:pStyle w:val="4"/>
        <w:numPr>
          <w:ilvl w:val="0"/>
          <w:numId w:val="0"/>
        </w:numPr>
        <w:topLinePunct w:val="0"/>
        <w:ind w:left="0" w:leftChars="0" w:firstLine="422" w:firstLineChars="0"/>
        <w:rPr>
          <w:b/>
        </w:rPr>
      </w:pPr>
      <w:r>
        <w:rPr>
          <w:rFonts w:hint="eastAsia" w:ascii="黑体" w:hAnsi="黑体" w:eastAsia="黑体" w:cs="黑体"/>
          <w:b/>
          <w:sz w:val="21"/>
        </w:rPr>
        <w:t>一、</w:t>
      </w:r>
      <w:r>
        <w:t>物联网设备的接入模式</w:t>
      </w:r>
    </w:p>
    <w:p w14:paraId="3F0532C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设备类型与接入分类</w:t>
      </w:r>
    </w:p>
    <w:p w14:paraId="356AA9D4">
      <w:pPr>
        <w:pStyle w:val="11"/>
        <w:rPr>
          <w:rFonts w:ascii="Times New Roman" w:hAnsi="Calibri" w:eastAsia="宋体" w:cs="Times New Roman"/>
          <w:sz w:val="21"/>
        </w:rPr>
      </w:pPr>
      <w:r>
        <w:rPr>
          <w:rFonts w:ascii="Times New Roman" w:hAnsi="Calibri" w:eastAsia="宋体" w:cs="Times New Roman"/>
          <w:sz w:val="21"/>
        </w:rPr>
        <w:t>工程现场的物联网接入，不能简单理解为把若干硬件连到平台上，而应理解为把现场状态稳定转化为可管理的数据入口。较常见的终端大体可以分为三类。一类面向环境状态，主要采集扬尘、噪声、温湿度、风速风向等连续参数，服务文明施工、环境预警和现场联动控制；一类面向设备与设施状态，重点反映塔机、施工升降机、配电设备以及重点机具的运行情况，服务风险识别和设备管理；还有一类面向对象识别，主要承担人员实名、材料进出、关键资源追踪等任务，解决对象确认和身份映射问题。把终端按管理用途分开，平台才能知道哪些数据用于连续监测，哪些数据用于事件触发，哪些数据用于过程留痕。若前端设备都被笼统看作采集器，后台虽有大量数据，现场管理却很难真正用起来。</w:t>
      </w:r>
    </w:p>
    <w:p w14:paraId="6193C36E">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接入协议与数据归集</w:t>
      </w:r>
    </w:p>
    <w:p w14:paraId="1847B87D">
      <w:pPr>
        <w:pStyle w:val="11"/>
        <w:rPr>
          <w:rFonts w:ascii="Times New Roman" w:hAnsi="Calibri" w:eastAsia="宋体" w:cs="Times New Roman"/>
          <w:sz w:val="21"/>
        </w:rPr>
      </w:pPr>
      <w:r>
        <w:rPr>
          <w:rFonts w:ascii="Times New Roman" w:hAnsi="Calibri" w:eastAsia="宋体" w:cs="Times New Roman"/>
          <w:sz w:val="21"/>
        </w:rPr>
        <w:t>感知终端进入系统后，真正决定成效的不是设备能否亮起来，而是数据能否被统一接收、解析和归集。施工现场设备来源复杂，协议不一、频率不同、精度各异是常态，若没有统一接入规则，平台就容易停留在多界面并列状态。更合理的做法，是允许前端异构，但要求后台归一。无论环境终端、设备终端还是识别终端，进入平台时都应完成对象编码、区域映射、责任归属和时间标识的统一处理，使原始信号转化为可调用的管理数据。很多项目后期</w:t>
      </w:r>
      <w:r>
        <w:rPr>
          <w:rFonts w:hint="eastAsia" w:ascii="Times New Roman" w:hAnsi="Times New Roman" w:eastAsia="宋体" w:cs="Times New Roman"/>
          <w:sz w:val="21"/>
          <w:lang w:eastAsia="zh-CN"/>
        </w:rPr>
        <w:t>“</w:t>
      </w:r>
      <w:r>
        <w:rPr>
          <w:rFonts w:ascii="Times New Roman" w:hAnsi="Calibri" w:eastAsia="宋体" w:cs="Times New Roman"/>
          <w:sz w:val="21"/>
        </w:rPr>
        <w:t>数据可见但不可用</w:t>
      </w:r>
      <w:r>
        <w:rPr>
          <w:rFonts w:hint="eastAsia" w:ascii="Times New Roman" w:hAnsi="Times New Roman" w:eastAsia="宋体" w:cs="Times New Roman"/>
          <w:sz w:val="21"/>
          <w:lang w:eastAsia="zh-CN"/>
        </w:rPr>
        <w:t>”</w:t>
      </w:r>
      <w:r>
        <w:rPr>
          <w:rFonts w:ascii="Times New Roman" w:hAnsi="Calibri" w:eastAsia="宋体" w:cs="Times New Roman"/>
          <w:sz w:val="21"/>
        </w:rPr>
        <w:t>，问题往往不在采集能力，而在归集逻辑不清。比如监测值若不知道来自哪个区域，便难以判断责任；设备状态若不能对上设备台账，便无法进入维保与预警链条。接入的核心，因此不是把信息搬上平台，而是把信息放进统一坐标系。</w:t>
      </w:r>
    </w:p>
    <w:p w14:paraId="116DE31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接入后的运行管理要求</w:t>
      </w:r>
    </w:p>
    <w:p w14:paraId="767F23B1">
      <w:pPr>
        <w:pStyle w:val="11"/>
        <w:rPr>
          <w:rFonts w:ascii="Times New Roman" w:hAnsi="Calibri" w:eastAsia="宋体" w:cs="Times New Roman"/>
          <w:sz w:val="21"/>
        </w:rPr>
      </w:pPr>
      <w:r>
        <w:rPr>
          <w:rFonts w:ascii="Times New Roman" w:hAnsi="Calibri" w:eastAsia="宋体" w:cs="Times New Roman"/>
          <w:sz w:val="21"/>
        </w:rPr>
        <w:t>设备接入完成之后，管理工作并没有结束，反而进入更关键的阶段。工程现场中的终端长期暴露在扬尘、振动、温差、雨淋和频繁移动的环境里，在线不等于可靠，采到不等于真实。终端接入后的管理，应持续关注三件事：设备在线状态是否稳定，采集值是否持续可信，异常中断能否被及时发现。实践中不少项目前期投入并不低，后期效果却快速衰减，原因通常不是系统本身无效，而是探头损坏、网络中断、参数漂移后没有形成日常巡检和校验机制。真正成熟的接入模式，不只是安装和上线，还包括巡检、比对、校核和恢复。谁负责检查，谁负责异常上报，谁负责停机后恢复，必须在项目运行中形成清晰责任，否则终端再多，也难以成为稳定的数据底座。</w:t>
      </w:r>
    </w:p>
    <w:p w14:paraId="2559276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（四）</w:t>
      </w:r>
      <w:r>
        <w:t>住宅项目终端部署实录</w:t>
      </w:r>
    </w:p>
    <w:p w14:paraId="4419D75A">
      <w:pPr>
        <w:pStyle w:val="11"/>
        <w:rPr>
          <w:rFonts w:ascii="Times New Roman" w:hAnsi="Calibri" w:eastAsia="宋体" w:cs="Times New Roman"/>
          <w:sz w:val="21"/>
        </w:rPr>
      </w:pPr>
      <w:r>
        <w:rPr>
          <w:rFonts w:ascii="Times New Roman" w:hAnsi="Calibri" w:eastAsia="宋体" w:cs="Times New Roman"/>
          <w:sz w:val="21"/>
        </w:rPr>
        <w:t>住宅项目的终端部署，通常更强调基础管理的稳定性，而不是复杂功能的炫目堆叠。盐城悦欣花园安置房项目整体占地</w:t>
      </w:r>
      <w:r>
        <w:rPr>
          <w:rFonts w:ascii="Times New Roman" w:hAnsi="Times New Roman" w:eastAsia="宋体" w:cs="Times New Roman"/>
          <w:sz w:val="21"/>
        </w:rPr>
        <w:t>154</w:t>
      </w:r>
      <w:r>
        <w:rPr>
          <w:rFonts w:ascii="Times New Roman" w:hAnsi="Calibri" w:eastAsia="宋体" w:cs="Times New Roman"/>
          <w:sz w:val="21"/>
        </w:rPr>
        <w:t>亩、建筑面积</w:t>
      </w:r>
      <w:r>
        <w:rPr>
          <w:rFonts w:ascii="Times New Roman" w:hAnsi="Times New Roman" w:eastAsia="宋体" w:cs="Times New Roman"/>
          <w:sz w:val="21"/>
        </w:rPr>
        <w:t>29</w:t>
      </w:r>
      <w:r>
        <w:rPr>
          <w:rFonts w:ascii="Times New Roman" w:hAnsi="Calibri" w:eastAsia="宋体" w:cs="Times New Roman"/>
          <w:sz w:val="21"/>
        </w:rPr>
        <w:t>万平方米，由</w:t>
      </w:r>
      <w:r>
        <w:rPr>
          <w:rFonts w:ascii="Times New Roman" w:hAnsi="Times New Roman" w:eastAsia="宋体" w:cs="Times New Roman"/>
          <w:sz w:val="21"/>
        </w:rPr>
        <w:t>14</w:t>
      </w:r>
      <w:r>
        <w:rPr>
          <w:rFonts w:ascii="Times New Roman" w:hAnsi="Calibri" w:eastAsia="宋体" w:cs="Times New Roman"/>
          <w:sz w:val="21"/>
        </w:rPr>
        <w:t>栋住宅楼、</w:t>
      </w:r>
      <w:r>
        <w:rPr>
          <w:rFonts w:ascii="Times New Roman" w:hAnsi="Times New Roman" w:eastAsia="宋体" w:cs="Times New Roman"/>
          <w:sz w:val="21"/>
        </w:rPr>
        <w:t>1</w:t>
      </w:r>
      <w:r>
        <w:rPr>
          <w:rFonts w:ascii="Times New Roman" w:hAnsi="Calibri" w:eastAsia="宋体" w:cs="Times New Roman"/>
          <w:sz w:val="21"/>
        </w:rPr>
        <w:t>栋大型综合停车楼和</w:t>
      </w:r>
      <w:r>
        <w:rPr>
          <w:rFonts w:ascii="Times New Roman" w:hAnsi="Times New Roman" w:eastAsia="宋体" w:cs="Times New Roman"/>
          <w:sz w:val="21"/>
        </w:rPr>
        <w:t>1</w:t>
      </w:r>
      <w:r>
        <w:rPr>
          <w:rFonts w:ascii="Times New Roman" w:hAnsi="Calibri" w:eastAsia="宋体" w:cs="Times New Roman"/>
          <w:sz w:val="21"/>
        </w:rPr>
        <w:t>所幼儿园组成，可安置</w:t>
      </w:r>
      <w:r>
        <w:rPr>
          <w:rFonts w:ascii="Times New Roman" w:hAnsi="Times New Roman" w:eastAsia="宋体" w:cs="Times New Roman"/>
          <w:sz w:val="21"/>
        </w:rPr>
        <w:t>1208</w:t>
      </w:r>
      <w:r>
        <w:rPr>
          <w:rFonts w:ascii="Times New Roman" w:hAnsi="Calibri" w:eastAsia="宋体" w:cs="Times New Roman"/>
          <w:sz w:val="21"/>
        </w:rPr>
        <w:t>户居民，项目自</w:t>
      </w:r>
      <w:r>
        <w:rPr>
          <w:rFonts w:ascii="Times New Roman" w:hAnsi="Times New Roman" w:eastAsia="宋体" w:cs="Times New Roman"/>
          <w:sz w:val="21"/>
        </w:rPr>
        <w:t>2017</w:t>
      </w:r>
      <w:r>
        <w:rPr>
          <w:rFonts w:ascii="Times New Roman" w:hAnsi="Calibri" w:eastAsia="宋体" w:cs="Times New Roman"/>
          <w:sz w:val="21"/>
        </w:rPr>
        <w:t>年</w:t>
      </w:r>
      <w:r>
        <w:rPr>
          <w:rFonts w:ascii="Times New Roman" w:hAnsi="Times New Roman" w:eastAsia="宋体" w:cs="Times New Roman"/>
          <w:sz w:val="21"/>
        </w:rPr>
        <w:t>9</w:t>
      </w:r>
      <w:r>
        <w:rPr>
          <w:rFonts w:ascii="Times New Roman" w:hAnsi="Calibri" w:eastAsia="宋体" w:cs="Times New Roman"/>
          <w:sz w:val="21"/>
        </w:rPr>
        <w:t>月开工后，在入口处部署人脸识别系统，将进场实名、考勤统计与人员信息库联动，同时配置扬尘噪声在线监测终端，实时采集</w:t>
      </w:r>
      <w:r>
        <w:rPr>
          <w:rFonts w:ascii="Times New Roman" w:hAnsi="Times New Roman" w:eastAsia="宋体" w:cs="Times New Roman"/>
          <w:sz w:val="21"/>
        </w:rPr>
        <w:t>PM2</w:t>
      </w:r>
      <w:r>
        <w:rPr>
          <w:rFonts w:ascii="Times New Roman" w:hAnsi="Calibri" w:eastAsia="宋体" w:cs="Times New Roman"/>
          <w:sz w:val="21"/>
        </w:rPr>
        <w:t>.</w:t>
      </w:r>
      <w:r>
        <w:rPr>
          <w:rFonts w:ascii="Times New Roman" w:hAnsi="Times New Roman" w:eastAsia="宋体" w:cs="Times New Roman"/>
          <w:sz w:val="21"/>
        </w:rPr>
        <w:t>5</w:t>
      </w:r>
      <w:r>
        <w:rPr>
          <w:rFonts w:ascii="Times New Roman" w:hAnsi="Calibri" w:eastAsia="宋体" w:cs="Times New Roman"/>
          <w:sz w:val="21"/>
        </w:rPr>
        <w:t>、</w:t>
      </w:r>
      <w:r>
        <w:rPr>
          <w:rFonts w:ascii="Times New Roman" w:hAnsi="Times New Roman" w:eastAsia="宋体" w:cs="Times New Roman"/>
          <w:sz w:val="21"/>
        </w:rPr>
        <w:t>PM10</w:t>
      </w:r>
      <w:r>
        <w:rPr>
          <w:rFonts w:ascii="Times New Roman" w:hAnsi="Calibri" w:eastAsia="宋体" w:cs="Times New Roman"/>
          <w:sz w:val="21"/>
        </w:rPr>
        <w:t>、噪声、温度和湿度等数据，在浓度达到警戒值时联动喷淋和雾炮设备；项目部还设置了信息指挥中心，将监控画面、作业层重点区域和垂直运输设备运行状态集中呈现，形成了入口识别、环境感知和视频监管相结合的终端体系。</w:t>
      </w:r>
    </w:p>
    <w:p w14:paraId="70A9ADD1">
      <w:pPr>
        <w:pStyle w:val="11"/>
        <w:rPr>
          <w:rFonts w:ascii="Times New Roman" w:hAnsi="Calibri" w:eastAsia="宋体" w:cs="Times New Roman"/>
          <w:sz w:val="21"/>
        </w:rPr>
      </w:pPr>
      <w:r>
        <w:rPr>
          <w:rFonts w:ascii="Times New Roman" w:hAnsi="Calibri" w:eastAsia="宋体" w:cs="Times New Roman"/>
          <w:sz w:val="21"/>
        </w:rPr>
        <w:t>密云国祥雲著商品房项目则体现了另一种较为紧凑的住宅项目接入逻辑。该项目建筑面积</w:t>
      </w:r>
      <w:r>
        <w:rPr>
          <w:rFonts w:ascii="Times New Roman" w:hAnsi="Times New Roman" w:eastAsia="宋体" w:cs="Times New Roman"/>
          <w:sz w:val="21"/>
        </w:rPr>
        <w:t>27500</w:t>
      </w:r>
      <w:r>
        <w:rPr>
          <w:rFonts w:ascii="Times New Roman" w:hAnsi="Calibri" w:eastAsia="宋体" w:cs="Times New Roman"/>
          <w:sz w:val="21"/>
        </w:rPr>
        <w:t>平方米，现场施工人员</w:t>
      </w:r>
      <w:r>
        <w:rPr>
          <w:rFonts w:ascii="Times New Roman" w:hAnsi="Times New Roman" w:eastAsia="宋体" w:cs="Times New Roman"/>
          <w:sz w:val="21"/>
        </w:rPr>
        <w:t>200</w:t>
      </w:r>
      <w:r>
        <w:rPr>
          <w:rFonts w:ascii="Times New Roman" w:hAnsi="Calibri" w:eastAsia="宋体" w:cs="Times New Roman"/>
          <w:sz w:val="21"/>
        </w:rPr>
        <w:t>余人，进场初期即搭建智慧工地平台，在大门设置闸机与人脸识别终端，把实名准入、考勤和安全教育落实情况统一到同一入口；环境监测方面，项目接入远程视频监控和细微颗粒物监测系统，并配套自动环场喷淋装置，使扬尘治理由分散观察转向持续联动；视频数据同时上传至管理平台，形成项目部与监管端可同步查看的管理链条。两个住宅项目的共同启示在于，住宅工地的终端部署不必一开始追求极端复杂，而应优先把实名准入、环境监测和重点区域视频覆盖做实，让常规管理先稳定数字化，再逐步扩展深度。</w:t>
      </w:r>
    </w:p>
    <w:p w14:paraId="4F7454FA">
      <w:pPr>
        <w:pStyle w:val="4"/>
        <w:numPr>
          <w:ilvl w:val="0"/>
          <w:numId w:val="0"/>
        </w:numPr>
        <w:topLinePunct w:val="0"/>
        <w:ind w:left="0" w:leftChars="0" w:firstLine="422" w:firstLineChars="0"/>
        <w:rPr>
          <w:b/>
        </w:rPr>
      </w:pPr>
      <w:r>
        <w:rPr>
          <w:rFonts w:hint="eastAsia" w:ascii="黑体" w:hAnsi="黑体" w:eastAsia="黑体" w:cs="黑体"/>
          <w:b/>
          <w:sz w:val="21"/>
        </w:rPr>
        <w:t>二、</w:t>
      </w:r>
      <w:r>
        <w:t>视频识别终端的部署方法</w:t>
      </w:r>
    </w:p>
    <w:p w14:paraId="3CF4D0D3">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视频布点原则</w:t>
      </w:r>
    </w:p>
    <w:p w14:paraId="0E35D689">
      <w:pPr>
        <w:pStyle w:val="11"/>
        <w:rPr>
          <w:rFonts w:ascii="Times New Roman" w:hAnsi="Calibri" w:eastAsia="宋体" w:cs="Times New Roman"/>
          <w:sz w:val="21"/>
        </w:rPr>
      </w:pPr>
      <w:r>
        <w:rPr>
          <w:rFonts w:ascii="Times New Roman" w:hAnsi="Calibri" w:eastAsia="宋体" w:cs="Times New Roman"/>
          <w:sz w:val="21"/>
        </w:rPr>
        <w:t>视频识别终端的部署，关键不在摄像头数量，而在布点是否真正贴合风险和管理需求。施工现场最值得布设视频识别的区域，通常不是视野最开阔的位置，而是状态最容易失控的位置，如出入口、临边洞口、垂直运输口、塔机回转影响区、深基坑周边、材料集中堆场和交叉作业面。这些区域一旦出现异常，往往会迅速演化为安全、质量或组织问题。布点还必须随施工阶段变化而调整。基坑阶段关注边坡与出土组织，主体阶段更强调高处作业、临边防护和设备交叉影响，装饰安装阶段则要转向室内交叉作业、材料堆放和成品保护。视频部署若停留在固定方案上，很快就会与现场变化脱节。</w:t>
      </w:r>
    </w:p>
    <w:p w14:paraId="0CB05B8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识别任务配置逻辑</w:t>
      </w:r>
    </w:p>
    <w:p w14:paraId="1666DDC6">
      <w:pPr>
        <w:pStyle w:val="11"/>
        <w:rPr>
          <w:rFonts w:ascii="Times New Roman" w:hAnsi="Calibri" w:eastAsia="宋体" w:cs="Times New Roman"/>
          <w:sz w:val="21"/>
        </w:rPr>
      </w:pPr>
      <w:r>
        <w:rPr>
          <w:rFonts w:ascii="Times New Roman" w:hAnsi="Calibri" w:eastAsia="宋体" w:cs="Times New Roman"/>
          <w:sz w:val="21"/>
        </w:rPr>
        <w:t>视频终端真正有价值的地方，在于识别任务配置得当。安全帽佩戴、反光衣穿戴、区域越界、人员聚集、通道占用、明火出现、设备周边违规停留等，属于较适合标准化识别的任务，因为它们与现场管理动作存在直接对应关系。与之相比，那些强依赖经验判断、场景差异极大的事项，不宜过早交给算法独立识别，否则容易制造大量低质量告警。更稳妥的做法，是把识别任务分成基础类、重点类和阶段类。基础类保持全周期运行，重点类布设在高风险区域，阶段类则根据施工转换动态调整。这样既能保证识别有效，又能避免告警过密造成管理疲劳。</w:t>
      </w:r>
    </w:p>
    <w:p w14:paraId="600A4B6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识别结果联动管理事件</w:t>
      </w:r>
    </w:p>
    <w:p w14:paraId="35FD4036">
      <w:pPr>
        <w:pStyle w:val="11"/>
        <w:rPr>
          <w:rFonts w:ascii="Times New Roman" w:hAnsi="Calibri" w:eastAsia="宋体" w:cs="Times New Roman"/>
          <w:sz w:val="21"/>
        </w:rPr>
      </w:pPr>
      <w:r>
        <w:rPr>
          <w:rFonts w:ascii="Times New Roman" w:hAnsi="Calibri" w:eastAsia="宋体" w:cs="Times New Roman"/>
          <w:sz w:val="21"/>
        </w:rPr>
        <w:t>视频识别如果只停留在提示画面上，很难转化为治理能力。真正成熟的部署方式，应使识别结果能够进入问题派发、现场核查、整改反馈和结果销项的管理链条。这里并不是所有告警都要直接生成正式工单，而应根据风险等级分层处理。轻微异常可由现场岗位先行核实，重复性异常和高风险异常则应直接进入闭环流程。谁接收提示、谁判断属实、谁去现场处置、谁完成复核，必须事先明确。只有当识别结果能够持续触发管理事件，视频终端才不只是</w:t>
      </w:r>
      <w:r>
        <w:rPr>
          <w:rFonts w:hint="eastAsia" w:ascii="Times New Roman" w:hAnsi="Times New Roman" w:eastAsia="宋体" w:cs="Times New Roman"/>
          <w:sz w:val="21"/>
          <w:lang w:eastAsia="zh-CN"/>
        </w:rPr>
        <w:t>“</w:t>
      </w:r>
      <w:r>
        <w:rPr>
          <w:rFonts w:ascii="Times New Roman" w:hAnsi="Calibri" w:eastAsia="宋体" w:cs="Times New Roman"/>
          <w:sz w:val="21"/>
        </w:rPr>
        <w:t>看见现场</w:t>
      </w:r>
      <w:r>
        <w:rPr>
          <w:rFonts w:hint="eastAsia" w:ascii="Times New Roman" w:hAnsi="Times New Roman" w:eastAsia="宋体" w:cs="Times New Roman"/>
          <w:sz w:val="21"/>
          <w:lang w:eastAsia="zh-CN"/>
        </w:rPr>
        <w:t>”</w:t>
      </w:r>
      <w:r>
        <w:rPr>
          <w:rFonts w:ascii="Times New Roman" w:hAnsi="Calibri" w:eastAsia="宋体" w:cs="Times New Roman"/>
          <w:sz w:val="21"/>
        </w:rPr>
        <w:t>，而是开始真正参与现场治理。</w:t>
      </w:r>
    </w:p>
    <w:p w14:paraId="3E0A6B76">
      <w:pPr>
        <w:pStyle w:val="4"/>
        <w:numPr>
          <w:ilvl w:val="0"/>
          <w:numId w:val="0"/>
        </w:numPr>
        <w:topLinePunct w:val="0"/>
        <w:ind w:left="0" w:leftChars="0" w:firstLine="422" w:firstLineChars="0"/>
        <w:rPr>
          <w:b/>
        </w:rPr>
      </w:pPr>
      <w:r>
        <w:rPr>
          <w:rFonts w:hint="eastAsia" w:ascii="黑体" w:hAnsi="黑体" w:eastAsia="黑体" w:cs="黑体"/>
          <w:b/>
          <w:sz w:val="21"/>
        </w:rPr>
        <w:t>三、</w:t>
      </w:r>
      <w:r>
        <w:t>定位终端与移动协同的接入方式</w:t>
      </w:r>
    </w:p>
    <w:p w14:paraId="129EFBB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定位终端现场适配</w:t>
      </w:r>
    </w:p>
    <w:p w14:paraId="067F7828">
      <w:pPr>
        <w:pStyle w:val="11"/>
        <w:rPr>
          <w:rFonts w:ascii="Times New Roman" w:hAnsi="Calibri" w:eastAsia="宋体" w:cs="Times New Roman"/>
          <w:sz w:val="21"/>
        </w:rPr>
      </w:pPr>
      <w:r>
        <w:rPr>
          <w:rFonts w:ascii="Times New Roman" w:hAnsi="Calibri" w:eastAsia="宋体" w:cs="Times New Roman"/>
          <w:sz w:val="21"/>
        </w:rPr>
        <w:t>定位终端的接入价值，不在于把所有人员和设备都实时画在电子地图上，而在于让关键对象的空间状态能够被及时掌握。不同项目的定位需求差异很大。房屋建筑项目更强调楼层、分区和垂直空间中的位置识别，线性工程更看重跨区域分布和长距离调度，地下与室内复杂场景则更依赖局部区域的精细定位。接入时真正需要先想清楚的，是哪些对象必须知道在哪里、为什么必须知道、知道之后谁来处理。高风险作业区人员管理、禁入区预警、大型机具调度和应急疏散，通常更适合作为定位终端优先接入的场景。</w:t>
      </w:r>
    </w:p>
    <w:p w14:paraId="723B1E3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移动应用功能接入</w:t>
      </w:r>
    </w:p>
    <w:p w14:paraId="6B8ABA29">
      <w:pPr>
        <w:pStyle w:val="11"/>
        <w:rPr>
          <w:rFonts w:ascii="Times New Roman" w:hAnsi="Calibri" w:eastAsia="宋体" w:cs="Times New Roman"/>
          <w:sz w:val="21"/>
        </w:rPr>
      </w:pPr>
      <w:r>
        <w:rPr>
          <w:rFonts w:ascii="Times New Roman" w:hAnsi="Calibri" w:eastAsia="宋体" w:cs="Times New Roman"/>
          <w:sz w:val="21"/>
        </w:rPr>
        <w:t>移动协同是最贴近日常管理动作的一类终端接入。巡检、验收、问题上报、拍照留痕、任务接收、审批确认等现场业务，本来就发生在移动状态下，若系统必须回到办公室才能完成，很多流程迟早会重新滑回线下。移动应用不应简单照搬后台全部功能，而应围绕现场最常见、最需要即时处理的动作设计轻量入口。任务发起、位置确认、影像上传、状态反馈和结果签认，通常是最值得保留的核心功能。移动端的价值，不在于功能多，而在于让一线岗位愿意用、用得快、用完能形成记录。</w:t>
      </w:r>
    </w:p>
    <w:p w14:paraId="0BA21C9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定位与移动协同联动</w:t>
      </w:r>
    </w:p>
    <w:p w14:paraId="44FF883A">
      <w:pPr>
        <w:pStyle w:val="11"/>
        <w:rPr>
          <w:rFonts w:ascii="Times New Roman" w:hAnsi="Calibri" w:eastAsia="宋体" w:cs="Times New Roman"/>
          <w:sz w:val="21"/>
        </w:rPr>
      </w:pPr>
      <w:r>
        <w:rPr>
          <w:rFonts w:ascii="Times New Roman" w:hAnsi="Calibri" w:eastAsia="宋体" w:cs="Times New Roman"/>
          <w:sz w:val="21"/>
        </w:rPr>
        <w:t>定位数据与移动业务一旦联动，现场许多原本依赖口头确认的动作就会变得更准确。巡检是否在规定区域完成、问题是否来自真实点位、响应人员是否已到达现场、应急状态下相关人员是否已撤离，这些都可以在定位与移动协同之间建立直接对应关系。这样形成的不是简单的数据叠加，而是空间状态与业务动作的联合表达。对大型工地和空间结构复杂的项目而言，这种联动能明显缩短判断与调度时间。也正因为如此，定位终端与移动应用不宜分开设计。前者解决对象在哪里，后者解决对象做了什么，二者真正结合之后，感知终端才会从采集工具转变为现场协同的重要基础。</w:t>
      </w:r>
    </w:p>
    <w:p w14:paraId="6A94B6B6">
      <w:pPr>
        <w:pStyle w:val="3"/>
        <w:numPr>
          <w:ilvl w:val="0"/>
          <w:numId w:val="0"/>
        </w:numPr>
        <w:ind w:left="0" w:leftChars="0" w:firstLine="0" w:firstLineChars="0"/>
      </w:pPr>
      <w:bookmarkStart w:id="19" w:name="_Toc18465"/>
      <w:r>
        <w:rPr>
          <w:rFonts w:hint="eastAsia" w:ascii="宋体" w:hAnsi="宋体" w:eastAsia="黑体" w:cs="宋体"/>
          <w:b/>
          <w:bCs/>
          <w:kern w:val="44"/>
          <w:sz w:val="30"/>
          <w:szCs w:val="30"/>
        </w:rPr>
        <w:t>第六节</w:t>
      </w:r>
      <w:r>
        <w:rPr>
          <w:rFonts w:hint="eastAsia" w:cs="宋体"/>
          <w:b/>
          <w:bCs/>
          <w:kern w:val="44"/>
          <w:sz w:val="30"/>
          <w:szCs w:val="30"/>
          <w:lang w:val="en-US" w:eastAsia="zh-CN"/>
        </w:rPr>
        <w:t xml:space="preserve"> </w:t>
      </w:r>
      <w:r>
        <w:t>系统贯通与运行保障</w:t>
      </w:r>
      <w:bookmarkEnd w:id="19"/>
    </w:p>
    <w:p w14:paraId="5A3F70F9">
      <w:pPr>
        <w:pStyle w:val="4"/>
        <w:bidi w:val="0"/>
        <w:rPr>
          <w:rFonts w:hint="eastAsia"/>
        </w:rPr>
      </w:pPr>
      <w:r>
        <w:rPr>
          <w:rFonts w:hint="eastAsia"/>
        </w:rPr>
        <w:t>一、与项目管理系统的接口衔接</w:t>
      </w:r>
    </w:p>
    <w:p w14:paraId="4A1FC248">
      <w:pPr>
        <w:pStyle w:val="11"/>
        <w:rPr>
          <w:rFonts w:hint="eastAsia" w:ascii="Times New Roman" w:hAnsi="Calibri" w:eastAsia="宋体" w:cs="Times New Roman"/>
          <w:sz w:val="21"/>
        </w:rPr>
      </w:pPr>
      <w:r>
        <w:rPr>
          <w:rFonts w:hint="eastAsia" w:ascii="Times New Roman" w:hAnsi="Calibri" w:eastAsia="宋体" w:cs="Times New Roman"/>
          <w:sz w:val="21"/>
        </w:rPr>
        <w:t>（一）接口需求识别</w:t>
      </w:r>
    </w:p>
    <w:p w14:paraId="6E5B4805">
      <w:pPr>
        <w:pStyle w:val="11"/>
        <w:rPr>
          <w:rFonts w:hint="eastAsia" w:ascii="Times New Roman" w:hAnsi="Calibri" w:eastAsia="宋体" w:cs="Times New Roman"/>
          <w:sz w:val="21"/>
        </w:rPr>
      </w:pPr>
      <w:r>
        <w:rPr>
          <w:rFonts w:hint="eastAsia" w:ascii="Times New Roman" w:hAnsi="Calibri" w:eastAsia="宋体" w:cs="Times New Roman"/>
          <w:sz w:val="21"/>
        </w:rPr>
        <w:t>智慧工地平台建设到一定阶段后，系统价值能否继续提升，往往不再取决于单项功能数量，而取决于现场平台与项目管理系统之间能否形成稳定衔接。施工现场每天都会产生大量进度、质量、安全、劳务、设备和材料数据，若这些信息长期停留在现场端内部，企业层面的计划协调、过程跟踪和综合分析就难以获得连续支撑，平台最终也容易停留在项目部局部使用层面。接口建设首先要解决的，不是技术连通本身，而是把交换需求识别清楚。哪些数据属于基础主数据，哪些属于业务状态数据，哪些适合实时传递，哪些适合按节点汇总，哪些只保留在源系统作为过程留痕，都应在建设前形成清楚界定。</w:t>
      </w:r>
    </w:p>
    <w:p w14:paraId="120BA561">
      <w:pPr>
        <w:pStyle w:val="11"/>
        <w:rPr>
          <w:rFonts w:hint="eastAsia" w:ascii="Times New Roman" w:hAnsi="Calibri" w:eastAsia="宋体" w:cs="Times New Roman"/>
          <w:sz w:val="21"/>
        </w:rPr>
      </w:pPr>
      <w:r>
        <w:rPr>
          <w:rFonts w:hint="eastAsia" w:ascii="Times New Roman" w:hAnsi="Calibri" w:eastAsia="宋体" w:cs="Times New Roman"/>
          <w:sz w:val="21"/>
        </w:rPr>
        <w:t>需求识别的核心，不是追求交换内容越多越好，而是让交换对象与管理场景保持对应。项目管理系统真正需要的，并不是现场平台的原始数据全量复制，而是能够反映现场运行状态的关键数据。进度管理更关注节点完成、偏差形成和调整结果，质量安全管理更关注问题状态、整改流转和风险等级变化，劳务与资源管理则更需要到岗、在场、使用和消耗等动态信息。只有把现场平台中的零散数据整理成可供上层系统识别和调用的交换对象，系统贯通才不会变成表面连通。接口需求识别说到底，是先回答“为什么连、连什么、给谁用、在什么环节发挥作用”。</w:t>
      </w:r>
    </w:p>
    <w:p w14:paraId="6EA6C882">
      <w:pPr>
        <w:pStyle w:val="11"/>
        <w:rPr>
          <w:rFonts w:hint="eastAsia" w:ascii="Times New Roman" w:hAnsi="Calibri" w:eastAsia="宋体" w:cs="Times New Roman"/>
          <w:sz w:val="21"/>
        </w:rPr>
      </w:pPr>
      <w:r>
        <w:rPr>
          <w:rFonts w:hint="eastAsia" w:ascii="Times New Roman" w:hAnsi="Calibri" w:eastAsia="宋体" w:cs="Times New Roman"/>
          <w:sz w:val="21"/>
        </w:rPr>
        <w:t>从工程实践看，接口需求还应与项目管理层级保持一致。项目级管理更关注总体状态、节点偏差和关键风险，专业级管理更关注工序推进、问题处置和资源协调，企业层管理则更强调项目之间的口径统一和过程比较。若不区分层级，现场端很容易把大量低价值数据同步上送，后台则被无效信息淹没；反过来，若只传递结果而不传递必要状态，企业端又无法看到偏差形成路径。也正因为如此，接口需求识别不能只由技术团队单独完成，而应由项目管理、业务部门和信息化岗位共同确认，使交换对象既符合技术实现条件，也真正服务管理使用。</w:t>
      </w:r>
    </w:p>
    <w:p w14:paraId="789909F6">
      <w:pPr>
        <w:pStyle w:val="11"/>
        <w:rPr>
          <w:rFonts w:hint="eastAsia" w:ascii="Times New Roman" w:hAnsi="Calibri" w:eastAsia="宋体" w:cs="Times New Roman"/>
          <w:sz w:val="21"/>
        </w:rPr>
      </w:pPr>
      <w:r>
        <w:rPr>
          <w:rFonts w:hint="eastAsia" w:ascii="Times New Roman" w:hAnsi="Calibri" w:eastAsia="宋体" w:cs="Times New Roman"/>
          <w:sz w:val="21"/>
        </w:rPr>
        <w:t>（二）接口规则标准设定</w:t>
      </w:r>
    </w:p>
    <w:p w14:paraId="0F636972">
      <w:pPr>
        <w:pStyle w:val="11"/>
        <w:rPr>
          <w:rFonts w:hint="eastAsia" w:ascii="Times New Roman" w:hAnsi="Calibri" w:eastAsia="宋体" w:cs="Times New Roman"/>
          <w:sz w:val="21"/>
        </w:rPr>
      </w:pPr>
      <w:r>
        <w:rPr>
          <w:rFonts w:hint="eastAsia" w:ascii="Times New Roman" w:hAnsi="Calibri" w:eastAsia="宋体" w:cs="Times New Roman"/>
          <w:sz w:val="21"/>
        </w:rPr>
        <w:t>需求识别完成之后，接口能否长期稳定运行，关键取决于规则是否统一。很多项目在初期测试时能够打通接口，但运行一段时间后便出现失效、误传或重复推送，根本原因通常不在传输能力，而在对象编码、字段口径、状态定义、时间规则和更新边界上缺少统一标准。现场平台按作业面组织数据，项目管理系统按专业或合同包组织数据；现场平台中的“已整改”在另一系统中可能只是“待复核”；同一设备在不同系统中若采用不同编号，也会使后续映射不断失真。接口规则标准的作用，就是把数据交换由单纯传送转变为一致表达。</w:t>
      </w:r>
    </w:p>
    <w:p w14:paraId="45BFA9BC">
      <w:pPr>
        <w:pStyle w:val="11"/>
        <w:rPr>
          <w:rFonts w:hint="eastAsia" w:ascii="Times New Roman" w:hAnsi="Calibri" w:eastAsia="宋体" w:cs="Times New Roman"/>
          <w:sz w:val="21"/>
        </w:rPr>
      </w:pPr>
      <w:r>
        <w:rPr>
          <w:rFonts w:hint="eastAsia" w:ascii="Times New Roman" w:hAnsi="Calibri" w:eastAsia="宋体" w:cs="Times New Roman"/>
          <w:sz w:val="21"/>
        </w:rPr>
        <w:t>较为稳妥的规则体系，应当同时覆盖对象主标识、字段映射关系、状态对照表、时间戳规则、交换频率、异常返回方式和权限边界。哪些字段是唯一识别字段，哪些字段允许为空，哪些状态必须一一对应，哪些字段只允许单向传输，哪些数据经交换后不得反写源系统，都应在接口规则中提前说明。更重要的是，规则不能只由技术人员单独确定，还应经过业务部门确认。因为字段名称相同，不等于管理含义相同；状态文字看似接近，不等于流程位置一致。只有技术规则与业务口径同时统一，接口才具备长期可用性。</w:t>
      </w:r>
    </w:p>
    <w:p w14:paraId="3307FE53">
      <w:pPr>
        <w:pStyle w:val="11"/>
        <w:rPr>
          <w:rFonts w:hint="eastAsia" w:ascii="Times New Roman" w:hAnsi="Calibri" w:eastAsia="宋体" w:cs="Times New Roman"/>
          <w:sz w:val="21"/>
        </w:rPr>
      </w:pPr>
      <w:r>
        <w:rPr>
          <w:rFonts w:hint="eastAsia" w:ascii="Times New Roman" w:hAnsi="Calibri" w:eastAsia="宋体" w:cs="Times New Roman"/>
          <w:sz w:val="21"/>
        </w:rPr>
        <w:t>接口规则标准设定还应强调版本管理。项目建设周期长，业务流程、管理要求和系统模块都可能随阶段变化而调整，若接口规则一经设定便长期不变，后续新增字段、状态扩展和业务改造就容易造成新旧口径混杂。更合理的做法，是把规则版本、变更时间和生效范围同步记录下来，对涉及核心对象标识和关键状态口径的调整设置更严格的审批与公告机制。这样一来，接口规则就不再只是一次性的技术文档，而成为系统贯通长期稳定运行的制度基础。</w:t>
      </w:r>
    </w:p>
    <w:p w14:paraId="3FB5DEB9">
      <w:pPr>
        <w:pStyle w:val="11"/>
        <w:rPr>
          <w:rFonts w:hint="eastAsia" w:ascii="Times New Roman" w:hAnsi="Calibri" w:eastAsia="宋体" w:cs="Times New Roman"/>
          <w:sz w:val="21"/>
        </w:rPr>
      </w:pPr>
      <w:r>
        <w:rPr>
          <w:rFonts w:hint="eastAsia" w:ascii="Times New Roman" w:hAnsi="Calibri" w:eastAsia="宋体" w:cs="Times New Roman"/>
          <w:sz w:val="21"/>
        </w:rPr>
        <w:t>（三）接口运行问题防控</w:t>
      </w:r>
    </w:p>
    <w:p w14:paraId="25F44930">
      <w:pPr>
        <w:pStyle w:val="11"/>
        <w:rPr>
          <w:rFonts w:hint="eastAsia" w:ascii="Times New Roman" w:hAnsi="Calibri" w:eastAsia="宋体" w:cs="Times New Roman"/>
          <w:sz w:val="21"/>
        </w:rPr>
      </w:pPr>
      <w:r>
        <w:rPr>
          <w:rFonts w:hint="eastAsia" w:ascii="Times New Roman" w:hAnsi="Calibri" w:eastAsia="宋体" w:cs="Times New Roman"/>
          <w:sz w:val="21"/>
        </w:rPr>
        <w:t>接口建成之后，并不意味着贯通工作结束。系统之间的连接本质上是一条持续运行的数据通道，它最怕的不是短时间中断，而是带着问题长期运行。数据延迟、字段丢失、状态错位、重复写入、历史覆盖、时点倒挂等问题，都属于典型的运行风险。这类问题之所以危险，正在于表面上接口仍在工作，管理者也能够看到页面更新，但系统中反映出来的内容已经偏离现场真实状态。问题防控因此不应等到业务部门投诉后才启动，而应成为接口运行的常态机制。</w:t>
      </w:r>
    </w:p>
    <w:p w14:paraId="06221F78">
      <w:pPr>
        <w:pStyle w:val="11"/>
        <w:rPr>
          <w:rFonts w:hint="eastAsia" w:ascii="Times New Roman" w:hAnsi="Calibri" w:eastAsia="宋体" w:cs="Times New Roman"/>
          <w:sz w:val="21"/>
        </w:rPr>
      </w:pPr>
      <w:r>
        <w:rPr>
          <w:rFonts w:hint="eastAsia" w:ascii="Times New Roman" w:hAnsi="Calibri" w:eastAsia="宋体" w:cs="Times New Roman"/>
          <w:sz w:val="21"/>
        </w:rPr>
        <w:t>更合理的做法，是在接口层设置校验、预警、回溯和重传机制。关键字段缺失时应自动拦截，交换结果异常时应及时提示，状态冲突时能够定位到源头记录，传输失败后应保留日志并支持定向重发。对于持续性异常，还应建立问题分级和处置时限，明确由谁确认、谁修复、谁复核。接口防控真正要解决的，不只是“传过去了没有”，而是“传过去的内容是否完整、是否准确、是否仍然保持源系统含义”。只有把运行期的隐性问题纳入持续监控，系统贯通才具有可持续性。</w:t>
      </w:r>
    </w:p>
    <w:p w14:paraId="6F16460F">
      <w:pPr>
        <w:pStyle w:val="11"/>
        <w:rPr>
          <w:rFonts w:hint="eastAsia" w:ascii="Times New Roman" w:hAnsi="Calibri" w:eastAsia="宋体" w:cs="Times New Roman"/>
          <w:sz w:val="21"/>
        </w:rPr>
      </w:pPr>
      <w:r>
        <w:rPr>
          <w:rFonts w:hint="eastAsia" w:ascii="Times New Roman" w:hAnsi="Calibri" w:eastAsia="宋体" w:cs="Times New Roman"/>
          <w:sz w:val="21"/>
        </w:rPr>
        <w:t>从管理角度看，接口运行问题防控还应坚持“技术修复与业务回看并重”的原则。某项数据长期缺失，未必只是程序故障，也可能是源头岗位没有按要求更新；某类状态反复错位，也可能是两个系统对同一业务节点的理解并不一致。若异常一出现就只从技术层面处理，很多问题会在表面修复后反复发生。真正成熟的防控机制，应同时包含问题识别、原因定位、责任回看和规则修订四个层次，使每一次接口异常都能反过来推动系统规则和管理流程逐步完善。</w:t>
      </w:r>
    </w:p>
    <w:p w14:paraId="0BD59B7E">
      <w:pPr>
        <w:pStyle w:val="4"/>
        <w:bidi w:val="0"/>
        <w:rPr>
          <w:rFonts w:hint="eastAsia"/>
        </w:rPr>
      </w:pPr>
      <w:r>
        <w:rPr>
          <w:rFonts w:hint="eastAsia"/>
        </w:rPr>
        <w:t>二、与成本合同财务系统的数据联通</w:t>
      </w:r>
    </w:p>
    <w:p w14:paraId="41ACB474">
      <w:pPr>
        <w:pStyle w:val="11"/>
        <w:rPr>
          <w:rFonts w:hint="eastAsia" w:ascii="Times New Roman" w:hAnsi="Calibri" w:eastAsia="宋体" w:cs="Times New Roman"/>
          <w:sz w:val="21"/>
        </w:rPr>
      </w:pPr>
      <w:r>
        <w:rPr>
          <w:rFonts w:hint="eastAsia" w:ascii="Times New Roman" w:hAnsi="Calibri" w:eastAsia="宋体" w:cs="Times New Roman"/>
          <w:sz w:val="21"/>
        </w:rPr>
        <w:t>（一）成本数据贯通路径</w:t>
      </w:r>
    </w:p>
    <w:p w14:paraId="6E6B0D99">
      <w:pPr>
        <w:pStyle w:val="11"/>
        <w:rPr>
          <w:rFonts w:hint="eastAsia" w:ascii="Times New Roman" w:hAnsi="Calibri" w:eastAsia="宋体" w:cs="Times New Roman"/>
          <w:sz w:val="21"/>
        </w:rPr>
      </w:pPr>
      <w:r>
        <w:rPr>
          <w:rFonts w:hint="eastAsia" w:ascii="Times New Roman" w:hAnsi="Calibri" w:eastAsia="宋体" w:cs="Times New Roman"/>
          <w:sz w:val="21"/>
        </w:rPr>
        <w:t>智慧工地平台若只停留在进度、质量和安全层面，而无法与成本系统形成基本联通，现场数据的使用深度就会受到限制。并不是因为现场平台要承担造价职能，而是因为现场业务状态本身就是成本数据的重要来源。实物量完成、材料领用、机械使用、返工记录、变更发生和停工待料等信息，都会通过不同路径进入成本形成过程。数据联通的重点，不是让现场平台直接承担成本核算，而是把现场业务状态稳定传递给成本系统，使后者能够在更接近过程的时间点获得真实依据。</w:t>
      </w:r>
    </w:p>
    <w:p w14:paraId="48161D23">
      <w:pPr>
        <w:pStyle w:val="11"/>
        <w:rPr>
          <w:rFonts w:hint="eastAsia" w:ascii="Times New Roman" w:hAnsi="Calibri" w:eastAsia="宋体" w:cs="Times New Roman"/>
          <w:sz w:val="21"/>
        </w:rPr>
      </w:pPr>
      <w:r>
        <w:rPr>
          <w:rFonts w:hint="eastAsia" w:ascii="Times New Roman" w:hAnsi="Calibri" w:eastAsia="宋体" w:cs="Times New Roman"/>
          <w:sz w:val="21"/>
        </w:rPr>
        <w:t>这种贯通应当建立清楚的数据路径。现场平台负责提供对象清晰、时间明确、责任可追的业务事实，成本系统负责完成归集、归类、比较和计算。两者之间不应形成重复维护，而应围绕统一对象标识和统一时间规则完成关联。比如，实物量数据应能够与清单项或成本单元对应，材料领用应能与分区、分项或责任单元挂接，机械使用应能与作业时段、设备台账和施工任务形成映射。数据路径一旦清楚，成本系统获得的就不再是孤立结果，而是与现场状态相连的输入依据。本节强调的是技术联通和路径稳定，而不是进一步展开偏差判断和成本分析方法。</w:t>
      </w:r>
    </w:p>
    <w:p w14:paraId="0CF34B95">
      <w:pPr>
        <w:pStyle w:val="11"/>
        <w:rPr>
          <w:rFonts w:hint="eastAsia" w:ascii="Times New Roman" w:hAnsi="Calibri" w:eastAsia="宋体" w:cs="Times New Roman"/>
          <w:sz w:val="21"/>
        </w:rPr>
      </w:pPr>
      <w:r>
        <w:rPr>
          <w:rFonts w:hint="eastAsia" w:ascii="Times New Roman" w:hAnsi="Calibri" w:eastAsia="宋体" w:cs="Times New Roman"/>
          <w:sz w:val="21"/>
        </w:rPr>
        <w:t>还应看到，成本数据联通的价值，首先在于消除信息割裂。过去很多项目中，现场端记录的是施工事实，成本端记录的是归集结果，两套系统之间缺少连续对应，导致同一项工作在不同系统中存在不同表达。路径打通之后，现场形成的实物量、资源消耗和异常记录，便能够以更稳定的方式进入成本系统，既减少重复录入，也为后续成本分析提供更扎实的源头依据。也就是说，这里的联通重点不是“让现场系统会算钱”，而是“让成本系统能够更及时、更准确地接收到与成本形成相关的业务事实”。</w:t>
      </w:r>
    </w:p>
    <w:p w14:paraId="33C1AFA5">
      <w:pPr>
        <w:pStyle w:val="11"/>
        <w:rPr>
          <w:rFonts w:hint="eastAsia" w:ascii="Times New Roman" w:hAnsi="Calibri" w:eastAsia="宋体" w:cs="Times New Roman"/>
          <w:sz w:val="21"/>
        </w:rPr>
      </w:pPr>
      <w:r>
        <w:rPr>
          <w:rFonts w:hint="eastAsia" w:ascii="Times New Roman" w:hAnsi="Calibri" w:eastAsia="宋体" w:cs="Times New Roman"/>
          <w:sz w:val="21"/>
        </w:rPr>
        <w:t>（二）合同信息共享机制</w:t>
      </w:r>
    </w:p>
    <w:p w14:paraId="09BEC9E6">
      <w:pPr>
        <w:pStyle w:val="11"/>
        <w:rPr>
          <w:rFonts w:hint="eastAsia" w:ascii="Times New Roman" w:hAnsi="Calibri" w:eastAsia="宋体" w:cs="Times New Roman"/>
          <w:sz w:val="21"/>
        </w:rPr>
      </w:pPr>
      <w:r>
        <w:rPr>
          <w:rFonts w:hint="eastAsia" w:ascii="Times New Roman" w:hAnsi="Calibri" w:eastAsia="宋体" w:cs="Times New Roman"/>
          <w:sz w:val="21"/>
        </w:rPr>
        <w:t>成本系统之外，合同系统也是系统贯通中的重要对象。施工现场中的大量记录都带有明确合同属性，例如合同包划分、责任边界、计量口径、节点定义、变更编号、签证来源和资料归档要求。如果现场平台无法与合同主数据建立对应，许多过程记录虽然存在，却难以在后续系统中保持一致身份。合同信息共享的核心，不是把合同文本整体搬入现场平台，而是把与现场业务直接相关的关键信息提取出来，形成稳定的映射关系。</w:t>
      </w:r>
    </w:p>
    <w:p w14:paraId="2AEB8A5F">
      <w:pPr>
        <w:pStyle w:val="11"/>
        <w:rPr>
          <w:rFonts w:hint="eastAsia" w:ascii="Times New Roman" w:hAnsi="Calibri" w:eastAsia="宋体" w:cs="Times New Roman"/>
          <w:sz w:val="21"/>
        </w:rPr>
      </w:pPr>
      <w:r>
        <w:rPr>
          <w:rFonts w:hint="eastAsia" w:ascii="Times New Roman" w:hAnsi="Calibri" w:eastAsia="宋体" w:cs="Times New Roman"/>
          <w:sz w:val="21"/>
        </w:rPr>
        <w:t>这类共享信息通常包括合同包编码、合同对象名称、专业范围、计量单位、节点代码、变更编号、索引字段和版本信息。共享机制建立之后，现场产生的验收记录、实物量、变更事项和过程影像，就可以围绕统一合同标识进行组织，避免同一事项在现场平台、合同系统和后续归档中出现多套编号、多种叫法和多次解释。这里需要特别控制边界：共享的重点在于统一身份和统一索引，而不是在本节展开履约认定、责任归属和结算争议处理。也就是说，合同共享机制服务的是系统识别一致性，而不是合同管理结论本身。</w:t>
      </w:r>
    </w:p>
    <w:p w14:paraId="7BEF3CD5">
      <w:pPr>
        <w:pStyle w:val="11"/>
        <w:rPr>
          <w:rFonts w:hint="eastAsia" w:ascii="Times New Roman" w:hAnsi="Calibri" w:eastAsia="宋体" w:cs="Times New Roman"/>
          <w:sz w:val="21"/>
        </w:rPr>
      </w:pPr>
      <w:r>
        <w:rPr>
          <w:rFonts w:hint="eastAsia" w:ascii="Times New Roman" w:hAnsi="Calibri" w:eastAsia="宋体" w:cs="Times New Roman"/>
          <w:sz w:val="21"/>
        </w:rPr>
        <w:t>从系统贯通角度看，合同共享还有一个重要作用，就是稳定事项之间的对应关系。现场端产生的问题、变更、实物量和影像资料，一旦能够与合同标识保持一致，后续无论进入项目管理系统、成本系统还是资料归档系统，都能沿着同一索引持续追踪。这样做能够显著减少“同一事项多次命名、反复解释、来回核对”的低效状态，使系统之间的联通更接近真实业务逻辑。</w:t>
      </w:r>
    </w:p>
    <w:p w14:paraId="20204D26">
      <w:pPr>
        <w:pStyle w:val="11"/>
        <w:rPr>
          <w:rFonts w:hint="eastAsia" w:ascii="Times New Roman" w:hAnsi="Calibri" w:eastAsia="宋体" w:cs="Times New Roman"/>
          <w:sz w:val="21"/>
        </w:rPr>
      </w:pPr>
      <w:r>
        <w:rPr>
          <w:rFonts w:hint="eastAsia" w:ascii="Times New Roman" w:hAnsi="Calibri" w:eastAsia="宋体" w:cs="Times New Roman"/>
          <w:sz w:val="21"/>
        </w:rPr>
        <w:t>（三）财务联通边界控制</w:t>
      </w:r>
    </w:p>
    <w:p w14:paraId="177466E2">
      <w:pPr>
        <w:pStyle w:val="11"/>
        <w:rPr>
          <w:rFonts w:hint="eastAsia" w:ascii="Times New Roman" w:hAnsi="Calibri" w:eastAsia="宋体" w:cs="Times New Roman"/>
          <w:sz w:val="21"/>
        </w:rPr>
      </w:pPr>
      <w:r>
        <w:rPr>
          <w:rFonts w:hint="eastAsia" w:ascii="Times New Roman" w:hAnsi="Calibri" w:eastAsia="宋体" w:cs="Times New Roman"/>
          <w:sz w:val="21"/>
        </w:rPr>
        <w:t>与项目管理系统和成本合同系统相比，财务系统的数据联通必须更强调边界。原因在于财务系统承载着付款、记账、结算、税务和资金计划等高敏感信息，若联通范围设置不当，不仅增加管理风险，也容易导致职责交叉。智慧工地平台与财务系统之间的关系，更适合理解为必要连接，而非深度替代。哪些数据可以共享，哪些只能单向查询，哪些必须经过授权才能读取，哪些内容不得在现场平台中直接修改，都应在建设初期先划清。</w:t>
      </w:r>
    </w:p>
    <w:p w14:paraId="3A36430E">
      <w:pPr>
        <w:pStyle w:val="11"/>
        <w:rPr>
          <w:rFonts w:hint="eastAsia" w:ascii="Times New Roman" w:hAnsi="Calibri" w:eastAsia="宋体" w:cs="Times New Roman"/>
          <w:sz w:val="21"/>
        </w:rPr>
      </w:pPr>
      <w:r>
        <w:rPr>
          <w:rFonts w:hint="eastAsia" w:ascii="Times New Roman" w:hAnsi="Calibri" w:eastAsia="宋体" w:cs="Times New Roman"/>
          <w:sz w:val="21"/>
        </w:rPr>
        <w:t>较为稳妥的联通方式，是让现场平台提供事实类数据，让财务系统保留资金处理主权。进度确认、实物量状态、验收结果、节点完成记录和合同标识等信息，可以作为财务审核或支付核验的外部依据，但财务审批、账务处理和支付执行应继续由财务系统独立完成。边界控制还应包括权限分层、字段脱敏、访问留痕和审计日志等机制，确保不同层级人员只能读取与本岗位相关的信息。系统贯通在此处强调的是接口边界、数据安全和职责分离，而不是把财务处理流程搬进现场平台。边界守得住，联通才不会演变为新的管理风险。</w:t>
      </w:r>
    </w:p>
    <w:p w14:paraId="339B6C25">
      <w:pPr>
        <w:pStyle w:val="11"/>
        <w:rPr>
          <w:rFonts w:hint="eastAsia" w:ascii="Times New Roman" w:hAnsi="Calibri" w:eastAsia="宋体" w:cs="Times New Roman"/>
          <w:sz w:val="21"/>
        </w:rPr>
      </w:pPr>
      <w:r>
        <w:rPr>
          <w:rFonts w:hint="eastAsia" w:ascii="Times New Roman" w:hAnsi="Calibri" w:eastAsia="宋体" w:cs="Times New Roman"/>
          <w:sz w:val="21"/>
        </w:rPr>
        <w:t>财务联通的另一个重点，是防止业务系统和财务系统之间出现职责错位。业务平台可以提供现场事实和节点状态，但不应直接承担财务确认、支付执行和账务变更功能。若边界模糊，现场数据与财务数据之间很容易出现理解冲突，既影响财务安全，也削弱系统可信度。也正因为如此，财务联通更适合采用“必要共享、分级可见、留痕可审”的思路，在保证业务信息能够为财务提供支持的同时，守住各自系统的权限边界和管理边界。</w:t>
      </w:r>
    </w:p>
    <w:p w14:paraId="4CBEF719">
      <w:pPr>
        <w:pStyle w:val="4"/>
        <w:bidi w:val="0"/>
        <w:rPr>
          <w:rFonts w:hint="eastAsia"/>
        </w:rPr>
      </w:pPr>
      <w:r>
        <w:rPr>
          <w:rFonts w:hint="eastAsia"/>
        </w:rPr>
        <w:t>三、与监管平台的数据交换逻辑</w:t>
      </w:r>
    </w:p>
    <w:p w14:paraId="5A25A9E0">
      <w:pPr>
        <w:pStyle w:val="11"/>
        <w:rPr>
          <w:rFonts w:hint="eastAsia" w:ascii="Times New Roman" w:hAnsi="Calibri" w:eastAsia="宋体" w:cs="Times New Roman"/>
          <w:sz w:val="21"/>
        </w:rPr>
      </w:pPr>
      <w:r>
        <w:rPr>
          <w:rFonts w:hint="eastAsia" w:ascii="Times New Roman" w:hAnsi="Calibri" w:eastAsia="宋体" w:cs="Times New Roman"/>
          <w:sz w:val="21"/>
        </w:rPr>
        <w:t>（一）监管报送内容结构化</w:t>
      </w:r>
    </w:p>
    <w:p w14:paraId="0077D3C5">
      <w:pPr>
        <w:pStyle w:val="11"/>
        <w:rPr>
          <w:rFonts w:hint="eastAsia" w:ascii="Times New Roman" w:hAnsi="Calibri" w:eastAsia="宋体" w:cs="Times New Roman"/>
          <w:sz w:val="21"/>
        </w:rPr>
      </w:pPr>
      <w:r>
        <w:rPr>
          <w:rFonts w:hint="eastAsia" w:ascii="Times New Roman" w:hAnsi="Calibri" w:eastAsia="宋体" w:cs="Times New Roman"/>
          <w:sz w:val="21"/>
        </w:rPr>
        <w:t>智慧工地建设发展到一定阶段后，通常都需要与监管平台进行数据交换。实名制、环境监测、视频接入、特种设备状态、危大工程预警、质量安全记录等内容，越来越多地进入监管报送范围。问题在于，监管平台需要的是结构化、标准化和时效清楚的数据，而施工现场原始数据的来源复杂、粒度不同、表达方式也不一致。数据交换的第一步因此不是上传，而是先做结构化整理，把现场平台中对象、状态、时间和事件转化为符合监管要求的报送要素。</w:t>
      </w:r>
    </w:p>
    <w:p w14:paraId="5CA2313E">
      <w:pPr>
        <w:pStyle w:val="11"/>
        <w:rPr>
          <w:rFonts w:hint="eastAsia" w:ascii="Times New Roman" w:hAnsi="Calibri" w:eastAsia="宋体" w:cs="Times New Roman"/>
          <w:sz w:val="21"/>
        </w:rPr>
      </w:pPr>
      <w:r>
        <w:rPr>
          <w:rFonts w:hint="eastAsia" w:ascii="Times New Roman" w:hAnsi="Calibri" w:eastAsia="宋体" w:cs="Times New Roman"/>
          <w:sz w:val="21"/>
        </w:rPr>
        <w:t>这种结构化整理，实际上是在区分原始数据、管理数据和报送数据。原始数据服务现场采集和留痕，管理数据服务平台内部运行和判断，报送数据则服务监管审核和过程核验。不是平台里存在的所有数据都需要上传，更不能把全部原始记录原封不动推送出去。监管平台真正需要的，是能够反映项目合规状态、风险状态和整改状态的关键数据。因此，报送内容应围绕人员准入、环境参数、设备运行、问题状态、关键节点和异常处理结果进行整理。这样既能提高交换效率，也能保持报送内容的清晰性和可核验性。</w:t>
      </w:r>
    </w:p>
    <w:p w14:paraId="6A0E57E9">
      <w:pPr>
        <w:pStyle w:val="11"/>
        <w:rPr>
          <w:rFonts w:hint="eastAsia" w:ascii="Times New Roman" w:hAnsi="Calibri" w:eastAsia="宋体" w:cs="Times New Roman"/>
          <w:sz w:val="21"/>
        </w:rPr>
      </w:pPr>
      <w:r>
        <w:rPr>
          <w:rFonts w:hint="eastAsia" w:ascii="Times New Roman" w:hAnsi="Calibri" w:eastAsia="宋体" w:cs="Times New Roman"/>
          <w:sz w:val="21"/>
        </w:rPr>
        <w:t>监管报送结构化还意味着项目必须建立相对稳定的报送口径。若今天按现场区域报送，明天按专业系统报送，后天又按责任单位汇总，监管端即便收到大量数据，也难以形成连续判断。比较稳妥的做法，是围绕监管要求明确报送对象、报送字段和报送格式，使同类数据在不同时间、不同项目阶段都能保持相对一致的结构表达。这样既便于平台自动生成报送内容，也有利于后续校核与问题回看。</w:t>
      </w:r>
    </w:p>
    <w:p w14:paraId="6EECEFE2">
      <w:pPr>
        <w:pStyle w:val="11"/>
        <w:rPr>
          <w:rFonts w:hint="eastAsia" w:ascii="Times New Roman" w:hAnsi="Calibri" w:eastAsia="宋体" w:cs="Times New Roman"/>
          <w:sz w:val="21"/>
        </w:rPr>
      </w:pPr>
      <w:r>
        <w:rPr>
          <w:rFonts w:hint="eastAsia" w:ascii="Times New Roman" w:hAnsi="Calibri" w:eastAsia="宋体" w:cs="Times New Roman"/>
          <w:sz w:val="21"/>
        </w:rPr>
        <w:t>（二）交换频率与时效控制</w:t>
      </w:r>
    </w:p>
    <w:p w14:paraId="0550B8F0">
      <w:pPr>
        <w:pStyle w:val="11"/>
        <w:rPr>
          <w:rFonts w:hint="eastAsia" w:ascii="Times New Roman" w:hAnsi="Calibri" w:eastAsia="宋体" w:cs="Times New Roman"/>
          <w:sz w:val="21"/>
        </w:rPr>
      </w:pPr>
      <w:r>
        <w:rPr>
          <w:rFonts w:hint="eastAsia" w:ascii="Times New Roman" w:hAnsi="Calibri" w:eastAsia="宋体" w:cs="Times New Roman"/>
          <w:sz w:val="21"/>
        </w:rPr>
        <w:t>监管数据交换不仅讲内容，也讲时效。不同类型数据的监管用途并不相同，因此交换频率不能一概而论。环境监测、部分设备状态和高风险预警信息更适合实时或准实时上传，因为这类数据直接关联即时监管；台账更新、阶段统计、问题闭环结果和部分过程留痕，则更适合按日、按周或按节点汇总报送，因为这类内容主要服务于过程检查和责任核验。若所有数据都按照最高频率交换，系统负担会显著增加，真正关键的异常反而更容易被淹没；若频率设置过低，又会削弱监管的及时性。</w:t>
      </w:r>
    </w:p>
    <w:p w14:paraId="398E309D">
      <w:pPr>
        <w:pStyle w:val="11"/>
        <w:rPr>
          <w:rFonts w:hint="eastAsia" w:ascii="Times New Roman" w:hAnsi="Calibri" w:eastAsia="宋体" w:cs="Times New Roman"/>
          <w:sz w:val="21"/>
        </w:rPr>
      </w:pPr>
      <w:r>
        <w:rPr>
          <w:rFonts w:hint="eastAsia" w:ascii="Times New Roman" w:hAnsi="Calibri" w:eastAsia="宋体" w:cs="Times New Roman"/>
          <w:sz w:val="21"/>
        </w:rPr>
        <w:t>时效控制真正要解决的是交换节奏与监管用途保持一致。对现场平台而言，这还有另一层现实意义，即尽量避免为报送而单独生成一套数据。若频率设置合理、结构整理得当，现场数据在业务运行中自然形成，报送只是结果输出；若逻辑设计不清，项目部很容易为满足报送要求进行额外补录，形成两套平行体系。成熟的数据交换应当尽量做到同源生成、分层输出，让现场管理与监管报送共享基础数据，而不是彼此脱节。</w:t>
      </w:r>
    </w:p>
    <w:p w14:paraId="738B27F9">
      <w:pPr>
        <w:pStyle w:val="11"/>
        <w:rPr>
          <w:rFonts w:hint="eastAsia" w:ascii="Times New Roman" w:hAnsi="Calibri" w:eastAsia="宋体" w:cs="Times New Roman"/>
          <w:sz w:val="21"/>
        </w:rPr>
      </w:pPr>
      <w:r>
        <w:rPr>
          <w:rFonts w:hint="eastAsia" w:ascii="Times New Roman" w:hAnsi="Calibri" w:eastAsia="宋体" w:cs="Times New Roman"/>
          <w:sz w:val="21"/>
        </w:rPr>
        <w:t>更进一步看，交换频率控制也是减轻基层负担的重要方式。监管要求并不意味着所有信息都要无限加密报送，相反，只有把真正需要高频交换的数据和适合周期交换的数据分开，平台才能保持长期稳定运行。一旦频率安排过于激进，现场端会因为补录、纠错和确认耗费过多精力，系统运行反而更不稳定。时效控制做得好，现场数据与监管报送之间就能形成较自然的转换关系。</w:t>
      </w:r>
    </w:p>
    <w:p w14:paraId="054D0531">
      <w:pPr>
        <w:pStyle w:val="11"/>
        <w:rPr>
          <w:rFonts w:hint="eastAsia" w:ascii="Times New Roman" w:hAnsi="Calibri" w:eastAsia="宋体" w:cs="Times New Roman"/>
          <w:sz w:val="21"/>
        </w:rPr>
      </w:pPr>
      <w:r>
        <w:rPr>
          <w:rFonts w:hint="eastAsia" w:ascii="Times New Roman" w:hAnsi="Calibri" w:eastAsia="宋体" w:cs="Times New Roman"/>
          <w:sz w:val="21"/>
        </w:rPr>
        <w:t>（三）合规报送与问题纠偏</w:t>
      </w:r>
    </w:p>
    <w:p w14:paraId="15904755">
      <w:pPr>
        <w:pStyle w:val="11"/>
        <w:rPr>
          <w:rFonts w:hint="eastAsia" w:ascii="Times New Roman" w:hAnsi="Calibri" w:eastAsia="宋体" w:cs="Times New Roman"/>
          <w:sz w:val="21"/>
        </w:rPr>
      </w:pPr>
      <w:r>
        <w:rPr>
          <w:rFonts w:hint="eastAsia" w:ascii="Times New Roman" w:hAnsi="Calibri" w:eastAsia="宋体" w:cs="Times New Roman"/>
          <w:sz w:val="21"/>
        </w:rPr>
        <w:t>监管平台数据交换最重要的底线，是合规与可纠偏。报送内容若存在缺项、错项、字段错配、时点倒挂或重复上报，不仅影响监管判断，也会反过来削弱项目对自身数据的信任。合规报送并不意味着绝对不出错，而是要形成清楚的校验、修正、反馈和重报机制。哪些数据在上传前必须通过规则校验，哪些错误可以自动纠正，哪些异常必须经人工复核，哪些报送失败需要重新提交，都应在交换链条中提前设计好。</w:t>
      </w:r>
    </w:p>
    <w:p w14:paraId="13BE5957">
      <w:pPr>
        <w:pStyle w:val="11"/>
        <w:rPr>
          <w:rFonts w:hint="eastAsia" w:ascii="Times New Roman" w:hAnsi="Calibri" w:eastAsia="宋体" w:cs="Times New Roman"/>
          <w:sz w:val="21"/>
        </w:rPr>
      </w:pPr>
      <w:r>
        <w:rPr>
          <w:rFonts w:hint="eastAsia" w:ascii="Times New Roman" w:hAnsi="Calibri" w:eastAsia="宋体" w:cs="Times New Roman"/>
          <w:sz w:val="21"/>
        </w:rPr>
        <w:t>更重要的是，报送问题不能只追求“上传成功”，还要关注“上传正确”。一旦系统只看成功率，不看数据质量，项目很快就会在错误信息基础上维持表面合规。更合理的做法，是把报送过程视为数据治理的一部分。上传只是交换动作，发现问题、及时修正、形成反馈并避免同类错误再次发生，才是真正可靠的交换逻辑。对于系统贯通而言，监管交换的成熟标志不是报送次数多，而是报送口径稳、异常响应快、问题可追溯。</w:t>
      </w:r>
    </w:p>
    <w:p w14:paraId="67409005">
      <w:pPr>
        <w:pStyle w:val="11"/>
        <w:rPr>
          <w:rFonts w:hint="eastAsia" w:ascii="Times New Roman" w:hAnsi="Calibri" w:eastAsia="宋体" w:cs="Times New Roman"/>
          <w:sz w:val="21"/>
        </w:rPr>
      </w:pPr>
      <w:r>
        <w:rPr>
          <w:rFonts w:hint="eastAsia" w:ascii="Times New Roman" w:hAnsi="Calibri" w:eastAsia="宋体" w:cs="Times New Roman"/>
          <w:sz w:val="21"/>
        </w:rPr>
        <w:t>合规报送与问题纠偏还应形成闭合关系。某一字段反复缺失，说明源头采集或规则定义存在问题；某类数据多次被监管端退回，说明报送结构与监管口径仍未真正对齐；某些时点数据长期倒挂，则可能意味着时间戳规则或业务节点定义存在偏差。若只在报送失败后临时补救，而不回到源头修正规则，问题仍会反复发生。真正成熟的交换逻辑，应把每一次纠偏都视为对数据底座和报送规则的反向校正。</w:t>
      </w:r>
    </w:p>
    <w:p w14:paraId="62E1B1B0">
      <w:pPr>
        <w:pStyle w:val="4"/>
        <w:bidi w:val="0"/>
        <w:rPr>
          <w:rFonts w:hint="eastAsia"/>
        </w:rPr>
      </w:pPr>
      <w:r>
        <w:rPr>
          <w:rFonts w:hint="eastAsia"/>
        </w:rPr>
        <w:t>四、平台运行维护与升级保障</w:t>
      </w:r>
    </w:p>
    <w:p w14:paraId="3416A5D1">
      <w:pPr>
        <w:pStyle w:val="11"/>
        <w:rPr>
          <w:rFonts w:hint="eastAsia" w:ascii="Times New Roman" w:hAnsi="Calibri" w:eastAsia="宋体" w:cs="Times New Roman"/>
          <w:sz w:val="21"/>
        </w:rPr>
      </w:pPr>
      <w:r>
        <w:rPr>
          <w:rFonts w:hint="eastAsia" w:ascii="Times New Roman" w:hAnsi="Calibri" w:eastAsia="宋体" w:cs="Times New Roman"/>
          <w:sz w:val="21"/>
        </w:rPr>
        <w:t>（一）日常运维组织机制</w:t>
      </w:r>
    </w:p>
    <w:p w14:paraId="3465F255">
      <w:pPr>
        <w:pStyle w:val="11"/>
        <w:rPr>
          <w:rFonts w:hint="eastAsia" w:ascii="Times New Roman" w:hAnsi="Calibri" w:eastAsia="宋体" w:cs="Times New Roman"/>
          <w:sz w:val="21"/>
        </w:rPr>
      </w:pPr>
      <w:r>
        <w:rPr>
          <w:rFonts w:hint="eastAsia" w:ascii="Times New Roman" w:hAnsi="Calibri" w:eastAsia="宋体" w:cs="Times New Roman"/>
          <w:sz w:val="21"/>
        </w:rPr>
        <w:t>平台建成之后，决定其生命周期的往往不是初期投入，而是日常运维是否形成稳定组织。很多项目在建设期推进较快，进入常态运行后却使用热度下降，原因通常不是平台本身无效，而是缺少持续运转的组织机制。终端谁巡检，接口谁监控，异常谁受理，数据问题谁核查，权限调整谁审批，若这些职责没有落实到具体岗位，平台很快就会从运行工具退化为展示界面。日常运维因此必须被纳入项目组织体系，而不能被理解为技术服务方的单边工作。</w:t>
      </w:r>
    </w:p>
    <w:p w14:paraId="61F71911">
      <w:pPr>
        <w:pStyle w:val="11"/>
        <w:rPr>
          <w:rFonts w:hint="eastAsia" w:ascii="Times New Roman" w:hAnsi="Calibri" w:eastAsia="宋体" w:cs="Times New Roman"/>
          <w:sz w:val="21"/>
        </w:rPr>
      </w:pPr>
      <w:r>
        <w:rPr>
          <w:rFonts w:hint="eastAsia" w:ascii="Times New Roman" w:hAnsi="Calibri" w:eastAsia="宋体" w:cs="Times New Roman"/>
          <w:sz w:val="21"/>
        </w:rPr>
        <w:t>更合理的运维组织，通常由项目部、企业层和技术服务方共同构成。项目部负责发现一线运行中的真实问题，企业层负责统筹制度、资源和升级安排，技术服务方负责技术支持、故障修复和接口维护。三方之间既要有清楚分工，也要有固定反馈通道，使问题发现、问题受理、问题解决和结果回看形成连续秩序。运维机制真正要建立的，不只是报修入口，而是一套常态巡检、快速响应、问题归档和周期复盘的运行秩序。只有把日常运维做成制度化活动，平台才能长期保持有效。</w:t>
      </w:r>
    </w:p>
    <w:p w14:paraId="24DDF289">
      <w:pPr>
        <w:pStyle w:val="11"/>
        <w:rPr>
          <w:rFonts w:hint="eastAsia" w:ascii="Times New Roman" w:hAnsi="Calibri" w:eastAsia="宋体" w:cs="Times New Roman"/>
          <w:sz w:val="21"/>
        </w:rPr>
      </w:pPr>
      <w:r>
        <w:rPr>
          <w:rFonts w:hint="eastAsia" w:ascii="Times New Roman" w:hAnsi="Calibri" w:eastAsia="宋体" w:cs="Times New Roman"/>
          <w:sz w:val="21"/>
        </w:rPr>
        <w:t>从组织运行角度看，日常运维还应尽量与项目管理节奏保持一致。现场阶段变化、作业面转换、终端位置调整、权限角色变化，都会持续影响系统运行状态。若运维机制只在问题出现后被动介入，很容易顾此失彼。更稳妥的做法，是把例行巡检、重点检查和阶段复盘结合起来，使平台运行始终跟着项目状态变化同步调整。这样形成的运维，不是单纯保系统不断线，而是在持续保障系统可用、好用、能用。</w:t>
      </w:r>
    </w:p>
    <w:p w14:paraId="3BFB6F5F">
      <w:pPr>
        <w:pStyle w:val="11"/>
        <w:rPr>
          <w:rFonts w:hint="eastAsia" w:ascii="Times New Roman" w:hAnsi="Calibri" w:eastAsia="宋体" w:cs="Times New Roman"/>
          <w:sz w:val="21"/>
        </w:rPr>
      </w:pPr>
      <w:r>
        <w:rPr>
          <w:rFonts w:hint="eastAsia" w:ascii="Times New Roman" w:hAnsi="Calibri" w:eastAsia="宋体" w:cs="Times New Roman"/>
          <w:sz w:val="21"/>
        </w:rPr>
        <w:t>（二）运行异常处理机制</w:t>
      </w:r>
    </w:p>
    <w:p w14:paraId="77BCDD9A">
      <w:pPr>
        <w:pStyle w:val="11"/>
        <w:rPr>
          <w:rFonts w:hint="eastAsia" w:ascii="Times New Roman" w:hAnsi="Calibri" w:eastAsia="宋体" w:cs="Times New Roman"/>
          <w:sz w:val="21"/>
        </w:rPr>
      </w:pPr>
      <w:r>
        <w:rPr>
          <w:rFonts w:hint="eastAsia" w:ascii="Times New Roman" w:hAnsi="Calibri" w:eastAsia="宋体" w:cs="Times New Roman"/>
          <w:sz w:val="21"/>
        </w:rPr>
        <w:t>平台运行过程中，异常几乎不可避免。终端离线、网络中断、接口失步、数据冲突、页面卡顿、权限混乱、消息延迟等问题，若处理不及时，会迅速放大用户的不信任。异常处理机制的关键，在于分类、分级和定责。轻微故障应快速恢复，关键异常应立即升级，涉及业务连续性和数据真实性的问题，则必须同步通知相关岗位进行核实。只有把异常处理从临时救火转变为标准流程，平台才能在复杂施工环境中保持基本稳定。</w:t>
      </w:r>
    </w:p>
    <w:p w14:paraId="40C8DCB6">
      <w:pPr>
        <w:pStyle w:val="11"/>
        <w:rPr>
          <w:rFonts w:hint="eastAsia" w:ascii="Times New Roman" w:hAnsi="Calibri" w:eastAsia="宋体" w:cs="Times New Roman"/>
          <w:sz w:val="21"/>
        </w:rPr>
      </w:pPr>
      <w:r>
        <w:rPr>
          <w:rFonts w:hint="eastAsia" w:ascii="Times New Roman" w:hAnsi="Calibri" w:eastAsia="宋体" w:cs="Times New Roman"/>
          <w:sz w:val="21"/>
        </w:rPr>
        <w:t>异常处理还应坚持一个原则，即不能只修技术表象，还要追查管理成因。某项数据长期缺失，可能不是系统字段设置问题，而是业务流程责任不清；某个接口反复失败，也可能并非程序故障，而是上游主数据频繁变化。真正成熟的异常处理，应同时包含定位、修复、验证和复盘四个环节。定位解决哪里出错，修复解决怎样恢复，验证解决结果是否准确，复盘则解决问题为什么会反复出现。只有把技术修复和管理回溯结合起来，异常处理才不会停留在表面层。</w:t>
      </w:r>
    </w:p>
    <w:p w14:paraId="38928B5C">
      <w:pPr>
        <w:pStyle w:val="11"/>
        <w:rPr>
          <w:rFonts w:hint="eastAsia" w:ascii="Times New Roman" w:hAnsi="Calibri" w:eastAsia="宋体" w:cs="Times New Roman"/>
          <w:sz w:val="21"/>
        </w:rPr>
      </w:pPr>
      <w:r>
        <w:rPr>
          <w:rFonts w:hint="eastAsia" w:ascii="Times New Roman" w:hAnsi="Calibri" w:eastAsia="宋体" w:cs="Times New Roman"/>
          <w:sz w:val="21"/>
        </w:rPr>
        <w:t>从现场使用感受看，异常处理速度直接影响平台可信度。一次关键问题长期得不到解决，往往就足以让一线岗位重新回到线下沟通和纸面补录的旧路径。因此，异常处理不仅是技术维护动作，也是平台运行秩序的一部分。谁先响应、谁确认影响范围、谁组织修复、谁判断恢复条件，都应在项目中形成相对稳定的规则。规则越清楚，异常越不容易演变为系统性不信任。</w:t>
      </w:r>
    </w:p>
    <w:p w14:paraId="75735CCC">
      <w:pPr>
        <w:pStyle w:val="11"/>
        <w:rPr>
          <w:rFonts w:hint="eastAsia" w:ascii="Times New Roman" w:hAnsi="Calibri" w:eastAsia="宋体" w:cs="Times New Roman"/>
          <w:sz w:val="21"/>
        </w:rPr>
      </w:pPr>
      <w:r>
        <w:rPr>
          <w:rFonts w:hint="eastAsia" w:ascii="Times New Roman" w:hAnsi="Calibri" w:eastAsia="宋体" w:cs="Times New Roman"/>
          <w:sz w:val="21"/>
        </w:rPr>
        <w:t>（三）版本升级与持续优化</w:t>
      </w:r>
    </w:p>
    <w:p w14:paraId="08589A5B">
      <w:pPr>
        <w:pStyle w:val="11"/>
        <w:rPr>
          <w:rFonts w:hint="eastAsia" w:ascii="Times New Roman" w:hAnsi="Calibri" w:eastAsia="宋体" w:cs="Times New Roman"/>
          <w:sz w:val="21"/>
        </w:rPr>
      </w:pPr>
      <w:r>
        <w:rPr>
          <w:rFonts w:hint="eastAsia" w:ascii="Times New Roman" w:hAnsi="Calibri" w:eastAsia="宋体" w:cs="Times New Roman"/>
          <w:sz w:val="21"/>
        </w:rPr>
        <w:t>智慧工地平台不可能一次建设到位。项目阶段在变化，管理重点在变化，监管要求和系统环境也在变化，平台若长期停留在初始版本，很快就会与现场脱节。升级保障的意义，并不只是增加新功能，而在于让系统始终贴近项目运行和组织需要。较为稳妥的升级路径，应坚持小步迭代、问题驱动和版本可回退。先围绕真实痛点做局部优化，再根据使用效果逐步扩展，比频繁大改更适合工程现场的使用节奏。</w:t>
      </w:r>
    </w:p>
    <w:p w14:paraId="16AD222F">
      <w:pPr>
        <w:pStyle w:val="11"/>
        <w:rPr>
          <w:rFonts w:hint="eastAsia" w:ascii="Times New Roman" w:hAnsi="Calibri" w:eastAsia="宋体" w:cs="Times New Roman"/>
          <w:sz w:val="21"/>
        </w:rPr>
        <w:sectPr>
          <w:headerReference r:id="rId21" w:type="default"/>
          <w:footerReference r:id="rId23" w:type="default"/>
          <w:headerReference r:id="rId22" w:type="even"/>
          <w:footerReference r:id="rId24" w:type="even"/>
          <w:pgSz w:w="10431" w:h="14740"/>
          <w:pgMar w:top="1440" w:right="1800" w:bottom="1440" w:left="1800" w:header="851" w:footer="992" w:gutter="0"/>
          <w:pgNumType w:fmt="decimal"/>
          <w:cols w:space="425" w:num="1"/>
          <w:docGrid w:type="lines" w:linePitch="312" w:charSpace="0"/>
        </w:sectPr>
      </w:pPr>
      <w:r>
        <w:rPr>
          <w:rFonts w:hint="eastAsia" w:ascii="Times New Roman" w:hAnsi="Calibri" w:eastAsia="宋体" w:cs="Times New Roman"/>
          <w:sz w:val="21"/>
        </w:rPr>
        <w:t>持续优化还有更深层的作用，即把项目运行经验沉淀为组织资产。某次接口调整为何有效，某类校验规则为何更稳定，某个功能入口为何更适合一线使用，这些经验若能在版本升级中被保留下来，平台就不只是服务单个项目，而会逐步形成可复制的数字化能力。对系统贯通与运行保障而言，真正可靠的状态从来不是系统保持不变，而是在持续使用中不断修正、不断贴近现场，并在稳定运行中逐步提升。</w:t>
      </w:r>
    </w:p>
    <w:p w14:paraId="77FBA2D9">
      <w:pPr>
        <w:bidi w:val="0"/>
        <w:rPr>
          <w:rFonts w:hint="eastAsia"/>
        </w:rPr>
        <w:sectPr>
          <w:pgSz w:w="10431" w:h="14740"/>
          <w:pgMar w:top="1440" w:right="1800" w:bottom="1440" w:left="1800" w:header="851" w:footer="992" w:gutter="0"/>
          <w:pgNumType w:fmt="decimal"/>
          <w:cols w:space="425" w:num="1"/>
          <w:docGrid w:type="lines" w:linePitch="312" w:charSpace="0"/>
        </w:sectPr>
      </w:pPr>
    </w:p>
    <w:p w14:paraId="3F886187">
      <w:pPr>
        <w:pStyle w:val="2"/>
        <w:bidi w:val="0"/>
        <w:rPr>
          <w:b/>
        </w:rPr>
      </w:pPr>
      <w:bookmarkStart w:id="20" w:name="_Toc9507"/>
      <w:r>
        <w:rPr>
          <w:rFonts w:hint="eastAsia" w:ascii="宋体" w:hAnsi="宋体" w:eastAsia="黑体" w:cs="宋体"/>
          <w:b/>
          <w:bCs/>
          <w:kern w:val="44"/>
          <w:sz w:val="40"/>
          <w:szCs w:val="30"/>
        </w:rPr>
        <w:t>第四章</w:t>
      </w:r>
      <w:r>
        <w:rPr>
          <w:rFonts w:hint="eastAsia" w:cs="宋体"/>
          <w:b/>
          <w:bCs/>
          <w:kern w:val="44"/>
          <w:sz w:val="40"/>
          <w:szCs w:val="30"/>
          <w:lang w:val="en-US" w:eastAsia="zh-CN"/>
        </w:rPr>
        <w:t xml:space="preserve"> </w:t>
      </w:r>
      <w:r>
        <w:t>施工现场生产组织的数字化重构</w:t>
      </w:r>
      <w:bookmarkEnd w:id="20"/>
    </w:p>
    <w:p w14:paraId="73F8D753">
      <w:pPr>
        <w:pStyle w:val="3"/>
        <w:numPr>
          <w:ilvl w:val="0"/>
          <w:numId w:val="0"/>
        </w:numPr>
        <w:ind w:left="0" w:leftChars="0" w:firstLine="0" w:firstLineChars="0"/>
        <w:rPr>
          <w:b/>
        </w:rPr>
      </w:pPr>
      <w:bookmarkStart w:id="21" w:name="_Toc25497"/>
      <w:r>
        <w:rPr>
          <w:rFonts w:hint="eastAsia" w:ascii="宋体" w:hAnsi="宋体" w:eastAsia="黑体" w:cs="宋体"/>
          <w:b/>
          <w:bCs/>
          <w:kern w:val="44"/>
          <w:sz w:val="30"/>
          <w:szCs w:val="30"/>
        </w:rPr>
        <w:t>第一节</w:t>
      </w:r>
      <w:r>
        <w:rPr>
          <w:rFonts w:hint="eastAsia" w:cs="宋体"/>
          <w:b/>
          <w:bCs/>
          <w:kern w:val="44"/>
          <w:sz w:val="30"/>
          <w:szCs w:val="30"/>
          <w:lang w:val="en-US" w:eastAsia="zh-CN"/>
        </w:rPr>
        <w:t xml:space="preserve"> </w:t>
      </w:r>
      <w:r>
        <w:t>进度计划的数字化控制</w:t>
      </w:r>
      <w:bookmarkEnd w:id="21"/>
      <w:r>
        <w:t xml:space="preserve">   </w:t>
      </w:r>
    </w:p>
    <w:p w14:paraId="7938D41B">
      <w:pPr>
        <w:pStyle w:val="4"/>
        <w:numPr>
          <w:ilvl w:val="0"/>
          <w:numId w:val="0"/>
        </w:numPr>
        <w:topLinePunct w:val="0"/>
        <w:ind w:left="0" w:leftChars="0" w:firstLine="422" w:firstLineChars="0"/>
        <w:rPr>
          <w:b/>
        </w:rPr>
      </w:pPr>
      <w:r>
        <w:rPr>
          <w:rFonts w:hint="eastAsia" w:ascii="黑体" w:hAnsi="黑体" w:eastAsia="黑体" w:cs="黑体"/>
          <w:b/>
          <w:sz w:val="21"/>
        </w:rPr>
        <w:t>一、</w:t>
      </w:r>
      <w:r>
        <w:t>总进度计划的结构化分解</w:t>
      </w:r>
    </w:p>
    <w:p w14:paraId="66F40D0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总控计划分层展开</w:t>
      </w:r>
    </w:p>
    <w:p w14:paraId="51051653">
      <w:pPr>
        <w:pStyle w:val="11"/>
        <w:rPr>
          <w:rFonts w:ascii="Times New Roman" w:hAnsi="Calibri" w:eastAsia="宋体" w:cs="Times New Roman"/>
          <w:sz w:val="21"/>
        </w:rPr>
      </w:pPr>
      <w:r>
        <w:rPr>
          <w:rFonts w:ascii="Times New Roman" w:hAnsi="Calibri" w:eastAsia="宋体" w:cs="Times New Roman"/>
          <w:sz w:val="21"/>
        </w:rPr>
        <w:t>施工现场的进度控制，难点从来不在有没有总工期目标，而在总工期能否被拆解成现场每天都能执行、都能核对的工作安排。传统做法常常止步于横道图或节点表，总计划写得完整，到了作业层却只剩下口头交底和临时催办，计划与生产之间存在明显断层。数字化控制强调把总控计划沿着时间、空间和专业三条线同步展开。时间线上，要把合同工期、里程碑节点、月计划、周计划和日作业安排连成一条连续链；空间线上，要把楼栋、分区、楼层、施工段等作业单元纳入同一计划框架；专业线上，则要把土建、机电、装饰和配套工程的节奏关系提前表达出来。计划只有完成这样的分层展开，系统才知道应该以什么颗粒度采集数据，管理人员也才能看清偏差究竟发生在哪一层。</w:t>
      </w:r>
    </w:p>
    <w:p w14:paraId="35CC68B0">
      <w:pPr>
        <w:pStyle w:val="11"/>
        <w:rPr>
          <w:rFonts w:ascii="Times New Roman" w:hAnsi="Calibri" w:eastAsia="宋体" w:cs="Times New Roman"/>
          <w:sz w:val="21"/>
        </w:rPr>
      </w:pPr>
      <w:r>
        <w:rPr>
          <w:rFonts w:ascii="Times New Roman" w:hAnsi="Calibri" w:eastAsia="宋体" w:cs="Times New Roman"/>
          <w:sz w:val="21"/>
        </w:rPr>
        <w:t>更重要的是，分层不是简单复制。总控计划强调方向与边界，周计划强调执行与协同，日安排强调落实与反馈，三者逻辑不同，表达方式也不能完全一样。一个成熟的数字化进度体系，既要保证上层计划能够向下传导，又要允许下层反馈对上层计划形成修正。这样一来，进度管理就不再是自上而下的单向压实，而成为计划分解与现场反馈相互作用的动态过程。</w:t>
      </w:r>
    </w:p>
    <w:p w14:paraId="3B18FD8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关键节点数字表达</w:t>
      </w:r>
    </w:p>
    <w:p w14:paraId="187629AC">
      <w:pPr>
        <w:pStyle w:val="11"/>
        <w:rPr>
          <w:rFonts w:ascii="Times New Roman" w:hAnsi="Calibri" w:eastAsia="宋体" w:cs="Times New Roman"/>
          <w:sz w:val="21"/>
        </w:rPr>
      </w:pPr>
      <w:r>
        <w:rPr>
          <w:rFonts w:ascii="Times New Roman" w:hAnsi="Calibri" w:eastAsia="宋体" w:cs="Times New Roman"/>
          <w:sz w:val="21"/>
        </w:rPr>
        <w:t>进度计划进入数字系统之后，关键节点不能只保留为文本描述，而应转换为可识别、可比较、可预警的数字对象。现场常见的问题是，节点写得很多，但真正能够用于监控的节点很少。原因并不复杂，节点定义过于笼统，例如主体封顶、安装完成、外墙结束，看上去都是关键节点，实际却缺少前置条件、完成标准和责任边界，系统即便收集了大量数据，也难以判定节点是否真正实现。数字化表达要求节点至少具备四类信息：一是明确的时间属性，知道最迟何时必须完成；二是明确的空间属性，知道节点对应哪栋楼、哪一区、哪一层；三是明确的业务属性，知道它属于哪道工序、哪项任务或哪个验收环节；四是明确的状态属性，知道它处于未开始、进行中、完成待核验还是已确认状态。</w:t>
      </w:r>
    </w:p>
    <w:p w14:paraId="38312F36">
      <w:pPr>
        <w:pStyle w:val="11"/>
        <w:rPr>
          <w:rFonts w:ascii="Times New Roman" w:hAnsi="Calibri" w:eastAsia="宋体" w:cs="Times New Roman"/>
          <w:sz w:val="21"/>
        </w:rPr>
      </w:pPr>
      <w:r>
        <w:rPr>
          <w:rFonts w:ascii="Times New Roman" w:hAnsi="Calibri" w:eastAsia="宋体" w:cs="Times New Roman"/>
          <w:sz w:val="21"/>
        </w:rPr>
        <w:t>节点一旦被这样表达，进度控制的方式就会发生变化。项目部不再只是靠会议汇报判断某个节点是否完成，而是可以通过系统直接看到节点状态、前置条件是否具备、后续工序是否已受影响。对复杂项目而言，这种表达尤其重要，因为真正决定工期的，往往不是少数几个宏观节点，而是大量关键节点之间是否保持连续衔接。</w:t>
      </w:r>
    </w:p>
    <w:p w14:paraId="20EA3CC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责任单元与计划挂接</w:t>
      </w:r>
    </w:p>
    <w:p w14:paraId="798F7656">
      <w:pPr>
        <w:pStyle w:val="11"/>
        <w:rPr>
          <w:rFonts w:ascii="Times New Roman" w:hAnsi="Calibri" w:eastAsia="宋体" w:cs="Times New Roman"/>
          <w:sz w:val="21"/>
        </w:rPr>
      </w:pPr>
      <w:r>
        <w:rPr>
          <w:rFonts w:ascii="Times New Roman" w:hAnsi="Calibri" w:eastAsia="宋体" w:cs="Times New Roman"/>
          <w:sz w:val="21"/>
        </w:rPr>
        <w:t>没有责任单元的计划，往往只是一张好看的安排表。施工现场之所以经常出现计划有人编、进度无人盯、偏差出来再层层追责的局面，根源就在于计划没有真正落到责任主体。数字化控制要求把计划与责任单元同步挂接，使每一项节点、每一个施工段、每一类实物量背后都有明确的责任岗位和责任单位。这里的责任单元不只是总承包层面的项目部，还应细化到专业工程师、分包队伍、班组长乃至具体作业面管理者。谁负责组织，谁负责配合，谁负责确认，谁负责反馈，都应在计划结构中体现出来。</w:t>
      </w:r>
    </w:p>
    <w:p w14:paraId="53D8DBA5">
      <w:pPr>
        <w:pStyle w:val="11"/>
        <w:rPr>
          <w:rFonts w:ascii="Times New Roman" w:hAnsi="Calibri" w:eastAsia="宋体" w:cs="Times New Roman"/>
          <w:sz w:val="21"/>
        </w:rPr>
      </w:pPr>
      <w:r>
        <w:rPr>
          <w:rFonts w:ascii="Times New Roman" w:hAnsi="Calibri" w:eastAsia="宋体" w:cs="Times New Roman"/>
          <w:sz w:val="21"/>
        </w:rPr>
        <w:t>这种挂接的价值，不只是便于考核，更重要的是便于及时协调。偏差一旦出现，项目部能够迅速知道问题发生在什么责任单元，是组织问题、资源问题还是配合问题，而不是在多方之间反复传递信息、消耗时间。计划与责任真正连起来之后，进度管理才会从</w:t>
      </w:r>
      <w:r>
        <w:rPr>
          <w:rFonts w:hint="eastAsia" w:ascii="Times New Roman" w:hAnsi="Times New Roman" w:eastAsia="宋体" w:cs="Times New Roman"/>
          <w:sz w:val="21"/>
          <w:lang w:eastAsia="zh-CN"/>
        </w:rPr>
        <w:t>“</w:t>
      </w:r>
      <w:r>
        <w:rPr>
          <w:rFonts w:ascii="Times New Roman" w:hAnsi="Calibri" w:eastAsia="宋体" w:cs="Times New Roman"/>
          <w:sz w:val="21"/>
        </w:rPr>
        <w:t>计划对现场提要求</w:t>
      </w:r>
      <w:r>
        <w:rPr>
          <w:rFonts w:hint="eastAsia" w:ascii="Times New Roman" w:hAnsi="Times New Roman" w:eastAsia="宋体" w:cs="Times New Roman"/>
          <w:sz w:val="21"/>
          <w:lang w:eastAsia="zh-CN"/>
        </w:rPr>
        <w:t>”</w:t>
      </w:r>
      <w:r>
        <w:rPr>
          <w:rFonts w:ascii="Times New Roman" w:hAnsi="Calibri" w:eastAsia="宋体" w:cs="Times New Roman"/>
          <w:sz w:val="21"/>
        </w:rPr>
        <w:t>转向</w:t>
      </w:r>
      <w:r>
        <w:rPr>
          <w:rFonts w:hint="eastAsia" w:ascii="Times New Roman" w:hAnsi="Times New Roman" w:eastAsia="宋体" w:cs="Times New Roman"/>
          <w:sz w:val="21"/>
          <w:lang w:eastAsia="zh-CN"/>
        </w:rPr>
        <w:t>“</w:t>
      </w:r>
      <w:r>
        <w:rPr>
          <w:rFonts w:ascii="Times New Roman" w:hAnsi="Calibri" w:eastAsia="宋体" w:cs="Times New Roman"/>
          <w:sz w:val="21"/>
        </w:rPr>
        <w:t>现场围绕计划持续运行</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18BDA9F9">
      <w:pPr>
        <w:pStyle w:val="4"/>
        <w:numPr>
          <w:ilvl w:val="0"/>
          <w:numId w:val="0"/>
        </w:numPr>
        <w:topLinePunct w:val="0"/>
        <w:ind w:left="0" w:leftChars="0" w:firstLine="422" w:firstLineChars="0"/>
        <w:rPr>
          <w:b/>
        </w:rPr>
      </w:pPr>
      <w:r>
        <w:rPr>
          <w:rFonts w:hint="eastAsia" w:ascii="黑体" w:hAnsi="黑体" w:eastAsia="黑体" w:cs="黑体"/>
          <w:b/>
          <w:sz w:val="21"/>
        </w:rPr>
        <w:t>二、</w:t>
      </w:r>
      <w:r>
        <w:t>工序穿透与实物量动态采集</w:t>
      </w:r>
    </w:p>
    <w:p w14:paraId="4B3DE61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工序分解与采集布点</w:t>
      </w:r>
    </w:p>
    <w:p w14:paraId="02EEA687">
      <w:pPr>
        <w:pStyle w:val="11"/>
        <w:rPr>
          <w:rFonts w:ascii="Times New Roman" w:hAnsi="Calibri" w:eastAsia="宋体" w:cs="Times New Roman"/>
          <w:sz w:val="21"/>
        </w:rPr>
      </w:pPr>
      <w:r>
        <w:rPr>
          <w:rFonts w:ascii="Times New Roman" w:hAnsi="Calibri" w:eastAsia="宋体" w:cs="Times New Roman"/>
          <w:sz w:val="21"/>
        </w:rPr>
        <w:t>进度计划能否真正被穿透，关键取决于工序是否被分解到可观察、可采集、可判断的层次。很多项目的进度失真，不是因为没有统计数据，而是统计颗粒度过粗。比如主体结构施工，如果只统计楼层完成情况，就很难看出钢筋、模板、混凝土三道前后工序究竟卡在哪一环。数字化控制更强调工序级识别，把关键线路上的主要工序拆解出来，并在容易形成等待、冲突和延误的位置设置采集点。这样的采集布点不一定依赖高密度硬件，也可以通过移动填报、验收记录、影像留痕和设备状态等方式形成多源数据。</w:t>
      </w:r>
    </w:p>
    <w:p w14:paraId="507E9D84">
      <w:pPr>
        <w:pStyle w:val="11"/>
        <w:rPr>
          <w:rFonts w:ascii="Times New Roman" w:hAnsi="Calibri" w:eastAsia="宋体" w:cs="Times New Roman"/>
          <w:sz w:val="21"/>
        </w:rPr>
      </w:pPr>
      <w:r>
        <w:rPr>
          <w:rFonts w:ascii="Times New Roman" w:hAnsi="Calibri" w:eastAsia="宋体" w:cs="Times New Roman"/>
          <w:sz w:val="21"/>
        </w:rPr>
        <w:t>工序分解的意义，在于把过去只能在会商中模糊判断的生产状态，转化为系统可识别的进展单元。它让管理者看到的不只是</w:t>
      </w:r>
      <w:r>
        <w:rPr>
          <w:rFonts w:hint="eastAsia" w:ascii="Times New Roman" w:hAnsi="Times New Roman" w:eastAsia="宋体" w:cs="Times New Roman"/>
          <w:sz w:val="21"/>
          <w:lang w:eastAsia="zh-CN"/>
        </w:rPr>
        <w:t>“</w:t>
      </w:r>
      <w:r>
        <w:rPr>
          <w:rFonts w:ascii="Times New Roman" w:hAnsi="Calibri" w:eastAsia="宋体" w:cs="Times New Roman"/>
          <w:sz w:val="21"/>
        </w:rPr>
        <w:t>这一层有没有做完</w:t>
      </w:r>
      <w:r>
        <w:rPr>
          <w:rFonts w:hint="eastAsia" w:ascii="Times New Roman" w:hAnsi="Times New Roman" w:eastAsia="宋体" w:cs="Times New Roman"/>
          <w:sz w:val="21"/>
          <w:lang w:eastAsia="zh-CN"/>
        </w:rPr>
        <w:t>”</w:t>
      </w:r>
      <w:r>
        <w:rPr>
          <w:rFonts w:ascii="Times New Roman" w:hAnsi="Calibri" w:eastAsia="宋体" w:cs="Times New Roman"/>
          <w:sz w:val="21"/>
        </w:rPr>
        <w:t>，而是</w:t>
      </w:r>
      <w:r>
        <w:rPr>
          <w:rFonts w:hint="eastAsia" w:ascii="Times New Roman" w:hAnsi="Times New Roman" w:eastAsia="宋体" w:cs="Times New Roman"/>
          <w:sz w:val="21"/>
          <w:lang w:eastAsia="zh-CN"/>
        </w:rPr>
        <w:t>“</w:t>
      </w:r>
      <w:r>
        <w:rPr>
          <w:rFonts w:ascii="Times New Roman" w:hAnsi="Calibri" w:eastAsia="宋体" w:cs="Times New Roman"/>
          <w:sz w:val="21"/>
        </w:rPr>
        <w:t>哪一道工序推进缓慢、前置条件是否成熟、后续作业是否会被压缩</w:t>
      </w:r>
      <w:r>
        <w:rPr>
          <w:rFonts w:hint="eastAsia" w:ascii="Times New Roman" w:hAnsi="Times New Roman" w:eastAsia="宋体" w:cs="Times New Roman"/>
          <w:sz w:val="21"/>
          <w:lang w:eastAsia="zh-CN"/>
        </w:rPr>
        <w:t>”</w:t>
      </w:r>
      <w:r>
        <w:rPr>
          <w:rFonts w:ascii="Times New Roman" w:hAnsi="Calibri" w:eastAsia="宋体" w:cs="Times New Roman"/>
          <w:sz w:val="21"/>
        </w:rPr>
        <w:t>。生产组织一旦被分解到这个层次，很多原本要等几天后才看得出来的风险，往往可以更早被识别。</w:t>
      </w:r>
    </w:p>
    <w:p w14:paraId="32BE4A6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实物量动态记录方式</w:t>
      </w:r>
    </w:p>
    <w:p w14:paraId="30854890">
      <w:pPr>
        <w:pStyle w:val="11"/>
        <w:rPr>
          <w:rFonts w:ascii="Times New Roman" w:hAnsi="Calibri" w:eastAsia="宋体" w:cs="Times New Roman"/>
          <w:sz w:val="21"/>
        </w:rPr>
      </w:pPr>
      <w:r>
        <w:rPr>
          <w:rFonts w:ascii="Times New Roman" w:hAnsi="Calibri" w:eastAsia="宋体" w:cs="Times New Roman"/>
          <w:sz w:val="21"/>
        </w:rPr>
        <w:t>实物量是进度控制中最接近现场真实的指标之一，但它只有与时间和工序对应起来，才真正具有管理意义。传统实物量记录常常偏重月末汇总，关注的是报表完整，忽略的是形成过程。数字化控制强调动态记录，不是每天机械填表，而是让实物量随着作业推进逐步进入系统。钢筋绑扎完成多少吨，模板支设完成多少平方米，混凝土浇筑完成多少立方米，砌体完成多少立方米，安装完成多少点位，都应与具体时间、具体区域和具体工序绑定。这样形成的记录，既能反映完成量，也能反映完成节奏。</w:t>
      </w:r>
    </w:p>
    <w:p w14:paraId="538C101C">
      <w:pPr>
        <w:pStyle w:val="11"/>
        <w:rPr>
          <w:rFonts w:ascii="Times New Roman" w:hAnsi="Calibri" w:eastAsia="宋体" w:cs="Times New Roman"/>
          <w:sz w:val="21"/>
        </w:rPr>
      </w:pPr>
      <w:r>
        <w:rPr>
          <w:rFonts w:hint="eastAsia" w:ascii="Times New Roman" w:hAnsi="Calibri" w:eastAsia="宋体" w:cs="Times New Roman"/>
          <w:sz w:val="21"/>
        </w:rPr>
        <w:t>从项目实践看，更适合采用一种“轻采集、重对应”的方法。也就是说，采集方式可以多样，关键在于采集结果要能与计划节点、责任单元和作业部位形成稳定对应。</w:t>
      </w:r>
      <w:r>
        <w:rPr>
          <w:rFonts w:ascii="Times New Roman" w:hAnsi="Calibri" w:eastAsia="宋体" w:cs="Times New Roman"/>
          <w:sz w:val="21"/>
        </w:rPr>
        <w:t>若记录了大量实物量，却无法判断这些工作量对应哪段计划、是否支撑了关键线路推进，数据依旧只是堆积。实物量动态记录真正要服务的，是过程判断，而不是事后整理。</w:t>
      </w:r>
    </w:p>
    <w:p w14:paraId="466E007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采集数据与进度联动分析</w:t>
      </w:r>
    </w:p>
    <w:p w14:paraId="0C2BB692">
      <w:pPr>
        <w:pStyle w:val="11"/>
        <w:rPr>
          <w:rFonts w:ascii="Times New Roman" w:hAnsi="Calibri" w:eastAsia="宋体" w:cs="Times New Roman"/>
          <w:sz w:val="21"/>
        </w:rPr>
      </w:pPr>
      <w:r>
        <w:rPr>
          <w:rFonts w:ascii="Times New Roman" w:hAnsi="Calibri" w:eastAsia="宋体" w:cs="Times New Roman"/>
          <w:sz w:val="21"/>
        </w:rPr>
        <w:t>采集不是终点，能够进入联动分析才有价值。施工现场的进度偏差往往不是在某一天突然形成的，而是在工效下降、供料不稳、工序等待、作业面切换不畅等一系列微小变化中逐步积累的。单看某项实物量，也许还不明显；把实物量、工序状态、人员出勤、设备利用和材料到场放在一起分析，偏差就会开始显形。数字化控制因此更强调联动判断。系统不仅要看到某一工序完成了多少，还要看到它完成得是否稳定、是否达到计划要求、是否对后续工序形成挤压。</w:t>
      </w:r>
    </w:p>
    <w:p w14:paraId="25AF2E3F">
      <w:pPr>
        <w:pStyle w:val="11"/>
        <w:rPr>
          <w:rFonts w:ascii="Times New Roman" w:hAnsi="Calibri" w:eastAsia="宋体" w:cs="Times New Roman"/>
          <w:sz w:val="21"/>
        </w:rPr>
      </w:pPr>
      <w:r>
        <w:rPr>
          <w:rFonts w:ascii="Times New Roman" w:hAnsi="Calibri" w:eastAsia="宋体" w:cs="Times New Roman"/>
          <w:sz w:val="21"/>
        </w:rPr>
        <w:t>这种联动分析能够明显改善项目部的判断方式。过去管理人员更习惯通过经验感受判断某个区域</w:t>
      </w:r>
      <w:r>
        <w:rPr>
          <w:rFonts w:hint="eastAsia" w:ascii="Times New Roman" w:hAnsi="Times New Roman" w:eastAsia="宋体" w:cs="Times New Roman"/>
          <w:sz w:val="21"/>
          <w:lang w:eastAsia="zh-CN"/>
        </w:rPr>
        <w:t>“</w:t>
      </w:r>
      <w:r>
        <w:rPr>
          <w:rFonts w:ascii="Times New Roman" w:hAnsi="Calibri" w:eastAsia="宋体" w:cs="Times New Roman"/>
          <w:sz w:val="21"/>
        </w:rPr>
        <w:t>推进有点慢</w:t>
      </w:r>
      <w:r>
        <w:rPr>
          <w:rFonts w:hint="eastAsia" w:ascii="Times New Roman" w:hAnsi="Times New Roman" w:eastAsia="宋体" w:cs="Times New Roman"/>
          <w:sz w:val="21"/>
          <w:lang w:eastAsia="zh-CN"/>
        </w:rPr>
        <w:t>”</w:t>
      </w:r>
      <w:r>
        <w:rPr>
          <w:rFonts w:ascii="Times New Roman" w:hAnsi="Calibri" w:eastAsia="宋体" w:cs="Times New Roman"/>
          <w:sz w:val="21"/>
        </w:rPr>
        <w:t>，现在则可以从实物量曲线、计划完成率和工序衔接状态中更准确地看出问题。换句话说，数字化进度控制并不是把统计工作电子化，而是在为生产组织建立一种更细、更快、更接近现场实情的判断机制。</w:t>
      </w:r>
    </w:p>
    <w:p w14:paraId="0F4E3786">
      <w:pPr>
        <w:pStyle w:val="4"/>
        <w:numPr>
          <w:ilvl w:val="0"/>
          <w:numId w:val="0"/>
        </w:numPr>
        <w:topLinePunct w:val="0"/>
        <w:ind w:left="0" w:leftChars="0" w:firstLine="422" w:firstLineChars="0"/>
        <w:rPr>
          <w:b/>
        </w:rPr>
      </w:pPr>
      <w:r>
        <w:rPr>
          <w:rFonts w:hint="eastAsia" w:ascii="黑体" w:hAnsi="黑体" w:eastAsia="黑体" w:cs="黑体"/>
          <w:b/>
          <w:sz w:val="21"/>
        </w:rPr>
        <w:t>三、</w:t>
      </w:r>
      <w:r>
        <w:t>进度偏差识别与纠偏机制</w:t>
      </w:r>
    </w:p>
    <w:p w14:paraId="5D7C694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偏差判定规则设定</w:t>
      </w:r>
    </w:p>
    <w:p w14:paraId="56596FCC">
      <w:pPr>
        <w:pStyle w:val="11"/>
        <w:rPr>
          <w:rFonts w:ascii="Times New Roman" w:hAnsi="Calibri" w:eastAsia="宋体" w:cs="Times New Roman"/>
          <w:sz w:val="21"/>
        </w:rPr>
      </w:pPr>
      <w:r>
        <w:rPr>
          <w:rFonts w:ascii="Times New Roman" w:hAnsi="Calibri" w:eastAsia="宋体" w:cs="Times New Roman"/>
          <w:sz w:val="21"/>
        </w:rPr>
        <w:t>进度偏差识别，首先要解决</w:t>
      </w:r>
      <w:r>
        <w:rPr>
          <w:rFonts w:hint="eastAsia" w:ascii="Times New Roman" w:hAnsi="Times New Roman" w:eastAsia="宋体" w:cs="Times New Roman"/>
          <w:sz w:val="21"/>
          <w:lang w:eastAsia="zh-CN"/>
        </w:rPr>
        <w:t>“</w:t>
      </w:r>
      <w:r>
        <w:rPr>
          <w:rFonts w:ascii="Times New Roman" w:hAnsi="Calibri" w:eastAsia="宋体" w:cs="Times New Roman"/>
          <w:sz w:val="21"/>
        </w:rPr>
        <w:t>什么叫偏差</w:t>
      </w:r>
      <w:r>
        <w:rPr>
          <w:rFonts w:hint="eastAsia" w:ascii="Times New Roman" w:hAnsi="Times New Roman" w:eastAsia="宋体" w:cs="Times New Roman"/>
          <w:sz w:val="21"/>
          <w:lang w:eastAsia="zh-CN"/>
        </w:rPr>
        <w:t>”</w:t>
      </w:r>
      <w:r>
        <w:rPr>
          <w:rFonts w:ascii="Times New Roman" w:hAnsi="Calibri" w:eastAsia="宋体" w:cs="Times New Roman"/>
          <w:sz w:val="21"/>
        </w:rPr>
        <w:t>这个基础问题。若没有清楚的判定规则，系统收集再多数据，也只能停留在展示层。较为稳妥的做法，是围绕关键节点偏差、工序节奏偏差和实物量完成偏差建立分层规则。对总控节点，可设置里程碑预警；对周计划和工序计划，可设置区间阈值；对连续作业的实物量曲线，则更应关注趋势变化而不只是某一个时点。这样形成的判定规则，才能既看见大偏差，也识别小偏差的累积效应。</w:t>
      </w:r>
    </w:p>
    <w:p w14:paraId="5B786EC5">
      <w:pPr>
        <w:pStyle w:val="11"/>
        <w:rPr>
          <w:rFonts w:ascii="Times New Roman" w:hAnsi="Calibri" w:eastAsia="宋体" w:cs="Times New Roman"/>
          <w:sz w:val="21"/>
        </w:rPr>
      </w:pPr>
      <w:r>
        <w:rPr>
          <w:rFonts w:ascii="Times New Roman" w:hAnsi="Calibri" w:eastAsia="宋体" w:cs="Times New Roman"/>
          <w:sz w:val="21"/>
        </w:rPr>
        <w:t>偏差判定还要区分不同性质。关键线路上的两天延误，影响可能远大于非关键线路上的五天波动；连续三周工效走低，往往比某一天的偶发停顿更值得警惕。只有把节点属性、路径属性和持续时间结合起来，偏差识别才不会流于机械比较。</w:t>
      </w:r>
    </w:p>
    <w:p w14:paraId="1580FE5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偏差原因分级分析</w:t>
      </w:r>
    </w:p>
    <w:p w14:paraId="2A8AE3D2">
      <w:pPr>
        <w:pStyle w:val="11"/>
        <w:rPr>
          <w:rFonts w:ascii="Times New Roman" w:hAnsi="Calibri" w:eastAsia="宋体" w:cs="Times New Roman"/>
          <w:sz w:val="21"/>
        </w:rPr>
      </w:pPr>
      <w:r>
        <w:rPr>
          <w:rFonts w:ascii="Times New Roman" w:hAnsi="Calibri" w:eastAsia="宋体" w:cs="Times New Roman"/>
          <w:sz w:val="21"/>
        </w:rPr>
        <w:t>偏差一旦出现，最忌讳立刻把问题归结为</w:t>
      </w:r>
      <w:r>
        <w:rPr>
          <w:rFonts w:hint="eastAsia" w:ascii="Times New Roman" w:hAnsi="Times New Roman" w:eastAsia="宋体" w:cs="Times New Roman"/>
          <w:sz w:val="21"/>
          <w:lang w:eastAsia="zh-CN"/>
        </w:rPr>
        <w:t>“</w:t>
      </w:r>
      <w:r>
        <w:rPr>
          <w:rFonts w:ascii="Times New Roman" w:hAnsi="Calibri" w:eastAsia="宋体" w:cs="Times New Roman"/>
          <w:sz w:val="21"/>
        </w:rPr>
        <w:t>现场没抓紧</w:t>
      </w:r>
      <w:r>
        <w:rPr>
          <w:rFonts w:hint="eastAsia" w:ascii="Times New Roman" w:hAnsi="Times New Roman" w:eastAsia="宋体" w:cs="Times New Roman"/>
          <w:sz w:val="21"/>
          <w:lang w:eastAsia="zh-CN"/>
        </w:rPr>
        <w:t>”</w:t>
      </w:r>
      <w:r>
        <w:rPr>
          <w:rFonts w:ascii="Times New Roman" w:hAnsi="Calibri" w:eastAsia="宋体" w:cs="Times New Roman"/>
          <w:sz w:val="21"/>
        </w:rPr>
        <w:t>。在复杂施工组织中，偏差往往具有分层成因。资源类偏差通常表现为劳动力不足、设备占用冲突、材料供应不连续；工序类偏差多与前置条件不成熟、穿插组织失衡、作业顺序安排不当有关；组织类偏差则常见于责任界面不清、信息反馈滞后、计划编制过于乐观；外部类偏差则可能来自天气变化、设计调整、监管要求变化等因素。分级分析的意义，在于不让项目部在表象上反复打转，而是尽快找到真正的约束点。</w:t>
      </w:r>
    </w:p>
    <w:p w14:paraId="6F6EDDFE">
      <w:pPr>
        <w:pStyle w:val="11"/>
        <w:rPr>
          <w:rFonts w:ascii="Times New Roman" w:hAnsi="Calibri" w:eastAsia="宋体" w:cs="Times New Roman"/>
          <w:sz w:val="21"/>
        </w:rPr>
      </w:pPr>
      <w:r>
        <w:rPr>
          <w:rFonts w:ascii="Times New Roman" w:hAnsi="Calibri" w:eastAsia="宋体" w:cs="Times New Roman"/>
          <w:sz w:val="21"/>
        </w:rPr>
        <w:t>从管理经验看，越是数字化基础较好的项目，越能避免</w:t>
      </w:r>
      <w:r>
        <w:rPr>
          <w:rFonts w:hint="eastAsia" w:ascii="Times New Roman" w:hAnsi="Times New Roman" w:eastAsia="宋体" w:cs="Times New Roman"/>
          <w:sz w:val="21"/>
          <w:lang w:eastAsia="zh-CN"/>
        </w:rPr>
        <w:t>“</w:t>
      </w:r>
      <w:r>
        <w:rPr>
          <w:rFonts w:ascii="Times New Roman" w:hAnsi="Calibri" w:eastAsia="宋体" w:cs="Times New Roman"/>
          <w:sz w:val="21"/>
        </w:rPr>
        <w:t>偏差一出现就盲目加人</w:t>
      </w:r>
      <w:r>
        <w:rPr>
          <w:rFonts w:hint="eastAsia" w:ascii="Times New Roman" w:hAnsi="Times New Roman" w:eastAsia="宋体" w:cs="Times New Roman"/>
          <w:sz w:val="21"/>
          <w:lang w:eastAsia="zh-CN"/>
        </w:rPr>
        <w:t>”</w:t>
      </w:r>
      <w:r>
        <w:rPr>
          <w:rFonts w:ascii="Times New Roman" w:hAnsi="Calibri" w:eastAsia="宋体" w:cs="Times New Roman"/>
          <w:sz w:val="21"/>
        </w:rPr>
        <w:t>的粗放反应。因为系统提供的不是一个抽象结论，而是一条较为清晰的偏差形成路径。找准原因之后，纠偏才有可能真正有效。</w:t>
      </w:r>
    </w:p>
    <w:p w14:paraId="58A843D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纠偏措施快速落实</w:t>
      </w:r>
    </w:p>
    <w:p w14:paraId="56411D98">
      <w:pPr>
        <w:pStyle w:val="11"/>
        <w:rPr>
          <w:rFonts w:ascii="Times New Roman" w:hAnsi="Calibri" w:eastAsia="宋体" w:cs="Times New Roman"/>
          <w:sz w:val="21"/>
        </w:rPr>
      </w:pPr>
      <w:r>
        <w:rPr>
          <w:rFonts w:ascii="Times New Roman" w:hAnsi="Calibri" w:eastAsia="宋体" w:cs="Times New Roman"/>
          <w:sz w:val="21"/>
        </w:rPr>
        <w:t>纠偏的关键不只是方案正确，还在于动作够快、责任够清、反馈够及时。进度控制中最容易丧失时机的，往往不是问题发现，而是问题发现后迟迟无法形成可执行调整。数字化机制应把纠偏措施与劳务调配、材料补给、设备安排、工序重排和节点重置联动起来，使纠偏不是一句</w:t>
      </w:r>
      <w:r>
        <w:rPr>
          <w:rFonts w:hint="eastAsia" w:ascii="Times New Roman" w:hAnsi="Times New Roman" w:eastAsia="宋体" w:cs="Times New Roman"/>
          <w:sz w:val="21"/>
          <w:lang w:eastAsia="zh-CN"/>
        </w:rPr>
        <w:t>“</w:t>
      </w:r>
      <w:r>
        <w:rPr>
          <w:rFonts w:ascii="Times New Roman" w:hAnsi="Calibri" w:eastAsia="宋体" w:cs="Times New Roman"/>
          <w:sz w:val="21"/>
        </w:rPr>
        <w:t>抓紧推进</w:t>
      </w:r>
      <w:r>
        <w:rPr>
          <w:rFonts w:hint="eastAsia" w:ascii="Times New Roman" w:hAnsi="Times New Roman" w:eastAsia="宋体" w:cs="Times New Roman"/>
          <w:sz w:val="21"/>
          <w:lang w:eastAsia="zh-CN"/>
        </w:rPr>
        <w:t>”</w:t>
      </w:r>
      <w:r>
        <w:rPr>
          <w:rFonts w:ascii="Times New Roman" w:hAnsi="Calibri" w:eastAsia="宋体" w:cs="Times New Roman"/>
          <w:sz w:val="21"/>
        </w:rPr>
        <w:t>，而是一套能够落到责任岗位和作业面的具体动作。措施发出后，还要继续跟踪实施结果，看调整是否真正改变了实物量节奏和工序衔接状态。若没有后续反馈，所谓纠偏很容易重新变成经验催办。</w:t>
      </w:r>
    </w:p>
    <w:p w14:paraId="1B975308">
      <w:pPr>
        <w:pStyle w:val="11"/>
        <w:rPr>
          <w:rFonts w:ascii="Times New Roman" w:hAnsi="Calibri" w:eastAsia="宋体" w:cs="Times New Roman"/>
          <w:sz w:val="21"/>
        </w:rPr>
      </w:pPr>
      <w:r>
        <w:rPr>
          <w:rFonts w:ascii="Times New Roman" w:hAnsi="Calibri" w:eastAsia="宋体" w:cs="Times New Roman"/>
          <w:sz w:val="21"/>
        </w:rPr>
        <w:t>真正成熟的纠偏，不是一次性压赶工期，而是在尽量不放大安全和质量风险的前提下，恢复生产节奏和路径秩序。也正因为如此，数字化纠偏更强调精确调整，而不是粗放加码。</w:t>
      </w:r>
    </w:p>
    <w:p w14:paraId="4F75781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（四）</w:t>
      </w:r>
      <w:r>
        <w:t>工期调整实践片段</w:t>
      </w:r>
    </w:p>
    <w:p w14:paraId="3E303449">
      <w:pPr>
        <w:pStyle w:val="11"/>
        <w:rPr>
          <w:rFonts w:ascii="Times New Roman" w:hAnsi="Calibri" w:eastAsia="宋体" w:cs="Times New Roman"/>
          <w:sz w:val="21"/>
        </w:rPr>
      </w:pPr>
      <w:r>
        <w:rPr>
          <w:rFonts w:ascii="Times New Roman" w:hAnsi="Calibri" w:eastAsia="宋体" w:cs="Times New Roman"/>
          <w:sz w:val="21"/>
        </w:rPr>
        <w:t>上海奉贤区某安置房项目在推进过程中，就呈现出比较典型的数字化工期调整路径。项目依托现场物联网感知网络和智慧工地平台，对人员、设备、材料和工序状态进行连续采集，并把现场实测进度与</w:t>
      </w:r>
      <w:r>
        <w:rPr>
          <w:rFonts w:ascii="Times New Roman" w:hAnsi="Times New Roman" w:eastAsia="宋体" w:cs="Times New Roman"/>
          <w:sz w:val="21"/>
        </w:rPr>
        <w:t>BIM</w:t>
      </w:r>
      <w:r>
        <w:rPr>
          <w:rFonts w:ascii="Times New Roman" w:hAnsi="Calibri" w:eastAsia="宋体" w:cs="Times New Roman"/>
          <w:sz w:val="21"/>
        </w:rPr>
        <w:t>模型中的计划节点进行自动比对。比对结果显示，地下室结构施工阶段已较计划滞后约</w:t>
      </w:r>
      <w:r>
        <w:rPr>
          <w:rFonts w:ascii="Times New Roman" w:hAnsi="Times New Roman" w:eastAsia="宋体" w:cs="Times New Roman"/>
          <w:sz w:val="21"/>
        </w:rPr>
        <w:t>5</w:t>
      </w:r>
      <w:r>
        <w:rPr>
          <w:rFonts w:ascii="Times New Roman" w:hAnsi="Calibri" w:eastAsia="宋体" w:cs="Times New Roman"/>
          <w:sz w:val="21"/>
        </w:rPr>
        <w:t>天。继续回溯数据后，项目团队发现偏差并非来自单一环节，而是劳动力配置不足与混凝土供应间歇性短缺共同作用的结果，滞后主要集中在钢筋绑扎和模板支设两道前置工序。</w:t>
      </w:r>
    </w:p>
    <w:p w14:paraId="76F0ABB3">
      <w:pPr>
        <w:pStyle w:val="11"/>
        <w:rPr>
          <w:rFonts w:ascii="Times New Roman" w:hAnsi="Calibri" w:eastAsia="宋体" w:cs="Times New Roman"/>
          <w:sz w:val="21"/>
        </w:rPr>
      </w:pPr>
      <w:r>
        <w:rPr>
          <w:rFonts w:ascii="Times New Roman" w:hAnsi="Calibri" w:eastAsia="宋体" w:cs="Times New Roman"/>
          <w:sz w:val="21"/>
        </w:rPr>
        <w:t>这个片段的启示不在于</w:t>
      </w:r>
      <w:r>
        <w:rPr>
          <w:rFonts w:hint="eastAsia" w:ascii="Times New Roman" w:hAnsi="Times New Roman" w:eastAsia="宋体" w:cs="Times New Roman"/>
          <w:sz w:val="21"/>
          <w:lang w:eastAsia="zh-CN"/>
        </w:rPr>
        <w:t>“</w:t>
      </w:r>
      <w:r>
        <w:rPr>
          <w:rFonts w:ascii="Times New Roman" w:hAnsi="Calibri" w:eastAsia="宋体" w:cs="Times New Roman"/>
          <w:sz w:val="21"/>
        </w:rPr>
        <w:t>发现了滞后</w:t>
      </w:r>
      <w:r>
        <w:rPr>
          <w:rFonts w:hint="eastAsia" w:ascii="Times New Roman" w:hAnsi="Times New Roman" w:eastAsia="宋体" w:cs="Times New Roman"/>
          <w:sz w:val="21"/>
          <w:lang w:eastAsia="zh-CN"/>
        </w:rPr>
        <w:t>”</w:t>
      </w:r>
      <w:r>
        <w:rPr>
          <w:rFonts w:ascii="Times New Roman" w:hAnsi="Calibri" w:eastAsia="宋体" w:cs="Times New Roman"/>
          <w:sz w:val="21"/>
        </w:rPr>
        <w:t>，而在于项目没有停留在滞后确认层面，而是把偏差迅速转化为工序和资源的联动调整。项目通过劳务实名制系统调取各工种实时分布和技能数据，从其他作业面调拨了</w:t>
      </w:r>
      <w:r>
        <w:rPr>
          <w:rFonts w:ascii="Times New Roman" w:hAnsi="Times New Roman" w:eastAsia="宋体" w:cs="Times New Roman"/>
          <w:sz w:val="21"/>
        </w:rPr>
        <w:t>12</w:t>
      </w:r>
      <w:r>
        <w:rPr>
          <w:rFonts w:ascii="Times New Roman" w:hAnsi="Calibri" w:eastAsia="宋体" w:cs="Times New Roman"/>
          <w:sz w:val="21"/>
        </w:rPr>
        <w:t>名钢筋工和</w:t>
      </w:r>
      <w:r>
        <w:rPr>
          <w:rFonts w:ascii="Times New Roman" w:hAnsi="Times New Roman" w:eastAsia="宋体" w:cs="Times New Roman"/>
          <w:sz w:val="21"/>
        </w:rPr>
        <w:t>8</w:t>
      </w:r>
      <w:r>
        <w:rPr>
          <w:rFonts w:ascii="Times New Roman" w:hAnsi="Calibri" w:eastAsia="宋体" w:cs="Times New Roman"/>
          <w:sz w:val="21"/>
        </w:rPr>
        <w:t>名木工支援滞后区域，同时把商混站</w:t>
      </w:r>
      <w:r>
        <w:rPr>
          <w:rFonts w:ascii="Times New Roman" w:hAnsi="Times New Roman" w:eastAsia="宋体" w:cs="Times New Roman"/>
          <w:sz w:val="21"/>
        </w:rPr>
        <w:t>ERP</w:t>
      </w:r>
      <w:r>
        <w:rPr>
          <w:rFonts w:ascii="Times New Roman" w:hAnsi="Calibri" w:eastAsia="宋体" w:cs="Times New Roman"/>
          <w:sz w:val="21"/>
        </w:rPr>
        <w:t>数据接入平台，动态调整混凝土供应节奏，并将原先大面积平铺作业改为分区流水、错峰浇筑，以缩短工序转换时间。调整实施后，滞后区域在两周内追回计划进度，项目累计节省综合工期约</w:t>
      </w:r>
      <w:r>
        <w:rPr>
          <w:rFonts w:ascii="Times New Roman" w:hAnsi="Times New Roman" w:eastAsia="宋体" w:cs="Times New Roman"/>
          <w:sz w:val="21"/>
        </w:rPr>
        <w:t>15</w:t>
      </w:r>
      <w:r>
        <w:rPr>
          <w:rFonts w:ascii="Times New Roman" w:hAnsi="Calibri" w:eastAsia="宋体" w:cs="Times New Roman"/>
          <w:sz w:val="21"/>
        </w:rPr>
        <w:t>%，安全风险下降约</w:t>
      </w:r>
      <w:r>
        <w:rPr>
          <w:rFonts w:ascii="Times New Roman" w:hAnsi="Times New Roman" w:eastAsia="宋体" w:cs="Times New Roman"/>
          <w:sz w:val="21"/>
        </w:rPr>
        <w:t>80</w:t>
      </w:r>
      <w:r>
        <w:rPr>
          <w:rFonts w:ascii="Times New Roman" w:hAnsi="Calibri" w:eastAsia="宋体" w:cs="Times New Roman"/>
          <w:sz w:val="21"/>
        </w:rPr>
        <w:t>%。</w:t>
      </w:r>
    </w:p>
    <w:p w14:paraId="651D04B3">
      <w:pPr>
        <w:pStyle w:val="11"/>
        <w:rPr>
          <w:rFonts w:ascii="Times New Roman" w:hAnsi="Calibri" w:eastAsia="宋体" w:cs="Times New Roman"/>
          <w:sz w:val="21"/>
        </w:rPr>
      </w:pPr>
      <w:r>
        <w:rPr>
          <w:rFonts w:ascii="Times New Roman" w:hAnsi="Calibri" w:eastAsia="宋体" w:cs="Times New Roman"/>
          <w:sz w:val="21"/>
        </w:rPr>
        <w:t>这一实践说明，数字化进度控制真正有价值的地方，不是把计划做得更复杂，而是把偏差识别、原因拆解和措施落地压缩在更短的时间内完成。它改变的不是某一张进度表，而是施工现场对工期问题的处理方式：从结果滞后后的被动追赶，转向偏差形成中的主动修正。</w:t>
      </w:r>
    </w:p>
    <w:p w14:paraId="7C828839">
      <w:pPr>
        <w:pStyle w:val="3"/>
        <w:numPr>
          <w:ilvl w:val="0"/>
          <w:numId w:val="0"/>
        </w:numPr>
        <w:ind w:left="0" w:leftChars="0" w:firstLine="0" w:firstLineChars="0"/>
        <w:rPr>
          <w:b/>
        </w:rPr>
      </w:pPr>
      <w:bookmarkStart w:id="22" w:name="_Toc8112"/>
      <w:r>
        <w:rPr>
          <w:rFonts w:hint="eastAsia" w:ascii="宋体" w:hAnsi="宋体" w:eastAsia="黑体" w:cs="宋体"/>
          <w:b/>
          <w:bCs/>
          <w:kern w:val="44"/>
          <w:sz w:val="30"/>
          <w:szCs w:val="30"/>
        </w:rPr>
        <w:t>第二节</w:t>
      </w:r>
      <w:r>
        <w:rPr>
          <w:rFonts w:hint="eastAsia" w:cs="宋体"/>
          <w:b/>
          <w:bCs/>
          <w:kern w:val="44"/>
          <w:sz w:val="30"/>
          <w:szCs w:val="30"/>
          <w:lang w:val="en-US" w:eastAsia="zh-CN"/>
        </w:rPr>
        <w:t xml:space="preserve"> </w:t>
      </w:r>
      <w:r>
        <w:t>劳务管理的在线协同</w:t>
      </w:r>
      <w:bookmarkEnd w:id="22"/>
      <w:r>
        <w:t xml:space="preserve">   </w:t>
      </w:r>
    </w:p>
    <w:p w14:paraId="5889C3EB">
      <w:pPr>
        <w:pStyle w:val="4"/>
        <w:numPr>
          <w:ilvl w:val="0"/>
          <w:numId w:val="0"/>
        </w:numPr>
        <w:topLinePunct w:val="0"/>
        <w:ind w:left="0" w:leftChars="0" w:firstLine="422" w:firstLineChars="0"/>
        <w:rPr>
          <w:b/>
        </w:rPr>
      </w:pPr>
      <w:r>
        <w:rPr>
          <w:rFonts w:hint="eastAsia" w:ascii="黑体" w:hAnsi="黑体" w:eastAsia="黑体" w:cs="黑体"/>
          <w:b/>
          <w:sz w:val="21"/>
        </w:rPr>
        <w:t>一、</w:t>
      </w:r>
      <w:r>
        <w:t>实名制准入与考勤管理</w:t>
      </w:r>
    </w:p>
    <w:p w14:paraId="1A5E8A4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实名信息采集流程</w:t>
      </w:r>
    </w:p>
    <w:p w14:paraId="4F909EB1">
      <w:pPr>
        <w:pStyle w:val="11"/>
        <w:rPr>
          <w:rFonts w:ascii="Times New Roman" w:hAnsi="Calibri" w:eastAsia="宋体" w:cs="Times New Roman"/>
          <w:sz w:val="21"/>
        </w:rPr>
      </w:pPr>
      <w:r>
        <w:rPr>
          <w:rFonts w:ascii="Times New Roman" w:hAnsi="Calibri" w:eastAsia="宋体" w:cs="Times New Roman"/>
          <w:sz w:val="21"/>
        </w:rPr>
        <w:t>施工现场劳务管理进入数字化阶段后，最基础也最容易被误解的一项工作，就是实名信息采集。很多项目把实名制理解为进门刷脸、后台留名，似乎只要身份核验完成，劳务管理就算起步了。实际上，实名信息采集真正要解决的，不只是</w:t>
      </w:r>
      <w:r>
        <w:rPr>
          <w:rFonts w:hint="eastAsia" w:ascii="Times New Roman" w:hAnsi="Times New Roman" w:eastAsia="宋体" w:cs="Times New Roman"/>
          <w:sz w:val="21"/>
          <w:lang w:eastAsia="zh-CN"/>
        </w:rPr>
        <w:t>“</w:t>
      </w:r>
      <w:r>
        <w:rPr>
          <w:rFonts w:ascii="Times New Roman" w:hAnsi="Calibri" w:eastAsia="宋体" w:cs="Times New Roman"/>
          <w:sz w:val="21"/>
        </w:rPr>
        <w:t>这个人是谁</w:t>
      </w:r>
      <w:r>
        <w:rPr>
          <w:rFonts w:hint="eastAsia" w:ascii="Times New Roman" w:hAnsi="Times New Roman" w:eastAsia="宋体" w:cs="Times New Roman"/>
          <w:sz w:val="21"/>
          <w:lang w:eastAsia="zh-CN"/>
        </w:rPr>
        <w:t>”</w:t>
      </w:r>
      <w:r>
        <w:rPr>
          <w:rFonts w:ascii="Times New Roman" w:hAnsi="Calibri" w:eastAsia="宋体" w:cs="Times New Roman"/>
          <w:sz w:val="21"/>
        </w:rPr>
        <w:t>，而是</w:t>
      </w:r>
      <w:r>
        <w:rPr>
          <w:rFonts w:hint="eastAsia" w:ascii="Times New Roman" w:hAnsi="Times New Roman" w:eastAsia="宋体" w:cs="Times New Roman"/>
          <w:sz w:val="21"/>
          <w:lang w:eastAsia="zh-CN"/>
        </w:rPr>
        <w:t>“</w:t>
      </w:r>
      <w:r>
        <w:rPr>
          <w:rFonts w:ascii="Times New Roman" w:hAnsi="Calibri" w:eastAsia="宋体" w:cs="Times New Roman"/>
          <w:sz w:val="21"/>
        </w:rPr>
        <w:t>这个人以什么身份进入项目、属于哪一支队伍、承担什么工种、处于什么用工状态、是否具备进入当前作业面的条件</w:t>
      </w:r>
      <w:r>
        <w:rPr>
          <w:rFonts w:hint="eastAsia" w:ascii="Times New Roman" w:hAnsi="Times New Roman" w:eastAsia="宋体" w:cs="Times New Roman"/>
          <w:sz w:val="21"/>
          <w:lang w:eastAsia="zh-CN"/>
        </w:rPr>
        <w:t>”</w:t>
      </w:r>
      <w:r>
        <w:rPr>
          <w:rFonts w:ascii="Times New Roman" w:hAnsi="Calibri" w:eastAsia="宋体" w:cs="Times New Roman"/>
          <w:sz w:val="21"/>
        </w:rPr>
        <w:t>。若这些信息没有同时建立，实名制就会停留在门禁层，而难以进入施工组织层。</w:t>
      </w:r>
    </w:p>
    <w:p w14:paraId="11D438D3">
      <w:pPr>
        <w:pStyle w:val="11"/>
        <w:rPr>
          <w:rFonts w:ascii="Times New Roman" w:hAnsi="Calibri" w:eastAsia="宋体" w:cs="Times New Roman"/>
          <w:sz w:val="21"/>
        </w:rPr>
      </w:pPr>
      <w:r>
        <w:rPr>
          <w:rFonts w:ascii="Times New Roman" w:hAnsi="Calibri" w:eastAsia="宋体" w:cs="Times New Roman"/>
          <w:sz w:val="21"/>
        </w:rPr>
        <w:t>较为稳妥的做法，是把实名采集设计成连续流程，而不是一次性录入动作。人员初次进场时，应完成身份证明、工种信息、所属单位、班组归属、培训记录和岗位权限的统一建档；进入现场前，还要与安全教育、合同备案、特殊工种资格和作业区域授权形成对应。这样形成的实名信息，才不仅是身份数据，更是现场组织数据。劳务管理混乱往往并不是因为现场不知道来了多少人，而是因为知道</w:t>
      </w:r>
      <w:r>
        <w:rPr>
          <w:rFonts w:hint="eastAsia" w:ascii="Times New Roman" w:hAnsi="Times New Roman" w:eastAsia="宋体" w:cs="Times New Roman"/>
          <w:sz w:val="21"/>
          <w:lang w:eastAsia="zh-CN"/>
        </w:rPr>
        <w:t>“</w:t>
      </w:r>
      <w:r>
        <w:rPr>
          <w:rFonts w:ascii="Times New Roman" w:hAnsi="Calibri" w:eastAsia="宋体" w:cs="Times New Roman"/>
          <w:sz w:val="21"/>
        </w:rPr>
        <w:t>有人来了</w:t>
      </w:r>
      <w:r>
        <w:rPr>
          <w:rFonts w:hint="eastAsia" w:ascii="Times New Roman" w:hAnsi="Times New Roman" w:eastAsia="宋体" w:cs="Times New Roman"/>
          <w:sz w:val="21"/>
          <w:lang w:eastAsia="zh-CN"/>
        </w:rPr>
        <w:t>”</w:t>
      </w:r>
      <w:r>
        <w:rPr>
          <w:rFonts w:ascii="Times New Roman" w:hAnsi="Calibri" w:eastAsia="宋体" w:cs="Times New Roman"/>
          <w:sz w:val="21"/>
        </w:rPr>
        <w:t>，却不知道这些人能不能上岗、归谁管理、应当进入哪一类任务链条。实名采集一旦围绕管理关系展开，后续考勤、调配、预警和追溯才会有可靠基础。</w:t>
      </w:r>
    </w:p>
    <w:p w14:paraId="26D6DD9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考勤数据自动归集</w:t>
      </w:r>
    </w:p>
    <w:p w14:paraId="48F5F31E">
      <w:pPr>
        <w:pStyle w:val="11"/>
        <w:rPr>
          <w:rFonts w:ascii="Times New Roman" w:hAnsi="Calibri" w:eastAsia="宋体" w:cs="Times New Roman"/>
          <w:sz w:val="21"/>
        </w:rPr>
      </w:pPr>
      <w:r>
        <w:rPr>
          <w:rFonts w:ascii="Times New Roman" w:hAnsi="Calibri" w:eastAsia="宋体" w:cs="Times New Roman"/>
          <w:sz w:val="21"/>
        </w:rPr>
        <w:t>考勤管理长期以来都被看作劳务管理中最常规的部分，但真正进入数字化场景后，它的功能已经明显超出传统签到统计。过去的考勤更多用于核对出勤天数和工资结算，如今则更强调把人员到场状态转化为施工组织的实时依据。自动归集的价值，不在于省去人工抄表，而在于让到场信息能够持续、稳定地进入项目数据链条。谁在场、何时进场、何时离场、属于哪个班组、是否进入指定作业区域，这些信息一旦能够自动形成记录，项目部对劳动力状态的判断就会更及时。</w:t>
      </w:r>
    </w:p>
    <w:p w14:paraId="21429531">
      <w:pPr>
        <w:pStyle w:val="11"/>
        <w:rPr>
          <w:rFonts w:ascii="Times New Roman" w:hAnsi="Calibri" w:eastAsia="宋体" w:cs="Times New Roman"/>
          <w:sz w:val="21"/>
        </w:rPr>
      </w:pPr>
      <w:r>
        <w:rPr>
          <w:rFonts w:ascii="Times New Roman" w:hAnsi="Calibri" w:eastAsia="宋体" w:cs="Times New Roman"/>
          <w:sz w:val="21"/>
        </w:rPr>
        <w:t>考勤数据真正有用，关键在于它不能孤立存在。若系统只是每天生成一张出勤清单，现场仍然需要依靠电话和经验去判断劳动力是否满足施工要求，数字化优势便会大打折扣。更有效的方式，是把考勤数据与施工段、工种结构、任务安排和风险区域管理结合起来。某一作业面当天需要多少木工、钢筋工和架子工，实际到场人数是否满足基本组织要求，特殊工种是否已经到位，这些都可以在考勤归集之后被及时识别。也就是说，考勤管理不应只服务于事后统计，更应服务于当日组织和过程控制。</w:t>
      </w:r>
    </w:p>
    <w:p w14:paraId="3D7A77C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准入与考勤联动控制</w:t>
      </w:r>
    </w:p>
    <w:p w14:paraId="0183100B">
      <w:pPr>
        <w:pStyle w:val="11"/>
        <w:rPr>
          <w:rFonts w:ascii="Times New Roman" w:hAnsi="Calibri" w:eastAsia="宋体" w:cs="Times New Roman"/>
          <w:sz w:val="21"/>
        </w:rPr>
      </w:pPr>
      <w:r>
        <w:rPr>
          <w:rFonts w:ascii="Times New Roman" w:hAnsi="Calibri" w:eastAsia="宋体" w:cs="Times New Roman"/>
          <w:sz w:val="21"/>
        </w:rPr>
        <w:t>实名制准入与考勤若各自独立运行，管理价值会十分有限。前者解决身份确认，后者解决出勤记录，但施工现场真正需要的是把</w:t>
      </w:r>
      <w:r>
        <w:rPr>
          <w:rFonts w:hint="eastAsia" w:ascii="Times New Roman" w:hAnsi="Times New Roman" w:eastAsia="宋体" w:cs="Times New Roman"/>
          <w:sz w:val="21"/>
          <w:lang w:eastAsia="zh-CN"/>
        </w:rPr>
        <w:t>“</w:t>
      </w:r>
      <w:r>
        <w:rPr>
          <w:rFonts w:ascii="Times New Roman" w:hAnsi="Calibri" w:eastAsia="宋体" w:cs="Times New Roman"/>
          <w:sz w:val="21"/>
        </w:rPr>
        <w:t>能不能进</w:t>
      </w:r>
      <w:r>
        <w:rPr>
          <w:rFonts w:hint="eastAsia" w:ascii="Times New Roman" w:hAnsi="Times New Roman" w:eastAsia="宋体" w:cs="Times New Roman"/>
          <w:sz w:val="21"/>
          <w:lang w:eastAsia="zh-CN"/>
        </w:rPr>
        <w:t>”</w:t>
      </w:r>
      <w:r>
        <w:rPr>
          <w:rFonts w:ascii="Times New Roman" w:hAnsi="Calibri" w:eastAsia="宋体" w:cs="Times New Roman"/>
          <w:sz w:val="21"/>
        </w:rPr>
        <w:t>和</w:t>
      </w:r>
      <w:r>
        <w:rPr>
          <w:rFonts w:hint="eastAsia" w:ascii="Times New Roman" w:hAnsi="Times New Roman" w:eastAsia="宋体" w:cs="Times New Roman"/>
          <w:sz w:val="21"/>
          <w:lang w:eastAsia="zh-CN"/>
        </w:rPr>
        <w:t>“</w:t>
      </w:r>
      <w:r>
        <w:rPr>
          <w:rFonts w:ascii="Times New Roman" w:hAnsi="Calibri" w:eastAsia="宋体" w:cs="Times New Roman"/>
          <w:sz w:val="21"/>
        </w:rPr>
        <w:t>有没有来</w:t>
      </w:r>
      <w:r>
        <w:rPr>
          <w:rFonts w:hint="eastAsia" w:ascii="Times New Roman" w:hAnsi="Times New Roman" w:eastAsia="宋体" w:cs="Times New Roman"/>
          <w:sz w:val="21"/>
          <w:lang w:eastAsia="zh-CN"/>
        </w:rPr>
        <w:t>”</w:t>
      </w:r>
      <w:r>
        <w:rPr>
          <w:rFonts w:ascii="Times New Roman" w:hAnsi="Calibri" w:eastAsia="宋体" w:cs="Times New Roman"/>
          <w:sz w:val="21"/>
        </w:rPr>
        <w:t>放到同一逻辑里判断。联动控制的意义，就在于让准入状态、教育记录、岗位授权、班组归属和考勤数据形成连续关系。未完成准入审批的人员，不应进入正常考勤链；培训未达标或资格失效的人员，即便到场，也不应被系统默认为有效作业人员；已经退场或暂时停工的人员，也应及时退出正常统计口径。</w:t>
      </w:r>
    </w:p>
    <w:p w14:paraId="28637ADD">
      <w:pPr>
        <w:pStyle w:val="11"/>
        <w:rPr>
          <w:rFonts w:ascii="Times New Roman" w:hAnsi="Calibri" w:eastAsia="宋体" w:cs="Times New Roman"/>
          <w:sz w:val="21"/>
        </w:rPr>
      </w:pPr>
      <w:r>
        <w:rPr>
          <w:rFonts w:ascii="Times New Roman" w:hAnsi="Calibri" w:eastAsia="宋体" w:cs="Times New Roman"/>
          <w:sz w:val="21"/>
        </w:rPr>
        <w:t>这种联动看上去是技术细节，实则直接影响项目部对劳动力状态的判断准确性。若准入和考勤脱节，系统可能会把不具备上岗条件的人员也计算为有效出勤，表面人数充足，实际作业能力却不足，随后便会在进度、质量和安全管理中暴露问题。联动控制因此不是简单的门禁升级，而是在为劳务数据建立真实性边界。只有当进入现场的每一次通行、每一天出勤、每一次权限变化都能够被统一识别，劳务管理才会从静态台账走向在线协同。</w:t>
      </w:r>
    </w:p>
    <w:p w14:paraId="083A6B32">
      <w:pPr>
        <w:pStyle w:val="4"/>
        <w:numPr>
          <w:ilvl w:val="0"/>
          <w:numId w:val="0"/>
        </w:numPr>
        <w:topLinePunct w:val="0"/>
        <w:ind w:left="0" w:leftChars="0" w:firstLine="422" w:firstLineChars="0"/>
        <w:rPr>
          <w:b/>
        </w:rPr>
      </w:pPr>
      <w:r>
        <w:rPr>
          <w:rFonts w:hint="eastAsia" w:ascii="黑体" w:hAnsi="黑体" w:eastAsia="黑体" w:cs="黑体"/>
          <w:b/>
          <w:sz w:val="21"/>
        </w:rPr>
        <w:t>二、</w:t>
      </w:r>
      <w:r>
        <w:t>班组组织与用工结构分析</w:t>
      </w:r>
    </w:p>
    <w:p w14:paraId="268FF1B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班组结构动态掌握</w:t>
      </w:r>
    </w:p>
    <w:p w14:paraId="5F34935A">
      <w:pPr>
        <w:pStyle w:val="11"/>
        <w:rPr>
          <w:rFonts w:ascii="Times New Roman" w:hAnsi="Calibri" w:eastAsia="宋体" w:cs="Times New Roman"/>
          <w:sz w:val="21"/>
        </w:rPr>
      </w:pPr>
      <w:r>
        <w:rPr>
          <w:rFonts w:ascii="Times New Roman" w:hAnsi="Calibri" w:eastAsia="宋体" w:cs="Times New Roman"/>
          <w:sz w:val="21"/>
        </w:rPr>
        <w:t>施工现场的劳务组织并不是一群工人的简单集合，而是由不同工种、不同技能层次和不同作业任务构成的动态组合。班组管理过去更依赖工长经验，谁带队、谁熟练、谁能补位，很多判断都停留在口头印象中。数字化管理要做的，不是取代这种经验，而是把班组结构从模糊感知转化为可以持续掌握的组织信息。一个班组有多少人，其中熟练工和辅助工比例如何，骨干人员是否稳定，跨工种协作能力怎样，最近是否存在较大流动，这些内容若能被稳定记录，项目部对用工组织的认识就会明显加深。</w:t>
      </w:r>
    </w:p>
    <w:p w14:paraId="368D04BA">
      <w:pPr>
        <w:pStyle w:val="11"/>
        <w:rPr>
          <w:rFonts w:ascii="Times New Roman" w:hAnsi="Calibri" w:eastAsia="宋体" w:cs="Times New Roman"/>
          <w:sz w:val="21"/>
        </w:rPr>
      </w:pPr>
      <w:r>
        <w:rPr>
          <w:rFonts w:ascii="Times New Roman" w:hAnsi="Calibri" w:eastAsia="宋体" w:cs="Times New Roman"/>
          <w:sz w:val="21"/>
        </w:rPr>
        <w:t>动态掌握班组结构，最大的价值在于减少劳务组织的滞后判断。很多项目表面上</w:t>
      </w:r>
      <w:r>
        <w:rPr>
          <w:rFonts w:hint="eastAsia" w:ascii="Times New Roman" w:hAnsi="Times New Roman" w:eastAsia="宋体" w:cs="Times New Roman"/>
          <w:sz w:val="21"/>
          <w:lang w:eastAsia="zh-CN"/>
        </w:rPr>
        <w:t>“</w:t>
      </w:r>
      <w:r>
        <w:rPr>
          <w:rFonts w:ascii="Times New Roman" w:hAnsi="Calibri" w:eastAsia="宋体" w:cs="Times New Roman"/>
          <w:sz w:val="21"/>
        </w:rPr>
        <w:t>人数不少</w:t>
      </w:r>
      <w:r>
        <w:rPr>
          <w:rFonts w:hint="eastAsia" w:ascii="Times New Roman" w:hAnsi="Times New Roman" w:eastAsia="宋体" w:cs="Times New Roman"/>
          <w:sz w:val="21"/>
          <w:lang w:eastAsia="zh-CN"/>
        </w:rPr>
        <w:t>”</w:t>
      </w:r>
      <w:r>
        <w:rPr>
          <w:rFonts w:ascii="Times New Roman" w:hAnsi="Calibri" w:eastAsia="宋体" w:cs="Times New Roman"/>
          <w:sz w:val="21"/>
        </w:rPr>
        <w:t>，真正进入关键节点后却发现可用人员不足，原因并不在总量，而在结构。某个班组辅助工偏多、熟练工偏少，某个工种核心人员连续流失，某个分包名义人数稳定、实际到岗能力下降，这些变化若不能及时看见，后续就会表现为工效下滑和工序衔接失衡。班组结构数字化之后，项目部才能从总人数管理转向结构管理。</w:t>
      </w:r>
    </w:p>
    <w:p w14:paraId="22E0980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用工结构与任务匹配</w:t>
      </w:r>
    </w:p>
    <w:p w14:paraId="0E8C1C0C">
      <w:pPr>
        <w:pStyle w:val="11"/>
        <w:rPr>
          <w:rFonts w:ascii="Times New Roman" w:hAnsi="Calibri" w:eastAsia="宋体" w:cs="Times New Roman"/>
          <w:sz w:val="21"/>
        </w:rPr>
      </w:pPr>
      <w:r>
        <w:rPr>
          <w:rFonts w:ascii="Times New Roman" w:hAnsi="Calibri" w:eastAsia="宋体" w:cs="Times New Roman"/>
          <w:sz w:val="21"/>
        </w:rPr>
        <w:t>劳务管理在线协同的核心，不是把人员信息放进系统，而是让人员结构与施工任务保持更高匹配度。不同阶段、不同作业面、不同专业系统对劳动力的需求差异很大。主体施工阶段强调钢筋、模板、混凝土等工种之间的连续衔接，装饰安装阶段则更依赖多工种平行作业和穿插配合。若用工结构长期按惯性配置，而不根据任务变化及时调整，现场即使保持较高出勤率，也可能出现某些工种闲置、某些工种紧缺的局面。</w:t>
      </w:r>
    </w:p>
    <w:p w14:paraId="262B2A46">
      <w:pPr>
        <w:pStyle w:val="11"/>
        <w:rPr>
          <w:rFonts w:ascii="Times New Roman" w:hAnsi="Calibri" w:eastAsia="宋体" w:cs="Times New Roman"/>
          <w:sz w:val="21"/>
        </w:rPr>
      </w:pPr>
      <w:r>
        <w:rPr>
          <w:rFonts w:ascii="Times New Roman" w:hAnsi="Calibri" w:eastAsia="宋体" w:cs="Times New Roman"/>
          <w:sz w:val="21"/>
        </w:rPr>
        <w:t>数字化分析的优势，恰好体现在这里。通过班组分布、工种构成、实到人数和任务节点之间的对应关系，项目部能够更早发现劳动力配置是否偏离施工任务。某一楼栋砌体推进较快，但配套安装工种尚未跟上，后续便会形成等待；某一施工段模板工投入不足，钢筋绑扎完成后无法顺利转入下道工序，关键线路便会受压。这些问题过去大多要靠现场管理者来回巡查、不断询问才能察觉，现在则可以借助在线数据更快判断。用工结构与任务匹配的本质，是把劳务管理从</w:t>
      </w:r>
      <w:r>
        <w:rPr>
          <w:rFonts w:hint="eastAsia" w:ascii="Times New Roman" w:hAnsi="Times New Roman" w:eastAsia="宋体" w:cs="Times New Roman"/>
          <w:sz w:val="21"/>
          <w:lang w:eastAsia="zh-CN"/>
        </w:rPr>
        <w:t>“</w:t>
      </w:r>
      <w:r>
        <w:rPr>
          <w:rFonts w:ascii="Times New Roman" w:hAnsi="Calibri" w:eastAsia="宋体" w:cs="Times New Roman"/>
          <w:sz w:val="21"/>
        </w:rPr>
        <w:t>有多少人</w:t>
      </w:r>
      <w:r>
        <w:rPr>
          <w:rFonts w:hint="eastAsia" w:ascii="Times New Roman" w:hAnsi="Times New Roman" w:eastAsia="宋体" w:cs="Times New Roman"/>
          <w:sz w:val="21"/>
          <w:lang w:eastAsia="zh-CN"/>
        </w:rPr>
        <w:t>”</w:t>
      </w:r>
      <w:r>
        <w:rPr>
          <w:rFonts w:ascii="Times New Roman" w:hAnsi="Calibri" w:eastAsia="宋体" w:cs="Times New Roman"/>
          <w:sz w:val="21"/>
        </w:rPr>
        <w:t>推进到</w:t>
      </w:r>
      <w:r>
        <w:rPr>
          <w:rFonts w:hint="eastAsia" w:ascii="Times New Roman" w:hAnsi="Times New Roman" w:eastAsia="宋体" w:cs="Times New Roman"/>
          <w:sz w:val="21"/>
          <w:lang w:eastAsia="zh-CN"/>
        </w:rPr>
        <w:t>“</w:t>
      </w:r>
      <w:r>
        <w:rPr>
          <w:rFonts w:ascii="Times New Roman" w:hAnsi="Calibri" w:eastAsia="宋体" w:cs="Times New Roman"/>
          <w:sz w:val="21"/>
        </w:rPr>
        <w:t>这些人是否放在了合适的位置</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2C186BC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用工变化趋势分析</w:t>
      </w:r>
    </w:p>
    <w:p w14:paraId="08F6A0D8">
      <w:pPr>
        <w:pStyle w:val="11"/>
        <w:rPr>
          <w:rFonts w:ascii="Times New Roman" w:hAnsi="Calibri" w:eastAsia="宋体" w:cs="Times New Roman"/>
          <w:sz w:val="21"/>
        </w:rPr>
      </w:pPr>
      <w:r>
        <w:rPr>
          <w:rFonts w:ascii="Times New Roman" w:hAnsi="Calibri" w:eastAsia="宋体" w:cs="Times New Roman"/>
          <w:sz w:val="21"/>
        </w:rPr>
        <w:t>劳务管理若只看某一时点，容易得出片面结论，真正有价值的判断往往来自趋势。班组人数是增加还是减少，核心工种出勤是在稳定还是波动，分包队伍履约能力是逐步增强还是持续走弱，这些都需要通过连续数据才能看清。趋势分析之所以重要，是因为施工现场的很多风险并非突然出现，而是在劳动力缓慢失衡中积累形成。一个班组连续两周出勤下降，也许短期内还未影响节点；若这种趋势不被识别，到了关键工序就可能集中爆发。</w:t>
      </w:r>
    </w:p>
    <w:p w14:paraId="69D684DD">
      <w:pPr>
        <w:pStyle w:val="11"/>
        <w:rPr>
          <w:rFonts w:ascii="Times New Roman" w:hAnsi="Calibri" w:eastAsia="宋体" w:cs="Times New Roman"/>
          <w:sz w:val="21"/>
        </w:rPr>
      </w:pPr>
      <w:r>
        <w:rPr>
          <w:rFonts w:ascii="Times New Roman" w:hAnsi="Calibri" w:eastAsia="宋体" w:cs="Times New Roman"/>
          <w:sz w:val="21"/>
        </w:rPr>
        <w:t>更深入地看，用工变化趋势还能帮助项目部理解劳务问题背后的成因。某类工种持续不足，可能是市场供应紧张，也可能是分包组织能力偏弱；某支班组流动过大，可能与现场组织不顺有关，也可能与结算和管理方式有关。趋势分析并不直接替代管理判断，但它能让判断建立在更连续的事实上，而不是建立在一次性印象之上。劳务在线协同若要真正服务生产组织，必须具备这种从静态统计走向动态识别的能力。</w:t>
      </w:r>
    </w:p>
    <w:p w14:paraId="0DE3C492">
      <w:pPr>
        <w:pStyle w:val="4"/>
        <w:numPr>
          <w:ilvl w:val="0"/>
          <w:numId w:val="0"/>
        </w:numPr>
        <w:topLinePunct w:val="0"/>
        <w:ind w:left="0" w:leftChars="0" w:firstLine="422" w:firstLineChars="0"/>
        <w:rPr>
          <w:b/>
        </w:rPr>
      </w:pPr>
      <w:r>
        <w:rPr>
          <w:rFonts w:hint="eastAsia" w:ascii="黑体" w:hAnsi="黑体" w:eastAsia="黑体" w:cs="黑体"/>
          <w:b/>
          <w:sz w:val="21"/>
        </w:rPr>
        <w:t>三、</w:t>
      </w:r>
      <w:r>
        <w:t>人员行为数据的管理应用</w:t>
      </w:r>
    </w:p>
    <w:p w14:paraId="687E68A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行为轨迹记录方式</w:t>
      </w:r>
    </w:p>
    <w:p w14:paraId="7D331379">
      <w:pPr>
        <w:pStyle w:val="11"/>
        <w:rPr>
          <w:rFonts w:ascii="Times New Roman" w:hAnsi="Calibri" w:eastAsia="宋体" w:cs="Times New Roman"/>
          <w:sz w:val="21"/>
        </w:rPr>
      </w:pPr>
      <w:r>
        <w:rPr>
          <w:rFonts w:ascii="Times New Roman" w:hAnsi="Calibri" w:eastAsia="宋体" w:cs="Times New Roman"/>
          <w:sz w:val="21"/>
        </w:rPr>
        <w:t>人员行为数据是劳务在线协同中最具延展性的一类信息，但也是最需要把握边界的一类信息。它所关注的，不是工人的私人活动，而是与施工组织、安全管理和岗位履责直接相关的现场行为。人员在什么时间进入什么区域，在关键时段是否到达指定作业面，巡检和旁站是否真正发生在规定位置，异常事件发生时周边人员分布如何，这些都属于可用于管理的行为数据。记录方式可以依托门禁、定位、移动终端打卡、巡检签到和视频辅助识别等多种手段形成，但无论采用哪种方式，都应围绕业务需要展开，而不能为了采集而采集。</w:t>
      </w:r>
    </w:p>
    <w:p w14:paraId="1FD84AB0">
      <w:pPr>
        <w:pStyle w:val="11"/>
        <w:bidi w:val="0"/>
      </w:pPr>
      <w:r>
        <w:t>更可将行为轨迹理解为“管理证据的空间化表达”。过去很多现场管理记录只能证明“有人填过表”，却难以证明相关人员是否真正到过现场、是否在规定区域履行了职责。行为数据进入系统后，管理者能够更准确地判断岗位活动与现场状态之间的关系。这类记录若使用得当，既能改善现场透明度，也能减少大量事后解释。当然，行为数据的使用必须坚持必要、适度和明确授权原则，重点服务施工组织和安全治理，而不应滑向与管理目标无关的泛化跟踪。</w:t>
      </w:r>
    </w:p>
    <w:p w14:paraId="518D03B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异常行为识别逻辑</w:t>
      </w:r>
    </w:p>
    <w:p w14:paraId="4F738CF5">
      <w:pPr>
        <w:pStyle w:val="11"/>
        <w:rPr>
          <w:rFonts w:ascii="Times New Roman" w:hAnsi="Calibri" w:eastAsia="宋体" w:cs="Times New Roman"/>
          <w:sz w:val="21"/>
        </w:rPr>
      </w:pPr>
      <w:r>
        <w:rPr>
          <w:rFonts w:ascii="Times New Roman" w:hAnsi="Calibri" w:eastAsia="宋体" w:cs="Times New Roman"/>
          <w:sz w:val="21"/>
        </w:rPr>
        <w:t>行为数据的管理价值，最直接体现在异常识别。施工现场中很多问题在正式事故或重大偏差形成之前，往往会以行为异常的形式提前出现。人员未按规定进入指定作业面，关键岗位在应到时间未到位，高风险区域出现无关人员聚集，夜间时段异常逗留，特定工序施工中旁站人员缺岗，这些都属于值得关注的异常行为。数字化系统的意义，不是简单罗列轨迹，而是把这些偏离正常组织规则的行为及时识别出来。</w:t>
      </w:r>
    </w:p>
    <w:p w14:paraId="6AF5E483">
      <w:pPr>
        <w:pStyle w:val="11"/>
        <w:rPr>
          <w:rFonts w:ascii="Times New Roman" w:hAnsi="Calibri" w:eastAsia="宋体" w:cs="Times New Roman"/>
          <w:sz w:val="21"/>
        </w:rPr>
      </w:pPr>
      <w:r>
        <w:rPr>
          <w:rFonts w:ascii="Times New Roman" w:hAnsi="Calibri" w:eastAsia="宋体" w:cs="Times New Roman"/>
          <w:sz w:val="21"/>
        </w:rPr>
        <w:t>异常识别逻辑必须建立在场景之上。不是所有停留都算异常，不是所有聚集都意味着风险，关键要看行为是否偏离任务要求、区域权限和时间安排。也就是说，异常行为识别不是纯技术判断，而是组织规则与数据判断的结合。只有先定义什么是正常作业状态，系统才能准确识别什么是异常状态。识别逻辑一旦清楚，项目部就能把过去依靠经验发现的问题，逐步转化为较为稳定的预警机制。</w:t>
      </w:r>
    </w:p>
    <w:p w14:paraId="6A9F806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行为数据支持管理干预</w:t>
      </w:r>
    </w:p>
    <w:p w14:paraId="2BA131B6">
      <w:pPr>
        <w:pStyle w:val="11"/>
        <w:rPr>
          <w:rFonts w:ascii="Times New Roman" w:hAnsi="Calibri" w:eastAsia="宋体" w:cs="Times New Roman"/>
          <w:sz w:val="21"/>
        </w:rPr>
      </w:pPr>
      <w:r>
        <w:rPr>
          <w:rFonts w:ascii="Times New Roman" w:hAnsi="Calibri" w:eastAsia="宋体" w:cs="Times New Roman"/>
          <w:sz w:val="21"/>
        </w:rPr>
        <w:t>行为数据若只停留在识别层面，它的价值仍然有限，真正关键的是能否支撑管理干预。发现异常聚集之后，是提醒相关负责人疏导作业，还是调整现场组织；发现关键岗位缺岗之后，是立即补人，还是重新安排工序顺序；发现某些班组长期活动范围与任务安排不匹配，是提示调度失衡，还是反映分包执行偏差，这些都需要管理动作接上数据判断。行为数据因此不是为了替代现场管理，而是为了让管理干预更快、更准、更有依据。</w:t>
      </w:r>
    </w:p>
    <w:p w14:paraId="3358571D">
      <w:pPr>
        <w:pStyle w:val="11"/>
        <w:rPr>
          <w:rFonts w:ascii="Times New Roman" w:hAnsi="Calibri" w:eastAsia="宋体" w:cs="Times New Roman"/>
          <w:sz w:val="21"/>
        </w:rPr>
      </w:pPr>
      <w:r>
        <w:rPr>
          <w:rFonts w:ascii="Times New Roman" w:hAnsi="Calibri" w:eastAsia="宋体" w:cs="Times New Roman"/>
          <w:sz w:val="21"/>
        </w:rPr>
        <w:t>从更长的周期看，行为数据还能反向优化劳务组织。哪些区域长期容易出现无效等待，哪些岗位经常在任务转换时出现空档，哪些班组在高峰作业时段协同性较差，管理者都可以据此调整作业安排和班组配置。这样一来，行为数据就不再只是安全辅助信息，而逐步成为生产组织优化的一部分。对智慧工地而言，劳务管理的在线协同走到这一步，才真正从准入和考勤层面延伸到组织治理层面。</w:t>
      </w:r>
    </w:p>
    <w:p w14:paraId="72C9B70C">
      <w:pPr>
        <w:pStyle w:val="3"/>
        <w:numPr>
          <w:ilvl w:val="0"/>
          <w:numId w:val="0"/>
        </w:numPr>
        <w:ind w:left="0" w:leftChars="0" w:firstLine="0" w:firstLineChars="0"/>
        <w:rPr>
          <w:b/>
        </w:rPr>
      </w:pPr>
      <w:bookmarkStart w:id="23" w:name="_Toc23860"/>
      <w:r>
        <w:rPr>
          <w:rFonts w:hint="eastAsia" w:ascii="宋体" w:hAnsi="宋体" w:eastAsia="黑体" w:cs="宋体"/>
          <w:b/>
          <w:bCs/>
          <w:kern w:val="44"/>
          <w:sz w:val="30"/>
          <w:szCs w:val="30"/>
        </w:rPr>
        <w:t>第三节</w:t>
      </w:r>
      <w:r>
        <w:rPr>
          <w:rFonts w:hint="eastAsia" w:cs="宋体"/>
          <w:b/>
          <w:bCs/>
          <w:kern w:val="44"/>
          <w:sz w:val="30"/>
          <w:szCs w:val="30"/>
          <w:lang w:val="en-US" w:eastAsia="zh-CN"/>
        </w:rPr>
        <w:t xml:space="preserve"> </w:t>
      </w:r>
      <w:r>
        <w:t>机械设备与周转资源管控</w:t>
      </w:r>
      <w:bookmarkEnd w:id="23"/>
      <w:r>
        <w:t xml:space="preserve">   </w:t>
      </w:r>
    </w:p>
    <w:p w14:paraId="09891EC6">
      <w:pPr>
        <w:pStyle w:val="4"/>
        <w:numPr>
          <w:ilvl w:val="0"/>
          <w:numId w:val="0"/>
        </w:numPr>
        <w:topLinePunct w:val="0"/>
        <w:ind w:left="0" w:leftChars="0" w:firstLine="422" w:firstLineChars="0"/>
        <w:rPr>
          <w:b/>
        </w:rPr>
      </w:pPr>
      <w:r>
        <w:rPr>
          <w:rFonts w:hint="eastAsia" w:ascii="黑体" w:hAnsi="黑体" w:eastAsia="黑体" w:cs="黑体"/>
          <w:b/>
          <w:sz w:val="21"/>
        </w:rPr>
        <w:t>一、</w:t>
      </w:r>
      <w:r>
        <w:t>设备台账与状态监测</w:t>
      </w:r>
    </w:p>
    <w:p w14:paraId="57F1347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设备台账的动态建档逻辑</w:t>
      </w:r>
    </w:p>
    <w:p w14:paraId="10A3B6D4">
      <w:pPr>
        <w:pStyle w:val="11"/>
        <w:rPr>
          <w:rFonts w:ascii="Times New Roman" w:hAnsi="Calibri" w:eastAsia="宋体" w:cs="Times New Roman"/>
          <w:sz w:val="21"/>
        </w:rPr>
      </w:pPr>
      <w:r>
        <w:rPr>
          <w:rFonts w:ascii="Times New Roman" w:hAnsi="Calibri" w:eastAsia="宋体" w:cs="Times New Roman"/>
          <w:sz w:val="21"/>
        </w:rPr>
        <w:t>施工现场的机械设备管理，表面上看是设备数量、型号和进退场时间的记录问题，实质上却是施工组织能力能否被看见、被校核、被及时调整的问题。传统项目中，设备台账往往停留在开工初期一次建档、使用过程零散补记的层面，台账更多服务检查和备案，较少真正进入生产组织。到了作业高峰期，项目部常常知道现场有多少设备，却说不清哪些设备处于高效运转状态，哪些设备只是名义在场，哪些设备已经成为工序衔接中的隐性瓶颈。数字化条件下的设备台账，不应只是静态清单，而应成为持续反映设备身份、状态、责任和任务关系的基础底座。</w:t>
      </w:r>
    </w:p>
    <w:p w14:paraId="043BA9ED">
      <w:pPr>
        <w:pStyle w:val="11"/>
        <w:rPr>
          <w:rFonts w:ascii="Times New Roman" w:hAnsi="Calibri" w:eastAsia="宋体" w:cs="Times New Roman"/>
          <w:sz w:val="21"/>
        </w:rPr>
      </w:pPr>
      <w:r>
        <w:rPr>
          <w:rFonts w:ascii="Times New Roman" w:hAnsi="Calibri" w:eastAsia="宋体" w:cs="Times New Roman"/>
          <w:sz w:val="21"/>
        </w:rPr>
        <w:t>真正有效的设备建档，应围绕设备全生命周期展开。设备进场时，不仅要记录名称、型号、编号、产权单位和操作人员信息，还要把安装验收、维保周期、使用区域和责任岗位同步纳入台账。进入使用阶段后，台账又要不断吸收运行时长、停机原因、保养记录和异常处置等动态信息。这样形成的台账，才不是孤立资料，而是设备运行事实的连续表达。</w:t>
      </w:r>
      <w:r>
        <w:rPr>
          <w:rFonts w:hint="eastAsia" w:ascii="Times New Roman" w:hAnsi="Calibri" w:eastAsia="宋体" w:cs="Times New Roman"/>
          <w:sz w:val="21"/>
        </w:rPr>
        <w:t>从项目实践看，很多设备利用效率偏低，并不是因为设备配得少，而是因为项目部无法及时识别设备真实状态，台账没有把设备由“资产对象”转化为“生产对象”。</w:t>
      </w:r>
      <w:r>
        <w:rPr>
          <w:rFonts w:ascii="Times New Roman" w:hAnsi="Calibri" w:eastAsia="宋体" w:cs="Times New Roman"/>
          <w:sz w:val="21"/>
        </w:rPr>
        <w:t>一旦台账真正动态化，设备管理便会从有无控制转向状态控制。</w:t>
      </w:r>
    </w:p>
    <w:p w14:paraId="7E1F5BD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状态监测的现场组织价值</w:t>
      </w:r>
    </w:p>
    <w:p w14:paraId="30FC876E">
      <w:pPr>
        <w:pStyle w:val="11"/>
        <w:rPr>
          <w:rFonts w:ascii="Times New Roman" w:hAnsi="Calibri" w:eastAsia="宋体" w:cs="Times New Roman"/>
          <w:sz w:val="21"/>
        </w:rPr>
      </w:pPr>
      <w:r>
        <w:rPr>
          <w:rFonts w:ascii="Times New Roman" w:hAnsi="Calibri" w:eastAsia="宋体" w:cs="Times New Roman"/>
          <w:sz w:val="21"/>
        </w:rPr>
        <w:t>状态监测的意义，并不在于平台上出现几条曲线，也不在于设备多了几个参数，而在于设备运行是否能够更早进入项目判断链。施工现场的很多组织问题，最初并不表现为工期滞后，而是表现为设备负荷失衡、等待时间拉长、故障停机增加和作业切换不顺。若这些状态只能依赖工长现场汇报，项目部就很难在问题放大前作出调整。数字化监测使设备运行从经验感知转向连续观察，设备开机、停机、空转、超负荷、超时运行和异常报警都能更及时进入系统，从而让生产组织建立在更接近现场真实的依据之上。</w:t>
      </w:r>
    </w:p>
    <w:p w14:paraId="5340C5AE">
      <w:pPr>
        <w:pStyle w:val="11"/>
        <w:rPr>
          <w:rFonts w:ascii="Times New Roman" w:hAnsi="Calibri" w:eastAsia="宋体" w:cs="Times New Roman"/>
          <w:sz w:val="21"/>
        </w:rPr>
      </w:pPr>
      <w:r>
        <w:rPr>
          <w:rFonts w:ascii="Times New Roman" w:hAnsi="Calibri" w:eastAsia="宋体" w:cs="Times New Roman"/>
          <w:sz w:val="21"/>
        </w:rPr>
        <w:t>状态监测更值得强调的一点，是它不应孤立理解为设备技术管理。对施工现场而言，设备状态直接关联工序推进、作业节奏和资源协同。塔机调度紧张，会影响材料垂直运输和模板周转；施工升降机等待时间过长，会压缩作业层有效工时；混凝土泵送设备故障，则可能使连续施工链条被迫中断。也就是说，设备状态变化的后果最终会传导到进度、成本和安全层面。监测的价值，恰恰在于让这种传导关系能够被更早识别。设备管理若只是看设备本身，价值有限；若能看见设备对施工组织的影响，数字化监测才真正有了管理深度。</w:t>
      </w:r>
    </w:p>
    <w:p w14:paraId="458463B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台账与监测的一体化应用</w:t>
      </w:r>
    </w:p>
    <w:p w14:paraId="6941AD74">
      <w:pPr>
        <w:pStyle w:val="11"/>
        <w:rPr>
          <w:rFonts w:ascii="Times New Roman" w:hAnsi="Calibri" w:eastAsia="宋体" w:cs="Times New Roman"/>
          <w:sz w:val="21"/>
        </w:rPr>
      </w:pPr>
      <w:r>
        <w:rPr>
          <w:rFonts w:ascii="Times New Roman" w:hAnsi="Calibri" w:eastAsia="宋体" w:cs="Times New Roman"/>
          <w:sz w:val="21"/>
        </w:rPr>
        <w:t>设备台账和状态监测若彼此分离，管理效果会明显受限。台账负责说明设备是谁、归谁、在哪儿，监测负责说明设备在做什么、状态怎样、是否异常，二者只有真正连起来，项目部才可能形成完整判断。现实中常见的低效情形是，台账做得很齐，运行数据也在持续上传，但两套信息并未真正对应，结果是设备异常时还要人工再去核对产权单位、操作人员和维保责任，处置效率依旧不高。更合理的方式，是让台账成为监测的身份基础，让监测成为台账的动态补充。设备一旦报警，系统不仅应显示参数异常，还应同步显示设备类别、责任单位、最近保养时间、当前所在区域和对应作业任务，使异常能够被迅速放回具体管理情境之中。</w:t>
      </w:r>
    </w:p>
    <w:p w14:paraId="47A9EDAD">
      <w:pPr>
        <w:pStyle w:val="11"/>
        <w:rPr>
          <w:rFonts w:ascii="Times New Roman" w:hAnsi="Calibri" w:eastAsia="宋体" w:cs="Times New Roman"/>
          <w:sz w:val="21"/>
        </w:rPr>
      </w:pPr>
      <w:r>
        <w:rPr>
          <w:rFonts w:ascii="Times New Roman" w:hAnsi="Calibri" w:eastAsia="宋体" w:cs="Times New Roman"/>
          <w:sz w:val="21"/>
        </w:rPr>
        <w:t>这种一体化应用还能推动设备管理从被动维修转向预防性干预。某台设备连续多日运行时长过高、停机次数增加、负荷波动明显，虽然尚未完全故障，但已经足以提示项目部调整使用节奏或安排检修。台账与监测联动之后，设备管理不再只是出了问题再去修，而是能够在状态变化中提前干预。这种变化看似细微，实际上非常关键，因为施工现场真正耗费时间和成本的，往往不是一次明确故障，而是那些长期积累却未被及时识别的小异常。</w:t>
      </w:r>
    </w:p>
    <w:p w14:paraId="192A7196">
      <w:pPr>
        <w:pStyle w:val="4"/>
        <w:numPr>
          <w:ilvl w:val="0"/>
          <w:numId w:val="0"/>
        </w:numPr>
        <w:topLinePunct w:val="0"/>
        <w:ind w:left="0" w:leftChars="0" w:firstLine="422" w:firstLineChars="0"/>
        <w:rPr>
          <w:b/>
        </w:rPr>
      </w:pPr>
      <w:r>
        <w:rPr>
          <w:rFonts w:hint="eastAsia" w:ascii="黑体" w:hAnsi="黑体" w:eastAsia="黑体" w:cs="黑体"/>
          <w:b/>
          <w:sz w:val="21"/>
        </w:rPr>
        <w:t>二、</w:t>
      </w:r>
      <w:r>
        <w:t>特种设备使用风险识别</w:t>
      </w:r>
    </w:p>
    <w:p w14:paraId="5764672D">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风险识别的对象与层次</w:t>
      </w:r>
    </w:p>
    <w:p w14:paraId="05CFAE52">
      <w:pPr>
        <w:pStyle w:val="11"/>
        <w:rPr>
          <w:rFonts w:ascii="Times New Roman" w:hAnsi="Calibri" w:eastAsia="宋体" w:cs="Times New Roman"/>
          <w:sz w:val="21"/>
        </w:rPr>
      </w:pPr>
      <w:r>
        <w:rPr>
          <w:rFonts w:ascii="Times New Roman" w:hAnsi="Calibri" w:eastAsia="宋体" w:cs="Times New Roman"/>
          <w:sz w:val="21"/>
        </w:rPr>
        <w:t>特种设备管理之所以必须被单独提出，是因为它承担的不是一般意义上的生产支撑功能，而是高风险条件下的关键作业保障。塔式起重机、施工升降机、吊篮、附着式升降脚手架等设备一旦失稳，其影响通常不再局限于设备本身，而会迅速扩展到作业人员、周边作业面和整体施工秩序。传统管理中，特种设备风险识别更多依赖专项检查、持证上岗审核和人工巡查，这些措施当然必要，但在作业密集、节奏加快的现场条件下，仅靠间断性检查已难以覆盖全过程变化。数字化识别的意义，就在于把原本离散的风险观察转化为持续性、结构化的状态判断。</w:t>
      </w:r>
    </w:p>
    <w:p w14:paraId="045C8D90">
      <w:pPr>
        <w:pStyle w:val="11"/>
        <w:rPr>
          <w:rFonts w:ascii="Times New Roman" w:hAnsi="Calibri" w:eastAsia="宋体" w:cs="Times New Roman"/>
          <w:sz w:val="21"/>
        </w:rPr>
      </w:pPr>
      <w:r>
        <w:rPr>
          <w:rFonts w:ascii="Times New Roman" w:hAnsi="Calibri" w:eastAsia="宋体" w:cs="Times New Roman"/>
          <w:sz w:val="21"/>
        </w:rPr>
        <w:t>特种设备风险并非只有</w:t>
      </w:r>
      <w:r>
        <w:rPr>
          <w:rFonts w:hint="eastAsia" w:ascii="Times New Roman" w:hAnsi="Times New Roman" w:eastAsia="宋体" w:cs="Times New Roman"/>
          <w:sz w:val="21"/>
          <w:lang w:eastAsia="zh-CN"/>
        </w:rPr>
        <w:t>“</w:t>
      </w:r>
      <w:r>
        <w:rPr>
          <w:rFonts w:ascii="Times New Roman" w:hAnsi="Calibri" w:eastAsia="宋体" w:cs="Times New Roman"/>
          <w:sz w:val="21"/>
        </w:rPr>
        <w:t>要么安全、要么危险</w:t>
      </w:r>
      <w:r>
        <w:rPr>
          <w:rFonts w:hint="eastAsia" w:ascii="Times New Roman" w:hAnsi="Times New Roman" w:eastAsia="宋体" w:cs="Times New Roman"/>
          <w:sz w:val="21"/>
          <w:lang w:eastAsia="zh-CN"/>
        </w:rPr>
        <w:t>”</w:t>
      </w:r>
      <w:r>
        <w:rPr>
          <w:rFonts w:ascii="Times New Roman" w:hAnsi="Calibri" w:eastAsia="宋体" w:cs="Times New Roman"/>
          <w:sz w:val="21"/>
        </w:rPr>
        <w:t>两种极端状态，更常见的是渐进式偏离。设备自身参数异常、关键部件磨损、司机操作不规范、环境条件变化、周边交叉作业增多、维护不到位，这些因素往往不是单独出现，而是叠加形成风险。风险识别因此不应停留在单一参数超限，而要从设备状态、使用行为、空间环境和管理响应四个层面综合判断。设备状态反映本体是否稳定，使用行为反映操作是否合规，空间环境反映周边作业是否放大风险，管理响应则决定异常出现后能否被迅速处置。把这几层关系理顺，风险识别才不会流于报警数量的堆积。</w:t>
      </w:r>
    </w:p>
    <w:p w14:paraId="5A4D8AA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高风险状态的连续判读</w:t>
      </w:r>
    </w:p>
    <w:p w14:paraId="580269FF">
      <w:pPr>
        <w:pStyle w:val="11"/>
        <w:rPr>
          <w:rFonts w:ascii="Times New Roman" w:hAnsi="Calibri" w:eastAsia="宋体" w:cs="Times New Roman"/>
          <w:sz w:val="21"/>
        </w:rPr>
      </w:pPr>
      <w:r>
        <w:rPr>
          <w:rFonts w:ascii="Times New Roman" w:hAnsi="Calibri" w:eastAsia="宋体" w:cs="Times New Roman"/>
          <w:sz w:val="21"/>
        </w:rPr>
        <w:t>特种设备数字化管理最容易被误解为</w:t>
      </w:r>
      <w:r>
        <w:rPr>
          <w:rFonts w:hint="eastAsia" w:ascii="Times New Roman" w:hAnsi="Times New Roman" w:eastAsia="宋体" w:cs="Times New Roman"/>
          <w:sz w:val="21"/>
          <w:lang w:eastAsia="zh-CN"/>
        </w:rPr>
        <w:t>“</w:t>
      </w:r>
      <w:r>
        <w:rPr>
          <w:rFonts w:ascii="Times New Roman" w:hAnsi="Calibri" w:eastAsia="宋体" w:cs="Times New Roman"/>
          <w:sz w:val="21"/>
        </w:rPr>
        <w:t>装上监测就等于风险可控</w:t>
      </w:r>
      <w:r>
        <w:rPr>
          <w:rFonts w:hint="eastAsia" w:ascii="Times New Roman" w:hAnsi="Times New Roman" w:eastAsia="宋体" w:cs="Times New Roman"/>
          <w:sz w:val="21"/>
          <w:lang w:eastAsia="zh-CN"/>
        </w:rPr>
        <w:t>”</w:t>
      </w:r>
      <w:r>
        <w:rPr>
          <w:rFonts w:ascii="Times New Roman" w:hAnsi="Calibri" w:eastAsia="宋体" w:cs="Times New Roman"/>
          <w:sz w:val="21"/>
        </w:rPr>
        <w:t>。实际上，真正困难的并不是采集到几个数据，而是能否对高风险状态作出连续判读。单个时点的异常并不总是危险，真正值得警惕的，往往是持续偏离、反复波动和多项信号叠加。比如塔机在某一时段载荷接近上限，也许仍属正常工况；若同时伴随大风影响、回转频繁、运行时间过长和操作节奏异常，其风险等级便会明显提高。数字化识别的优势，正是在于能够把这些零散迹象放到同一链条中观察。</w:t>
      </w:r>
    </w:p>
    <w:p w14:paraId="0F4FE126">
      <w:pPr>
        <w:pStyle w:val="11"/>
        <w:rPr>
          <w:rFonts w:ascii="Times New Roman" w:hAnsi="Calibri" w:eastAsia="宋体" w:cs="Times New Roman"/>
          <w:sz w:val="21"/>
        </w:rPr>
      </w:pPr>
      <w:r>
        <w:rPr>
          <w:rFonts w:ascii="Times New Roman" w:hAnsi="Calibri" w:eastAsia="宋体" w:cs="Times New Roman"/>
          <w:sz w:val="21"/>
        </w:rPr>
        <w:t>现场管理中还有一个非常现实的问题，即高风险状态常常不是设备管理人员单独能看清的，而需要项目生产、安全和设备多岗位共同判断。数字化平台若能把监测数据、作业区域、天气条件和现场任务安排结合起来，管理者对风险的认识就会更完整。这里的重点不是追求复杂算法，而是让高风险状态不再只依赖个别人经验，而能够形成较为稳定的预警规则。预警一旦与现场节奏相吻合，项目部就不必等到异常演变为故障或事故后再集中处理。</w:t>
      </w:r>
    </w:p>
    <w:p w14:paraId="083A10D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识别结果转化为管控动作</w:t>
      </w:r>
    </w:p>
    <w:p w14:paraId="1A8FC35C">
      <w:pPr>
        <w:pStyle w:val="11"/>
        <w:rPr>
          <w:rFonts w:ascii="Times New Roman" w:hAnsi="Calibri" w:eastAsia="宋体" w:cs="Times New Roman"/>
          <w:sz w:val="21"/>
        </w:rPr>
      </w:pPr>
      <w:r>
        <w:rPr>
          <w:rFonts w:ascii="Times New Roman" w:hAnsi="Calibri" w:eastAsia="宋体" w:cs="Times New Roman"/>
          <w:sz w:val="21"/>
        </w:rPr>
        <w:t>风险识别若只停留在界面提醒层面，其价值是有限的。施工现场真正需要的，是把识别结果迅速转化为可执行的管控动作。设备停机检查、作业区域清场、司机替换、维保提前、吊装计划调整、上下工序错峰安排，这些才是风险识别之后真正改变现场状态的关键环节。很多项目的问题不在于没有识别，而在于识别结果没有及时进入责任链，导致预警长期停留在技术层，未能转化为组织层动作。</w:t>
      </w:r>
    </w:p>
    <w:p w14:paraId="5548A47B">
      <w:pPr>
        <w:pStyle w:val="11"/>
        <w:rPr>
          <w:rFonts w:ascii="Times New Roman" w:hAnsi="Calibri" w:eastAsia="宋体" w:cs="Times New Roman"/>
          <w:sz w:val="21"/>
        </w:rPr>
      </w:pPr>
      <w:r>
        <w:rPr>
          <w:rFonts w:ascii="Times New Roman" w:hAnsi="Calibri" w:eastAsia="宋体" w:cs="Times New Roman"/>
          <w:sz w:val="21"/>
        </w:rPr>
        <w:t>更成熟的做法，是让风险识别与责任岗位、处置时限和复核要求同步关联。谁接收异常，谁确认属实，谁决定停机或限载，谁完成现场复核，谁恢复正常使用状态，都应在系统中形成清晰路径。这样一来，特种设备管理就不再是设备员单线条工作，而会变成多岗位协同的风险管控链条。</w:t>
      </w:r>
      <w:r>
        <w:rPr>
          <w:rFonts w:hint="eastAsia" w:ascii="Times New Roman" w:hAnsi="Calibri" w:eastAsia="宋体" w:cs="Times New Roman"/>
          <w:sz w:val="21"/>
        </w:rPr>
        <w:t>更值得强调的是</w:t>
      </w:r>
      <w:r>
        <w:rPr>
          <w:rFonts w:ascii="Times New Roman" w:hAnsi="Calibri" w:eastAsia="宋体" w:cs="Times New Roman"/>
          <w:sz w:val="21"/>
        </w:rPr>
        <w:t>：数字化识别的真正进步，不是平台更会报警，而是项目对报警的反应更快、更准、更有秩序。只有识别结果稳定进入处置流程，特种设备风险管理才真正从</w:t>
      </w:r>
      <w:r>
        <w:rPr>
          <w:rFonts w:hint="eastAsia" w:ascii="Times New Roman" w:hAnsi="Times New Roman" w:eastAsia="宋体" w:cs="Times New Roman"/>
          <w:sz w:val="21"/>
          <w:lang w:eastAsia="zh-CN"/>
        </w:rPr>
        <w:t>“</w:t>
      </w:r>
      <w:r>
        <w:rPr>
          <w:rFonts w:ascii="Times New Roman" w:hAnsi="Calibri" w:eastAsia="宋体" w:cs="Times New Roman"/>
          <w:sz w:val="21"/>
        </w:rPr>
        <w:t>看见风险</w:t>
      </w:r>
      <w:r>
        <w:rPr>
          <w:rFonts w:hint="eastAsia" w:ascii="Times New Roman" w:hAnsi="Times New Roman" w:eastAsia="宋体" w:cs="Times New Roman"/>
          <w:sz w:val="21"/>
          <w:lang w:eastAsia="zh-CN"/>
        </w:rPr>
        <w:t>”</w:t>
      </w:r>
      <w:r>
        <w:rPr>
          <w:rFonts w:ascii="Times New Roman" w:hAnsi="Calibri" w:eastAsia="宋体" w:cs="Times New Roman"/>
          <w:sz w:val="21"/>
        </w:rPr>
        <w:t>走向</w:t>
      </w:r>
      <w:r>
        <w:rPr>
          <w:rFonts w:hint="eastAsia" w:ascii="Times New Roman" w:hAnsi="Times New Roman" w:eastAsia="宋体" w:cs="Times New Roman"/>
          <w:sz w:val="21"/>
          <w:lang w:eastAsia="zh-CN"/>
        </w:rPr>
        <w:t>“</w:t>
      </w:r>
      <w:r>
        <w:rPr>
          <w:rFonts w:ascii="Times New Roman" w:hAnsi="Calibri" w:eastAsia="宋体" w:cs="Times New Roman"/>
          <w:sz w:val="21"/>
        </w:rPr>
        <w:t>压住风险</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7C751243">
      <w:pPr>
        <w:pStyle w:val="4"/>
        <w:numPr>
          <w:ilvl w:val="0"/>
          <w:numId w:val="0"/>
        </w:numPr>
        <w:topLinePunct w:val="0"/>
        <w:ind w:left="0" w:leftChars="0" w:firstLine="422" w:firstLineChars="0"/>
        <w:rPr>
          <w:b/>
        </w:rPr>
      </w:pPr>
      <w:r>
        <w:rPr>
          <w:rFonts w:hint="eastAsia" w:ascii="黑体" w:hAnsi="黑体" w:eastAsia="黑体" w:cs="黑体"/>
          <w:b/>
          <w:sz w:val="21"/>
        </w:rPr>
        <w:t>三、</w:t>
      </w:r>
      <w:r>
        <w:t>周转资源调配与利用效率提升</w:t>
      </w:r>
    </w:p>
    <w:p w14:paraId="33C6296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周转资源数字化识别基础</w:t>
      </w:r>
    </w:p>
    <w:p w14:paraId="0E69BCBF">
      <w:pPr>
        <w:pStyle w:val="11"/>
        <w:rPr>
          <w:rFonts w:ascii="Times New Roman" w:hAnsi="Calibri" w:eastAsia="宋体" w:cs="Times New Roman"/>
          <w:sz w:val="21"/>
        </w:rPr>
      </w:pPr>
      <w:r>
        <w:rPr>
          <w:rFonts w:ascii="Times New Roman" w:hAnsi="Calibri" w:eastAsia="宋体" w:cs="Times New Roman"/>
          <w:sz w:val="21"/>
        </w:rPr>
        <w:t>施工现场的周转资源管理，长期以来都是最容易被低估、却又最直接影响成本和节奏的环节。模板、钢管、扣件、脚手板、周转箱、配电箱以及各类临设配套资源，看似单件价值有限，但数量大、流动快、分布散，一旦管理粗放，便会迅速演变为资源浪费、工序等待和现场混乱。传统管理更多依赖仓库台账和人工清点，能够回答</w:t>
      </w:r>
      <w:r>
        <w:rPr>
          <w:rFonts w:hint="eastAsia" w:ascii="Times New Roman" w:hAnsi="Times New Roman" w:eastAsia="宋体" w:cs="Times New Roman"/>
          <w:sz w:val="21"/>
          <w:lang w:eastAsia="zh-CN"/>
        </w:rPr>
        <w:t>“</w:t>
      </w:r>
      <w:r>
        <w:rPr>
          <w:rFonts w:ascii="Times New Roman" w:hAnsi="Calibri" w:eastAsia="宋体" w:cs="Times New Roman"/>
          <w:sz w:val="21"/>
        </w:rPr>
        <w:t>理论上有多少</w:t>
      </w:r>
      <w:r>
        <w:rPr>
          <w:rFonts w:hint="eastAsia" w:ascii="Times New Roman" w:hAnsi="Times New Roman" w:eastAsia="宋体" w:cs="Times New Roman"/>
          <w:sz w:val="21"/>
          <w:lang w:eastAsia="zh-CN"/>
        </w:rPr>
        <w:t>”</w:t>
      </w:r>
      <w:r>
        <w:rPr>
          <w:rFonts w:ascii="Times New Roman" w:hAnsi="Calibri" w:eastAsia="宋体" w:cs="Times New Roman"/>
          <w:sz w:val="21"/>
        </w:rPr>
        <w:t>，却难以及时回答</w:t>
      </w:r>
      <w:r>
        <w:rPr>
          <w:rFonts w:hint="eastAsia" w:ascii="Times New Roman" w:hAnsi="Times New Roman" w:eastAsia="宋体" w:cs="Times New Roman"/>
          <w:sz w:val="21"/>
          <w:lang w:eastAsia="zh-CN"/>
        </w:rPr>
        <w:t>“</w:t>
      </w:r>
      <w:r>
        <w:rPr>
          <w:rFonts w:ascii="Times New Roman" w:hAnsi="Calibri" w:eastAsia="宋体" w:cs="Times New Roman"/>
          <w:sz w:val="21"/>
        </w:rPr>
        <w:t>现在在哪儿、是否可用、是否匹配当前作业面</w:t>
      </w:r>
      <w:r>
        <w:rPr>
          <w:rFonts w:hint="eastAsia" w:ascii="Times New Roman" w:hAnsi="Times New Roman" w:eastAsia="宋体" w:cs="Times New Roman"/>
          <w:sz w:val="21"/>
          <w:lang w:eastAsia="zh-CN"/>
        </w:rPr>
        <w:t>”</w:t>
      </w:r>
      <w:r>
        <w:rPr>
          <w:rFonts w:ascii="Times New Roman" w:hAnsi="Calibri" w:eastAsia="宋体" w:cs="Times New Roman"/>
          <w:sz w:val="21"/>
        </w:rPr>
        <w:t>。数字化调配的第一步，正是让周转资源拥有可识别身份，使其从模糊库存转变为可调度对象。</w:t>
      </w:r>
    </w:p>
    <w:p w14:paraId="51369283">
      <w:pPr>
        <w:pStyle w:val="11"/>
        <w:rPr>
          <w:rFonts w:ascii="Times New Roman" w:hAnsi="Calibri" w:eastAsia="宋体" w:cs="Times New Roman"/>
          <w:sz w:val="21"/>
        </w:rPr>
      </w:pPr>
      <w:r>
        <w:rPr>
          <w:rFonts w:ascii="Times New Roman" w:hAnsi="Calibri" w:eastAsia="宋体" w:cs="Times New Roman"/>
          <w:sz w:val="21"/>
        </w:rPr>
        <w:t>这种识别不一定要求每一件资源都达到高成本精细追踪，但至少应让关键类别资源在区域、状态和责任上能够被看见。资源当前位于哪个楼栋、哪个区段，是在用、待用、待修还是待退，归哪一支队伍使用，预计何时释放出来，这些信息一旦能够被较稳定地掌握，周转资源管理就会从经验盘算走向事实判断。资源识别做实之后，项目部才可能摆脱</w:t>
      </w:r>
      <w:r>
        <w:rPr>
          <w:rFonts w:hint="eastAsia" w:ascii="Times New Roman" w:hAnsi="Times New Roman" w:eastAsia="宋体" w:cs="Times New Roman"/>
          <w:sz w:val="21"/>
          <w:lang w:eastAsia="zh-CN"/>
        </w:rPr>
        <w:t>“</w:t>
      </w:r>
      <w:r>
        <w:rPr>
          <w:rFonts w:ascii="Times New Roman" w:hAnsi="Calibri" w:eastAsia="宋体" w:cs="Times New Roman"/>
          <w:sz w:val="21"/>
        </w:rPr>
        <w:t>缺了就补、乱了再找</w:t>
      </w:r>
      <w:r>
        <w:rPr>
          <w:rFonts w:hint="eastAsia" w:ascii="Times New Roman" w:hAnsi="Times New Roman" w:eastAsia="宋体" w:cs="Times New Roman"/>
          <w:sz w:val="21"/>
          <w:lang w:eastAsia="zh-CN"/>
        </w:rPr>
        <w:t>”</w:t>
      </w:r>
      <w:r>
        <w:rPr>
          <w:rFonts w:ascii="Times New Roman" w:hAnsi="Calibri" w:eastAsia="宋体" w:cs="Times New Roman"/>
          <w:sz w:val="21"/>
        </w:rPr>
        <w:t>的被动局面。</w:t>
      </w:r>
    </w:p>
    <w:p w14:paraId="2A32386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资源调配与作业面衔接优化</w:t>
      </w:r>
    </w:p>
    <w:p w14:paraId="0E68165B">
      <w:pPr>
        <w:pStyle w:val="11"/>
        <w:rPr>
          <w:rFonts w:ascii="Times New Roman" w:hAnsi="Calibri" w:eastAsia="宋体" w:cs="Times New Roman"/>
          <w:sz w:val="21"/>
        </w:rPr>
      </w:pPr>
      <w:r>
        <w:rPr>
          <w:rFonts w:ascii="Times New Roman" w:hAnsi="Calibri" w:eastAsia="宋体" w:cs="Times New Roman"/>
          <w:sz w:val="21"/>
        </w:rPr>
        <w:t>周转资源真正的管理价值，不在仓库，而在作业面衔接。施工组织中大量低效并不是资源绝对不足，而是资源到达时间、到达位置和作业需求之间没有对上节奏。某一区域模板尚未拆除，下一区域却已等待支设；钢管明明总量充足，但局部作业面始终短缺；临边防护构件已回收却未能及时转运到新作业区，最后又只能临时采购补位。这些情况表面看是资源问题，实质上是调配问题。数字化调配的重点，就是让资源状态与作业计划、工序转换和空间位置形成更紧密的对应。</w:t>
      </w:r>
    </w:p>
    <w:p w14:paraId="70182271">
      <w:pPr>
        <w:pStyle w:val="11"/>
        <w:rPr>
          <w:rFonts w:ascii="Times New Roman" w:hAnsi="Calibri" w:eastAsia="宋体" w:cs="Times New Roman"/>
          <w:sz w:val="21"/>
        </w:rPr>
      </w:pPr>
      <w:r>
        <w:rPr>
          <w:rFonts w:ascii="Times New Roman" w:hAnsi="Calibri" w:eastAsia="宋体" w:cs="Times New Roman"/>
          <w:sz w:val="21"/>
        </w:rPr>
        <w:t>优化资源衔接，需要把计划视角引入周转管理。哪些资源在未来一周会集中需求，哪些资源即将释放，哪些区域存在明显积压，哪些队伍长期占用却利用率不高，这些都应成为调配判断的依据。资源一旦被放进施工节奏中看，管理方式就会发生变化。过去是哪里喊缺就先往哪里送，现在则更应根据计划节点、工序成熟度和替代可能性做出更有序的调度安排。这样做不仅能减少等待时间，也能显著降低周转资源的闲置和重复投入。</w:t>
      </w:r>
    </w:p>
    <w:p w14:paraId="7B9A090D">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利用效率的持续提升路径</w:t>
      </w:r>
    </w:p>
    <w:p w14:paraId="35F919BF">
      <w:pPr>
        <w:pStyle w:val="11"/>
        <w:rPr>
          <w:rFonts w:ascii="Times New Roman" w:hAnsi="Calibri" w:eastAsia="宋体" w:cs="Times New Roman"/>
          <w:sz w:val="21"/>
        </w:rPr>
      </w:pPr>
      <w:r>
        <w:rPr>
          <w:rFonts w:ascii="Times New Roman" w:hAnsi="Calibri" w:eastAsia="宋体" w:cs="Times New Roman"/>
          <w:sz w:val="21"/>
        </w:rPr>
        <w:t>周转资源利用效率的提升，并不是靠一次盘点或一次集中整顿就能完成，它更依赖于持续可见、持续比较和持续纠偏。项目部若想真正提高资源周转率，应当形成三类常态化判断：一类是资源周转周期是否合理，某类资源从投入使用到释放回库用了多久；一类是区域占用效率是否均衡，是否存在长期压占和低效闲置；还有一类是损耗与维修比例是否异常，是否说明使用方式本身存在粗放问题。只有把这些变化持续纳入观察，资源管理才可能从静态保管走向动态优化。</w:t>
      </w:r>
    </w:p>
    <w:p w14:paraId="2B65B96B">
      <w:pPr>
        <w:pStyle w:val="11"/>
        <w:rPr>
          <w:rFonts w:ascii="Times New Roman" w:hAnsi="Calibri" w:eastAsia="宋体" w:cs="Times New Roman"/>
          <w:sz w:val="21"/>
        </w:rPr>
      </w:pPr>
      <w:r>
        <w:rPr>
          <w:rFonts w:ascii="Times New Roman" w:hAnsi="Calibri" w:eastAsia="宋体" w:cs="Times New Roman"/>
          <w:sz w:val="21"/>
        </w:rPr>
        <w:t>从项目实践看，周转资源效率提升最有效的方法，往往不是单纯强调节约，而是把资源管理嵌入现场组织逻辑之中。谁占用、谁反馈、谁移交、谁修复、谁复用，责任越清楚，资源越容易流起来；状态越透明，调配越不依赖个人记忆；计划衔接越紧，资源越不容易在局部沉积。也正因为如此，周转资源数字化管理不应被理解为仓储管理的附属环节，而应被视为施工组织优化的一部分。资源真正流动起来，设备和劳务的组织效率也会随之改善，现场生产的整体节奏便更容易稳定下来。</w:t>
      </w:r>
    </w:p>
    <w:p w14:paraId="19776591">
      <w:pPr>
        <w:pStyle w:val="3"/>
        <w:numPr>
          <w:ilvl w:val="0"/>
          <w:numId w:val="0"/>
        </w:numPr>
        <w:ind w:left="0" w:leftChars="0" w:firstLine="0" w:firstLineChars="0"/>
        <w:rPr>
          <w:b/>
        </w:rPr>
      </w:pPr>
      <w:bookmarkStart w:id="24" w:name="_Toc1729"/>
      <w:r>
        <w:rPr>
          <w:rFonts w:hint="eastAsia" w:ascii="宋体" w:hAnsi="宋体" w:eastAsia="黑体" w:cs="宋体"/>
          <w:b/>
          <w:bCs/>
          <w:kern w:val="44"/>
          <w:sz w:val="30"/>
          <w:szCs w:val="30"/>
        </w:rPr>
        <w:t>第四节</w:t>
      </w:r>
      <w:r>
        <w:rPr>
          <w:rFonts w:hint="eastAsia" w:cs="宋体"/>
          <w:b/>
          <w:bCs/>
          <w:kern w:val="44"/>
          <w:sz w:val="30"/>
          <w:szCs w:val="30"/>
          <w:lang w:val="en-US" w:eastAsia="zh-CN"/>
        </w:rPr>
        <w:t xml:space="preserve"> </w:t>
      </w:r>
      <w:r>
        <w:t>材料供应与现场配置管理</w:t>
      </w:r>
      <w:bookmarkEnd w:id="24"/>
      <w:r>
        <w:t xml:space="preserve">  </w:t>
      </w:r>
    </w:p>
    <w:p w14:paraId="19429621">
      <w:pPr>
        <w:pStyle w:val="4"/>
        <w:bidi w:val="0"/>
        <w:rPr>
          <w:rFonts w:hint="eastAsia"/>
        </w:rPr>
      </w:pPr>
      <w:r>
        <w:rPr>
          <w:rFonts w:hint="eastAsia"/>
        </w:rPr>
        <w:t>一、材料入场验收与来源追溯</w:t>
      </w:r>
    </w:p>
    <w:p w14:paraId="0817AB96">
      <w:pPr>
        <w:pStyle w:val="11"/>
        <w:rPr>
          <w:rFonts w:hint="eastAsia" w:ascii="Times New Roman" w:hAnsi="Calibri" w:eastAsia="宋体" w:cs="Times New Roman"/>
          <w:sz w:val="21"/>
        </w:rPr>
      </w:pPr>
      <w:r>
        <w:rPr>
          <w:rFonts w:hint="eastAsia" w:ascii="Times New Roman" w:hAnsi="Calibri" w:eastAsia="宋体" w:cs="Times New Roman"/>
          <w:sz w:val="21"/>
        </w:rPr>
        <w:t>（一）入场验收由结果把关转向过程核验</w:t>
      </w:r>
    </w:p>
    <w:p w14:paraId="0603E2EB">
      <w:pPr>
        <w:pStyle w:val="11"/>
        <w:rPr>
          <w:rFonts w:hint="eastAsia" w:ascii="Times New Roman" w:hAnsi="Calibri" w:eastAsia="宋体" w:cs="Times New Roman"/>
          <w:sz w:val="21"/>
        </w:rPr>
      </w:pPr>
      <w:r>
        <w:rPr>
          <w:rFonts w:hint="eastAsia" w:ascii="Times New Roman" w:hAnsi="Calibri" w:eastAsia="宋体" w:cs="Times New Roman"/>
          <w:sz w:val="21"/>
        </w:rPr>
        <w:t>施工现场的材料管理，过去往往把重点放在到货后的数量清点、规格核对和签收确认上，材料一旦进入现场，后续是否按设计要求使用、是否发生替换、是否保持批次对应，常常还要依赖纸面资料和人员记忆补充说明。数字化条件下，材料验收更适合由一次性结果把关转向全过程核验。项目部真正需要掌握的，不只是材料有没有到场，而是材料从哪里来、依据什么标准被接收、进入现场后由谁保管、在什么条件下投入使用。只有把验收放进采购、到货、核验、入库和领用的连续链条中，材料管理才会由仓储事务转向生产控制。</w:t>
      </w:r>
    </w:p>
    <w:p w14:paraId="2385212E">
      <w:pPr>
        <w:pStyle w:val="11"/>
        <w:rPr>
          <w:rFonts w:hint="eastAsia" w:ascii="Times New Roman" w:hAnsi="Calibri" w:eastAsia="宋体" w:cs="Times New Roman"/>
          <w:sz w:val="21"/>
        </w:rPr>
      </w:pPr>
      <w:r>
        <w:rPr>
          <w:rFonts w:hint="eastAsia" w:ascii="Times New Roman" w:hAnsi="Calibri" w:eastAsia="宋体" w:cs="Times New Roman"/>
          <w:sz w:val="21"/>
        </w:rPr>
        <w:t>这种变化的意义，在于把过去容易断开的材料信息重新连起来。到货时看似合格的材料，若后续无法对应批次、责任单位和使用部位，到了施工阶段仍可能形成质量争议。过程核验的重点不是增加手续，而是让每一次验收都为后续使用提供可追溯依据。材料一旦进入现场，就不应只剩下“已经签收”这一结论，而应保留更完整的来源、状态和去向信息。这样做能够使材料验收从静态证明转向动态受控，使项目部在材料进入施工前后都能保持清晰判断。</w:t>
      </w:r>
    </w:p>
    <w:p w14:paraId="336F22A5">
      <w:pPr>
        <w:pStyle w:val="11"/>
        <w:rPr>
          <w:rFonts w:hint="eastAsia" w:ascii="Times New Roman" w:hAnsi="Calibri" w:eastAsia="宋体" w:cs="Times New Roman"/>
          <w:sz w:val="21"/>
        </w:rPr>
      </w:pPr>
      <w:r>
        <w:rPr>
          <w:rFonts w:hint="eastAsia" w:ascii="Times New Roman" w:hAnsi="Calibri" w:eastAsia="宋体" w:cs="Times New Roman"/>
          <w:sz w:val="21"/>
        </w:rPr>
        <w:t>（二）关键材料的多维核验机制</w:t>
      </w:r>
    </w:p>
    <w:p w14:paraId="4B91A97D">
      <w:pPr>
        <w:pStyle w:val="11"/>
        <w:rPr>
          <w:rFonts w:hint="eastAsia" w:ascii="Times New Roman" w:hAnsi="Calibri" w:eastAsia="宋体" w:cs="Times New Roman"/>
          <w:sz w:val="21"/>
        </w:rPr>
      </w:pPr>
      <w:r>
        <w:rPr>
          <w:rFonts w:hint="eastAsia" w:ascii="Times New Roman" w:hAnsi="Calibri" w:eastAsia="宋体" w:cs="Times New Roman"/>
          <w:sz w:val="21"/>
        </w:rPr>
        <w:t>并不是所有材料都需要同等深度的数字化管理。更值得优先强化的，通常是结构安全影响大、质量争议频发、批次差异明显和替换风险较高的材料，如钢筋、混凝土、砌体材料、防水材料、保温材料、电缆桥架和机电设备附件等。对这类材料，仅靠到货单、出厂合格证和表面核对并不足够，还应把规格型号、供应单位、批次编号、检测状态、送检结果和使用区域稳定挂接起来。这样做的价值，在于把“材料是否合格”这种笼统判断，转化为“哪一批材料、在什么时间、进入了哪一个部位”的明确事实。</w:t>
      </w:r>
    </w:p>
    <w:p w14:paraId="6E90A446">
      <w:pPr>
        <w:pStyle w:val="11"/>
        <w:rPr>
          <w:rFonts w:hint="eastAsia" w:ascii="Times New Roman" w:hAnsi="Calibri" w:eastAsia="宋体" w:cs="Times New Roman"/>
          <w:sz w:val="21"/>
        </w:rPr>
      </w:pPr>
      <w:r>
        <w:rPr>
          <w:rFonts w:hint="eastAsia" w:ascii="Times New Roman" w:hAnsi="Calibri" w:eastAsia="宋体" w:cs="Times New Roman"/>
          <w:sz w:val="21"/>
        </w:rPr>
        <w:t>多维核验最重要的，不是字段越多越好，而是关键信息能够彼此对应。钢筋不仅要知道规格和数量，还要知道炉批号和送检状态；防水材料不仅要看品牌和型号，还要确认配套辅材和使用部位是否匹配；设备附件则不能只看清单到货，还要与安装点位和专业系统保持一致。核验一旦做到这一层，材料发生质量争议时，项目部便不必从零开始追查，而能够迅速定位来源、验收节点和实际使用位置。材料管理的被动解释由此转向主动举证，现场控制的可靠性也会随之提高。</w:t>
      </w:r>
    </w:p>
    <w:p w14:paraId="494673FC">
      <w:pPr>
        <w:pStyle w:val="11"/>
        <w:rPr>
          <w:rFonts w:hint="eastAsia" w:ascii="Times New Roman" w:hAnsi="Calibri" w:eastAsia="宋体" w:cs="Times New Roman"/>
          <w:sz w:val="21"/>
        </w:rPr>
      </w:pPr>
      <w:r>
        <w:rPr>
          <w:rFonts w:hint="eastAsia" w:ascii="Times New Roman" w:hAnsi="Calibri" w:eastAsia="宋体" w:cs="Times New Roman"/>
          <w:sz w:val="21"/>
        </w:rPr>
        <w:t>（三）来源追溯的组织意义</w:t>
      </w:r>
    </w:p>
    <w:p w14:paraId="11DE74DE">
      <w:pPr>
        <w:pStyle w:val="11"/>
        <w:rPr>
          <w:rFonts w:hint="eastAsia" w:ascii="Times New Roman" w:hAnsi="Calibri" w:eastAsia="宋体" w:cs="Times New Roman"/>
          <w:sz w:val="21"/>
        </w:rPr>
      </w:pPr>
      <w:r>
        <w:rPr>
          <w:rFonts w:hint="eastAsia" w:ascii="Times New Roman" w:hAnsi="Calibri" w:eastAsia="宋体" w:cs="Times New Roman"/>
          <w:sz w:val="21"/>
        </w:rPr>
        <w:t>来源追溯并不只是为了应对检查，它更直接服务于现场质量稳定和责任明确。很多项目材料问题之所以反复出现，并不是因为完全没有验收，而是因为验收和使用之间缺少稳定对应。材料在进场时看似合格，进入现场后却因混放、替换、调拨或临时借用而逐渐失去来源信息，最终导致使用部位与原始记录脱节。一旦出现质量缺陷，项目部往往很难迅速说明材料从何而来、由谁接收、是否经过复核、最终又进入了哪个施工单元。</w:t>
      </w:r>
    </w:p>
    <w:p w14:paraId="64AE93EE">
      <w:pPr>
        <w:pStyle w:val="11"/>
        <w:rPr>
          <w:rFonts w:hint="eastAsia" w:ascii="Times New Roman" w:hAnsi="Calibri" w:eastAsia="宋体" w:cs="Times New Roman"/>
          <w:sz w:val="21"/>
        </w:rPr>
      </w:pPr>
      <w:r>
        <w:rPr>
          <w:rFonts w:hint="eastAsia" w:ascii="Times New Roman" w:hAnsi="Calibri" w:eastAsia="宋体" w:cs="Times New Roman"/>
          <w:sz w:val="21"/>
        </w:rPr>
        <w:t>数字化追溯的意义，正是在材料进入现场后仍然保留身份，使其在流转过程中不失去来源信息。材料若能够按批次、区域和责任单位持续对应，现场许多原本说不清的争议就会明显减少。项目部不再只是被动解释“材料应该没有问题”，而是能够拿出连续记录说明“这一批材料从进场到使用始终处于受控状态”。来源追溯由此不再只是资料管理手段，而成为质量控制和责任划分的组织基础。</w:t>
      </w:r>
    </w:p>
    <w:p w14:paraId="1D9EFB18">
      <w:pPr>
        <w:pStyle w:val="4"/>
        <w:bidi w:val="0"/>
        <w:rPr>
          <w:rFonts w:hint="eastAsia"/>
        </w:rPr>
      </w:pPr>
      <w:r>
        <w:rPr>
          <w:rFonts w:hint="eastAsia"/>
        </w:rPr>
        <w:t>二、库存预警与领用控制</w:t>
      </w:r>
    </w:p>
    <w:p w14:paraId="7908151B">
      <w:pPr>
        <w:pStyle w:val="11"/>
        <w:rPr>
          <w:rFonts w:hint="eastAsia" w:ascii="Times New Roman" w:hAnsi="Calibri" w:eastAsia="宋体" w:cs="Times New Roman"/>
          <w:sz w:val="21"/>
        </w:rPr>
      </w:pPr>
      <w:r>
        <w:rPr>
          <w:rFonts w:hint="eastAsia" w:ascii="Times New Roman" w:hAnsi="Calibri" w:eastAsia="宋体" w:cs="Times New Roman"/>
          <w:sz w:val="21"/>
        </w:rPr>
        <w:t>（一）库存管理从静态盘点转向动态感知</w:t>
      </w:r>
    </w:p>
    <w:p w14:paraId="790AF90C">
      <w:pPr>
        <w:pStyle w:val="11"/>
        <w:rPr>
          <w:rFonts w:hint="eastAsia" w:ascii="Times New Roman" w:hAnsi="Calibri" w:eastAsia="宋体" w:cs="Times New Roman"/>
          <w:sz w:val="21"/>
        </w:rPr>
      </w:pPr>
      <w:r>
        <w:rPr>
          <w:rFonts w:hint="eastAsia" w:ascii="Times New Roman" w:hAnsi="Calibri" w:eastAsia="宋体" w:cs="Times New Roman"/>
          <w:sz w:val="21"/>
        </w:rPr>
        <w:t>施工现场的库存问题，很少表现为仓库里完全没有材料，更多时候表现为项目部不知道哪些材料快用完了，哪些材料压得过多，哪些材料虽然账上存在却迟迟不能进入作业面。传统库存管理更多依赖定期盘点，盘点结果主要服务对账和清库，较少直接进入当期施工决策。数字化条件下，库存管理更应强调动态感知，使项目部持续看到库存数量、可用状态和消耗节奏之间的关系。库存一旦能够与施工进度、采购周期和现场领用情况形成对应，项目部对材料供应的判断就会明显提前，不必等到缺料停工时才发现问题。</w:t>
      </w:r>
    </w:p>
    <w:p w14:paraId="414BF03B">
      <w:pPr>
        <w:pStyle w:val="11"/>
        <w:rPr>
          <w:rFonts w:hint="eastAsia" w:ascii="Times New Roman" w:hAnsi="Calibri" w:eastAsia="宋体" w:cs="Times New Roman"/>
          <w:sz w:val="21"/>
        </w:rPr>
      </w:pPr>
      <w:r>
        <w:rPr>
          <w:rFonts w:hint="eastAsia" w:ascii="Times New Roman" w:hAnsi="Calibri" w:eastAsia="宋体" w:cs="Times New Roman"/>
          <w:sz w:val="21"/>
        </w:rPr>
        <w:t>动态感知的关键，不在于把库存数字更新得多频繁，而在于让库存状态更接近现场真实。哪些材料可立即使用，哪些仍在检验或待分拣状态，哪些虽在库存中却已被预留给特定施工段，哪些因为损耗、变形或临时替换而不能正常投入，这些都应被及时识别。库存管理一旦由静态盘点转向连续感知，项目部的注意力就会由“现在剩多少”进一步转向“这些材料是否足以支撑接下来的施工安排”。这时库存数据才真正从仓储记录转变为生产判断依据。</w:t>
      </w:r>
    </w:p>
    <w:p w14:paraId="0C58A3D3">
      <w:pPr>
        <w:pStyle w:val="11"/>
        <w:rPr>
          <w:rFonts w:hint="eastAsia" w:ascii="Times New Roman" w:hAnsi="Calibri" w:eastAsia="宋体" w:cs="Times New Roman"/>
          <w:sz w:val="21"/>
        </w:rPr>
      </w:pPr>
      <w:r>
        <w:rPr>
          <w:rFonts w:hint="eastAsia" w:ascii="Times New Roman" w:hAnsi="Calibri" w:eastAsia="宋体" w:cs="Times New Roman"/>
          <w:sz w:val="21"/>
        </w:rPr>
        <w:t>（二）预警阈值应与施工节奏匹配</w:t>
      </w:r>
    </w:p>
    <w:p w14:paraId="4E7FD0F4">
      <w:pPr>
        <w:pStyle w:val="11"/>
        <w:rPr>
          <w:rFonts w:hint="eastAsia" w:ascii="Times New Roman" w:hAnsi="Calibri" w:eastAsia="宋体" w:cs="Times New Roman"/>
          <w:sz w:val="21"/>
        </w:rPr>
      </w:pPr>
      <w:r>
        <w:rPr>
          <w:rFonts w:hint="eastAsia" w:ascii="Times New Roman" w:hAnsi="Calibri" w:eastAsia="宋体" w:cs="Times New Roman"/>
          <w:sz w:val="21"/>
        </w:rPr>
        <w:t>库存预警真正有效，关键不在设一个统一安全线，而在于让预警阈值与施工节奏相匹配。不同材料的供应周期、运输条件、现场储存限制和替代难度差异很大，钢筋和商品混凝土的预警逻辑显然不能一样，装饰材料、安装材料和周转辅材也不应按同一口径处理。更合理的做法，是结合采购提前期、日均消耗量、关键节点需求和现场储存条件，分别设定最低预警值、补货触发值和积压提示值。这样形成的预警，不会只告诉管理者“库存偏低”，而会进一步提示“若不补充，哪一段施工最先受到影响”。</w:t>
      </w:r>
    </w:p>
    <w:p w14:paraId="674CCAF9">
      <w:pPr>
        <w:pStyle w:val="11"/>
        <w:rPr>
          <w:rFonts w:hint="eastAsia" w:ascii="Times New Roman" w:hAnsi="Calibri" w:eastAsia="宋体" w:cs="Times New Roman"/>
          <w:sz w:val="21"/>
        </w:rPr>
      </w:pPr>
      <w:r>
        <w:rPr>
          <w:rFonts w:hint="eastAsia" w:ascii="Times New Roman" w:hAnsi="Calibri" w:eastAsia="宋体" w:cs="Times New Roman"/>
          <w:sz w:val="21"/>
        </w:rPr>
        <w:t>预警一旦与施工节奏对应起来，材料管理就不再只是仓库内部的事情，而会直接参与施工组织。某类材料虽然当前库存仍有余量，但若接下来两周需求集中、采购周期又较长，就应尽早进入补货判断；某些材料虽然数量不少，但当前阶段实际需求有限，就不宜继续大量进场。预警的意义，正在于帮助项目部在材料不足和材料积压之间找到更合理的平衡。这样形成的控制逻辑，比单纯强调“不要断料”更适合复杂现场的实际运行。</w:t>
      </w:r>
    </w:p>
    <w:p w14:paraId="2E6D9D50">
      <w:pPr>
        <w:pStyle w:val="11"/>
        <w:rPr>
          <w:rFonts w:hint="eastAsia" w:ascii="Times New Roman" w:hAnsi="Calibri" w:eastAsia="宋体" w:cs="Times New Roman"/>
          <w:sz w:val="21"/>
        </w:rPr>
      </w:pPr>
      <w:r>
        <w:rPr>
          <w:rFonts w:hint="eastAsia" w:ascii="Times New Roman" w:hAnsi="Calibri" w:eastAsia="宋体" w:cs="Times New Roman"/>
          <w:sz w:val="21"/>
        </w:rPr>
        <w:t>（三）领用控制重在去向清晰</w:t>
      </w:r>
    </w:p>
    <w:p w14:paraId="6694664A">
      <w:pPr>
        <w:pStyle w:val="11"/>
        <w:rPr>
          <w:rFonts w:hint="eastAsia" w:ascii="Times New Roman" w:hAnsi="Calibri" w:eastAsia="宋体" w:cs="Times New Roman"/>
          <w:sz w:val="21"/>
        </w:rPr>
      </w:pPr>
      <w:r>
        <w:rPr>
          <w:rFonts w:hint="eastAsia" w:ascii="Times New Roman" w:hAnsi="Calibri" w:eastAsia="宋体" w:cs="Times New Roman"/>
          <w:sz w:val="21"/>
        </w:rPr>
        <w:t>库存能否真正受控，关键还在领用环节。很多项目账物不符，并不源于入库出错，而是因为领用记录只停留在总量层，缺少与楼栋、分区、班组和工序的细化对应。材料从仓库领出后，究竟投向哪个作业面、由哪支队伍使用、是否与当前任务匹配，若这些信息不被稳定记录，后续就很难判断材料消耗属于正常使用、异常损耗还是局部积压。数字化领用控制更强调最小必要对应关系，也就是材料一旦离库，就尽量知道它去了哪里、服务哪项任务、由谁负责接收。</w:t>
      </w:r>
    </w:p>
    <w:p w14:paraId="326143D4">
      <w:pPr>
        <w:pStyle w:val="11"/>
        <w:rPr>
          <w:rFonts w:hint="eastAsia" w:ascii="Times New Roman" w:hAnsi="Calibri" w:eastAsia="宋体" w:cs="Times New Roman"/>
          <w:sz w:val="21"/>
        </w:rPr>
      </w:pPr>
      <w:r>
        <w:rPr>
          <w:rFonts w:hint="eastAsia" w:ascii="Times New Roman" w:hAnsi="Calibri" w:eastAsia="宋体" w:cs="Times New Roman"/>
          <w:sz w:val="21"/>
        </w:rPr>
        <w:t>这样做并不是增加手续，而是在为后续成本分析、异常损耗判断和资源调拨提供事实基础。若某一区域材料持续领用较多，项目部可以及时判断是施工加快、返工增加还是管理粗放；若某类材料领出后长期未形成对应完成量，也能尽早识别是否存在堆压、挪用或组织失衡。领用去向越清楚，库存数据就越接近现场真实，材料控制也越有可能从“账面可管”走向“现场可控”。</w:t>
      </w:r>
    </w:p>
    <w:p w14:paraId="6A7944E6">
      <w:pPr>
        <w:pStyle w:val="4"/>
        <w:bidi w:val="0"/>
        <w:rPr>
          <w:rFonts w:hint="eastAsia"/>
        </w:rPr>
      </w:pPr>
      <w:r>
        <w:rPr>
          <w:rFonts w:hint="eastAsia"/>
        </w:rPr>
        <w:t>三、现场物流组织优化</w:t>
      </w:r>
    </w:p>
    <w:p w14:paraId="06FCC8CC">
      <w:pPr>
        <w:pStyle w:val="11"/>
        <w:rPr>
          <w:rFonts w:hint="eastAsia" w:ascii="Times New Roman" w:hAnsi="Calibri" w:eastAsia="宋体" w:cs="Times New Roman"/>
          <w:sz w:val="21"/>
        </w:rPr>
      </w:pPr>
      <w:r>
        <w:rPr>
          <w:rFonts w:hint="eastAsia" w:ascii="Times New Roman" w:hAnsi="Calibri" w:eastAsia="宋体" w:cs="Times New Roman"/>
          <w:sz w:val="21"/>
        </w:rPr>
        <w:t>（一）现场物流不是运输问题而是组织问题</w:t>
      </w:r>
    </w:p>
    <w:p w14:paraId="5B162D2F">
      <w:pPr>
        <w:pStyle w:val="11"/>
        <w:rPr>
          <w:rFonts w:hint="eastAsia" w:ascii="Times New Roman" w:hAnsi="Calibri" w:eastAsia="宋体" w:cs="Times New Roman"/>
          <w:sz w:val="21"/>
        </w:rPr>
      </w:pPr>
      <w:r>
        <w:rPr>
          <w:rFonts w:hint="eastAsia" w:ascii="Times New Roman" w:hAnsi="Calibri" w:eastAsia="宋体" w:cs="Times New Roman"/>
          <w:sz w:val="21"/>
        </w:rPr>
        <w:t>施工现场的物流组织，常被误认为只是车辆进出和材料搬运问题，实际上它更深地嵌入施工生产秩序。材料到得早了，现场堆放压力增大；到得晚了，工序衔接受阻；转运安排不当，还会与人员通行、机械作业和安全防护发生冲突。尤其在场地紧张、穿插密集的项目中，物流组织稍有失衡，就会迅速表现为道路拥堵、二次搬运增加、成品破坏和作业等待。材料物流真正要解决的，不只是把东西运进工地，而是让材料到场、卸料、暂存、转运和使用尽量围绕施工节奏展开。</w:t>
      </w:r>
    </w:p>
    <w:p w14:paraId="5A031214">
      <w:pPr>
        <w:pStyle w:val="11"/>
        <w:rPr>
          <w:rFonts w:hint="eastAsia" w:ascii="Times New Roman" w:hAnsi="Calibri" w:eastAsia="宋体" w:cs="Times New Roman"/>
          <w:sz w:val="21"/>
        </w:rPr>
      </w:pPr>
      <w:r>
        <w:rPr>
          <w:rFonts w:hint="eastAsia" w:ascii="Times New Roman" w:hAnsi="Calibri" w:eastAsia="宋体" w:cs="Times New Roman"/>
          <w:sz w:val="21"/>
        </w:rPr>
        <w:t>也正因为如此，现场物流的优化不能只靠运输人员临时协调，更不能等材料到场之后再被动安排。项目部必须把材料计划、作业安排和现场通行条件一起考虑，使物流成为施工组织的一部分。材料什么时候进、在哪里卸、由谁转运、何时送到作业面，这些环节只要有一个节点失衡，就可能把前后工序同时拖慢。物流一旦从单纯运输事务上升到组织问题，现场对材料管理的要求就会明显提高，材料配置也更容易真正服务生产。</w:t>
      </w:r>
    </w:p>
    <w:p w14:paraId="2F3FF3F1">
      <w:pPr>
        <w:pStyle w:val="11"/>
        <w:rPr>
          <w:rFonts w:hint="eastAsia" w:ascii="Times New Roman" w:hAnsi="Calibri" w:eastAsia="宋体" w:cs="Times New Roman"/>
          <w:sz w:val="21"/>
        </w:rPr>
      </w:pPr>
      <w:r>
        <w:rPr>
          <w:rFonts w:hint="eastAsia" w:ascii="Times New Roman" w:hAnsi="Calibri" w:eastAsia="宋体" w:cs="Times New Roman"/>
          <w:sz w:val="21"/>
        </w:rPr>
        <w:t>（二）卸料与转运节点的协同安排</w:t>
      </w:r>
    </w:p>
    <w:p w14:paraId="62F17DA8">
      <w:pPr>
        <w:pStyle w:val="11"/>
        <w:rPr>
          <w:rFonts w:hint="eastAsia" w:ascii="Times New Roman" w:hAnsi="Calibri" w:eastAsia="宋体" w:cs="Times New Roman"/>
          <w:sz w:val="21"/>
        </w:rPr>
      </w:pPr>
      <w:r>
        <w:rPr>
          <w:rFonts w:hint="eastAsia" w:ascii="Times New Roman" w:hAnsi="Calibri" w:eastAsia="宋体" w:cs="Times New Roman"/>
          <w:sz w:val="21"/>
        </w:rPr>
        <w:t>物流组织中最容易失控的，并不是长距离运输，而是材料进入工地之后的卸料与转运。很多项目外部供应基本正常，问题却集中出现在场内：材料到了却没有合适卸料窗口，垂直运输设备被多专业同时占用，暂存区布置混乱，结果造成材料反复挪动，工人和机械都在等待。更有效的做法，是把材料到货时间、卸料点位、垂直运输时段和楼层投送需求提前衔接起来，使物流节点和施工节点尽量一致。材料到场不是简单签到，而应尽可能对应作业需要。</w:t>
      </w:r>
    </w:p>
    <w:p w14:paraId="582CE1E9">
      <w:pPr>
        <w:pStyle w:val="11"/>
        <w:rPr>
          <w:rFonts w:hint="eastAsia" w:ascii="Times New Roman" w:hAnsi="Calibri" w:eastAsia="宋体" w:cs="Times New Roman"/>
          <w:sz w:val="21"/>
        </w:rPr>
      </w:pPr>
      <w:r>
        <w:rPr>
          <w:rFonts w:hint="eastAsia" w:ascii="Times New Roman" w:hAnsi="Calibri" w:eastAsia="宋体" w:cs="Times New Roman"/>
          <w:sz w:val="21"/>
        </w:rPr>
        <w:t>协同安排的关键，在于把几个原本分开的动作连起来看。材料供应方关心什么时候送到，现场保管人员关心放在哪里，施工班组关心什么时候能用上，垂直运输环节则关心设备是否有空档。若这些信息彼此分离，物流就容易反复堵塞。反过来看，只要项目部能够提前判断当天或当周哪些材料集中进场、哪些楼层正在用料、哪些设备处于高占用状态，就能更早调整卸料顺序和转运安排，减少高峰时段的冲突。物流组织一旦由“材料来了再想办法”转向“按施工节奏提前组织”，现场秩序通常会明显改善。</w:t>
      </w:r>
    </w:p>
    <w:p w14:paraId="74D290C9">
      <w:pPr>
        <w:pStyle w:val="11"/>
        <w:rPr>
          <w:rFonts w:hint="eastAsia" w:ascii="Times New Roman" w:hAnsi="Calibri" w:eastAsia="宋体" w:cs="Times New Roman"/>
          <w:sz w:val="21"/>
        </w:rPr>
      </w:pPr>
      <w:r>
        <w:rPr>
          <w:rFonts w:hint="eastAsia" w:ascii="Times New Roman" w:hAnsi="Calibri" w:eastAsia="宋体" w:cs="Times New Roman"/>
          <w:sz w:val="21"/>
        </w:rPr>
        <w:t>（三）减少二次搬运与无效堆放</w:t>
      </w:r>
    </w:p>
    <w:p w14:paraId="1060C274">
      <w:pPr>
        <w:pStyle w:val="11"/>
        <w:rPr>
          <w:rFonts w:hint="eastAsia" w:ascii="Times New Roman" w:hAnsi="Calibri" w:eastAsia="宋体" w:cs="Times New Roman"/>
          <w:sz w:val="21"/>
        </w:rPr>
      </w:pPr>
      <w:r>
        <w:rPr>
          <w:rFonts w:hint="eastAsia" w:ascii="Times New Roman" w:hAnsi="Calibri" w:eastAsia="宋体" w:cs="Times New Roman"/>
          <w:sz w:val="21"/>
        </w:rPr>
        <w:t>现场物流效率低，很大一部分成本并不体现在运输本身，而体现在无效堆放和二次搬运上。材料先堆在临时空地，再转到楼栋附近，随后又因作业面变化搬到别处，这类重复动作既增加人工消耗，也放大材料损耗和管理混乱。许多项目的材料问题，并不是绝对供应不足，而是材料在现场流动路径过长、停留节点过多，最后造成“明明有材料，却总觉得不顺手”。减少二次搬运的关键，不在于彻底取消中转，而在于识别哪些转运本来可以避免，哪些堆放本来不必发生。</w:t>
      </w:r>
    </w:p>
    <w:p w14:paraId="006B43CD">
      <w:pPr>
        <w:pStyle w:val="11"/>
        <w:rPr>
          <w:rFonts w:hint="eastAsia" w:ascii="Times New Roman" w:hAnsi="Calibri" w:eastAsia="宋体" w:cs="Times New Roman"/>
          <w:sz w:val="21"/>
        </w:rPr>
      </w:pPr>
      <w:r>
        <w:rPr>
          <w:rFonts w:hint="eastAsia" w:ascii="Times New Roman" w:hAnsi="Calibri" w:eastAsia="宋体" w:cs="Times New Roman"/>
          <w:sz w:val="21"/>
        </w:rPr>
        <w:t>更现实的管理思路，是围绕高损耗点做针对性优化。哪些材料频繁被转来转去，哪些区域长期堆压影响通行，哪些通道因为物流安排失衡而反复受阻，项目部应先把这些问题找出来，再调整材料投放顺序和暂存安排。这样做的重点，不是把每一次搬运都细到极致，而是尽可能让材料靠近真正需要它的作业位置，减少明显不必要的中间停留。无效堆放和二次搬运一旦压下来，材料损耗、人工消耗和现场混乱都会随之下降，物流组织的价值也才真正体现出来。</w:t>
      </w:r>
    </w:p>
    <w:p w14:paraId="2FBFA4F3">
      <w:pPr>
        <w:pStyle w:val="4"/>
        <w:bidi w:val="0"/>
        <w:rPr>
          <w:rFonts w:hint="eastAsia"/>
        </w:rPr>
      </w:pPr>
      <w:r>
        <w:rPr>
          <w:rFonts w:hint="eastAsia"/>
        </w:rPr>
        <w:t>四、资源配置与作业面衔接</w:t>
      </w:r>
    </w:p>
    <w:p w14:paraId="13027381">
      <w:pPr>
        <w:pStyle w:val="11"/>
        <w:rPr>
          <w:rFonts w:hint="eastAsia" w:ascii="Times New Roman" w:hAnsi="Calibri" w:eastAsia="宋体" w:cs="Times New Roman"/>
          <w:sz w:val="21"/>
        </w:rPr>
      </w:pPr>
      <w:r>
        <w:rPr>
          <w:rFonts w:hint="eastAsia" w:ascii="Times New Roman" w:hAnsi="Calibri" w:eastAsia="宋体" w:cs="Times New Roman"/>
          <w:sz w:val="21"/>
        </w:rPr>
        <w:t>（一）材料配置要服从作业面成熟度</w:t>
      </w:r>
    </w:p>
    <w:p w14:paraId="0FB0E116">
      <w:pPr>
        <w:pStyle w:val="11"/>
        <w:rPr>
          <w:rFonts w:hint="eastAsia" w:ascii="Times New Roman" w:hAnsi="Calibri" w:eastAsia="宋体" w:cs="Times New Roman"/>
          <w:sz w:val="21"/>
        </w:rPr>
      </w:pPr>
      <w:r>
        <w:rPr>
          <w:rFonts w:hint="eastAsia" w:ascii="Times New Roman" w:hAnsi="Calibri" w:eastAsia="宋体" w:cs="Times New Roman"/>
          <w:sz w:val="21"/>
        </w:rPr>
        <w:t>材料供应管理进一步深化后，本质上要解决的是材料配置与作业面之间的衔接问题。施工现场常见的低效，并不是材料绝对不足，而是材料到位时间与作业面成熟度错位。作业条件尚未具备时，材料已经提前压到现场，造成堆放和保管压力；作业面已经打开时，关键材料却未能同步到位，导致工序停顿。更有效的材料配置，不是单纯按采购节奏推进，而是尽量围绕作业面成熟度安排材料进入时间、进入数量和现场停留周期。</w:t>
      </w:r>
    </w:p>
    <w:p w14:paraId="6B330AEE">
      <w:pPr>
        <w:pStyle w:val="11"/>
        <w:rPr>
          <w:rFonts w:hint="eastAsia" w:ascii="Times New Roman" w:hAnsi="Calibri" w:eastAsia="宋体" w:cs="Times New Roman"/>
          <w:sz w:val="21"/>
        </w:rPr>
      </w:pPr>
      <w:r>
        <w:rPr>
          <w:rFonts w:hint="eastAsia" w:ascii="Times New Roman" w:hAnsi="Calibri" w:eastAsia="宋体" w:cs="Times New Roman"/>
          <w:sz w:val="21"/>
        </w:rPr>
        <w:t>这样做能够把材料由被动供应对象转变为主动配合施工节奏的组织资源。项目部判断材料该不该进场，不能只看仓库空不空，更要看作业面是否具备接收条件。区域未成熟，材料越早进来越容易形成占压；区域已经成熟，材料若迟迟不到，又会直接影响工序推进。材料配置一旦服从作业面成熟度，现场很多“堆了用不上、要用又找不到”的矛盾都会明显减少，施工组织也会更加顺畅。</w:t>
      </w:r>
    </w:p>
    <w:p w14:paraId="54C71224">
      <w:pPr>
        <w:pStyle w:val="11"/>
        <w:rPr>
          <w:rFonts w:hint="eastAsia" w:ascii="Times New Roman" w:hAnsi="Calibri" w:eastAsia="宋体" w:cs="Times New Roman"/>
          <w:sz w:val="21"/>
        </w:rPr>
      </w:pPr>
      <w:r>
        <w:rPr>
          <w:rFonts w:hint="eastAsia" w:ascii="Times New Roman" w:hAnsi="Calibri" w:eastAsia="宋体" w:cs="Times New Roman"/>
          <w:sz w:val="21"/>
        </w:rPr>
        <w:t>（二）多专业穿插下的配置协调</w:t>
      </w:r>
    </w:p>
    <w:p w14:paraId="40F7CABB">
      <w:pPr>
        <w:pStyle w:val="11"/>
        <w:rPr>
          <w:rFonts w:hint="eastAsia" w:ascii="Times New Roman" w:hAnsi="Calibri" w:eastAsia="宋体" w:cs="Times New Roman"/>
          <w:sz w:val="21"/>
        </w:rPr>
      </w:pPr>
      <w:r>
        <w:rPr>
          <w:rFonts w:hint="eastAsia" w:ascii="Times New Roman" w:hAnsi="Calibri" w:eastAsia="宋体" w:cs="Times New Roman"/>
          <w:sz w:val="21"/>
        </w:rPr>
        <w:t>进入主体后期和装饰安装阶段，材料配置的难度通常会明显上升。原因不在材料种类变多，而在不同专业对时间和作业条件的争夺更为集中。土建收口、机电安装、装饰面层和成品保护常常同时存在，某一种材料配置不当，就可能挤压其他专业作业条件。此时若仍按单专业视角安排材料进场和堆放，往往容易形成局部方便、整体低效的局面。更成熟的做法，是把作业面视为共享工作单元，把材料配置与穿插顺序一起考虑。</w:t>
      </w:r>
    </w:p>
    <w:p w14:paraId="68E1DC0D">
      <w:pPr>
        <w:pStyle w:val="11"/>
        <w:rPr>
          <w:rFonts w:hint="eastAsia" w:ascii="Times New Roman" w:hAnsi="Calibri" w:eastAsia="宋体" w:cs="Times New Roman"/>
          <w:sz w:val="21"/>
        </w:rPr>
      </w:pPr>
      <w:r>
        <w:rPr>
          <w:rFonts w:hint="eastAsia" w:ascii="Times New Roman" w:hAnsi="Calibri" w:eastAsia="宋体" w:cs="Times New Roman"/>
          <w:sz w:val="21"/>
        </w:rPr>
        <w:t>哪类材料优先进场，哪类材料后置投送，哪类材料只能短时停留，哪类材料必须靠近安装点位，都应围绕整体作业安排来判断，而不能只从某一个专业的便利出发。多专业穿插阶段，材料配置真正考验的，不是项目有没有材料，而是项目能否在有限空间和有限时间内，把不同专业所需材料按顺序、按节奏放到最合适的位置。配置一旦与穿插节奏相匹配，现场等待、返搬和相互干扰都会明显减少。</w:t>
      </w:r>
    </w:p>
    <w:p w14:paraId="62209E86">
      <w:pPr>
        <w:pStyle w:val="11"/>
        <w:rPr>
          <w:rFonts w:hint="eastAsia" w:ascii="Times New Roman" w:hAnsi="Calibri" w:eastAsia="宋体" w:cs="Times New Roman"/>
          <w:sz w:val="21"/>
        </w:rPr>
      </w:pPr>
      <w:r>
        <w:rPr>
          <w:rFonts w:hint="eastAsia" w:ascii="Times New Roman" w:hAnsi="Calibri" w:eastAsia="宋体" w:cs="Times New Roman"/>
          <w:sz w:val="21"/>
        </w:rPr>
        <w:t>（三）由材料管理走向生产协同</w:t>
      </w:r>
    </w:p>
    <w:p w14:paraId="08003D48">
      <w:pPr>
        <w:pStyle w:val="11"/>
        <w:rPr>
          <w:rFonts w:hint="eastAsia" w:ascii="Times New Roman" w:hAnsi="Calibri" w:eastAsia="宋体" w:cs="Times New Roman"/>
          <w:sz w:val="21"/>
        </w:rPr>
      </w:pPr>
      <w:r>
        <w:rPr>
          <w:rFonts w:hint="eastAsia" w:ascii="Times New Roman" w:hAnsi="Calibri" w:eastAsia="宋体" w:cs="Times New Roman"/>
          <w:sz w:val="21"/>
        </w:rPr>
        <w:t>材料供应与现场配置管理写到最后，最需要强调的是，它不应被理解为独立后勤系统，而应被看作施工生产组织的一部分。材料入场验收解决的是来源可靠，库存预警解决的是供应连续，物流组织解决的是到场有序，作业面衔接解决的则是配置有效。这几层关系一旦打通，材料管理就不再只是保供，而会真正参与进度保障、成本控制和现场秩序优化。</w:t>
      </w:r>
    </w:p>
    <w:p w14:paraId="6E429BA9">
      <w:pPr>
        <w:pStyle w:val="11"/>
        <w:rPr>
          <w:rFonts w:ascii="Times New Roman" w:hAnsi="Calibri" w:eastAsia="宋体" w:cs="Times New Roman"/>
          <w:sz w:val="21"/>
        </w:rPr>
      </w:pPr>
      <w:r>
        <w:rPr>
          <w:rFonts w:hint="eastAsia" w:ascii="Times New Roman" w:hAnsi="Calibri" w:eastAsia="宋体" w:cs="Times New Roman"/>
          <w:sz w:val="21"/>
        </w:rPr>
        <w:t>从现场组织角度看，材料最容易被低估，因为它看似不会主动出错，但一旦流动失序，现场很多问题都会随之放大。工序等待、人员空转、设备闲置、通道受阻和成品受损，背后往往都能追溯到材料供应和配置的失衡。也正因为如此，材料管理做得好不好，往往直接决定一个项目的组织细腻程度。真正成熟的材料管理，不只是把物管住，而是把材料的进入、停留、流转和使用纳入施工逻辑，使其真正服务于生产协同。</w:t>
      </w:r>
    </w:p>
    <w:p w14:paraId="0647533C">
      <w:pPr>
        <w:pStyle w:val="3"/>
        <w:numPr>
          <w:ilvl w:val="0"/>
          <w:numId w:val="0"/>
        </w:numPr>
        <w:ind w:left="0" w:leftChars="0" w:firstLine="0" w:firstLineChars="0"/>
        <w:rPr>
          <w:b/>
        </w:rPr>
      </w:pPr>
      <w:bookmarkStart w:id="25" w:name="_Toc32122"/>
      <w:r>
        <w:rPr>
          <w:rFonts w:hint="eastAsia" w:ascii="宋体" w:hAnsi="宋体" w:eastAsia="黑体" w:cs="宋体"/>
          <w:b/>
          <w:bCs/>
          <w:kern w:val="44"/>
          <w:sz w:val="30"/>
          <w:szCs w:val="30"/>
        </w:rPr>
        <w:t>第五节</w:t>
      </w:r>
      <w:r>
        <w:rPr>
          <w:rFonts w:hint="eastAsia" w:cs="宋体"/>
          <w:b/>
          <w:bCs/>
          <w:kern w:val="44"/>
          <w:sz w:val="30"/>
          <w:szCs w:val="30"/>
          <w:lang w:val="en-US" w:eastAsia="zh-CN"/>
        </w:rPr>
        <w:t xml:space="preserve"> </w:t>
      </w:r>
      <w:r>
        <w:t>质量安全过程控制</w:t>
      </w:r>
      <w:bookmarkEnd w:id="25"/>
    </w:p>
    <w:p w14:paraId="571B1D0B">
      <w:pPr>
        <w:pStyle w:val="11"/>
        <w:rPr>
          <w:rFonts w:ascii="Times New Roman" w:hAnsi="Calibri" w:eastAsia="宋体" w:cs="Times New Roman"/>
          <w:sz w:val="21"/>
        </w:rPr>
      </w:pPr>
    </w:p>
    <w:p w14:paraId="17827041">
      <w:pPr>
        <w:pStyle w:val="4"/>
        <w:bidi w:val="0"/>
        <w:rPr>
          <w:rFonts w:hint="eastAsia"/>
        </w:rPr>
      </w:pPr>
      <w:r>
        <w:rPr>
          <w:rFonts w:hint="eastAsia"/>
        </w:rPr>
        <w:t>一、质量巡检与隐蔽工程留痕</w:t>
      </w:r>
    </w:p>
    <w:p w14:paraId="3E8B4134">
      <w:pPr>
        <w:pStyle w:val="11"/>
        <w:bidi w:val="0"/>
        <w:rPr>
          <w:rFonts w:hint="eastAsia"/>
        </w:rPr>
      </w:pPr>
      <w:r>
        <w:rPr>
          <w:rFonts w:hint="eastAsia"/>
        </w:rPr>
        <w:t>（一）巡检任务组织方式</w:t>
      </w:r>
    </w:p>
    <w:p w14:paraId="1C6F5DEF">
      <w:pPr>
        <w:pStyle w:val="11"/>
        <w:bidi w:val="0"/>
        <w:rPr>
          <w:rFonts w:hint="eastAsia"/>
        </w:rPr>
      </w:pPr>
      <w:r>
        <w:rPr>
          <w:rFonts w:hint="eastAsia"/>
        </w:rPr>
        <w:t>施工现场的质量控制，真正难的并不是有没有人去看，而是检查活动能否沿着工序和作业面持续展开。过去不少项目的巡检依赖个人经验，检查重点随人而变，问题发现之后又常常停留在口头交办层面，结果是巡检做了不少，真正进入整改闭环的并不多。数字化条件下，质量巡检更适合围绕楼栋、楼层、施工段和关键工序进行组织，把模板、钢筋、混凝土、防水、预留预埋、设备安装、成品保护等内容纳入连续检查链条。巡检任务一旦与空间单元、时间节点和责任岗位对应起来，项目部看到的就不再是模糊的“今天查过了”，而是“哪一处查了、查出了什么、由谁负责处理、是否已经复核”的具体事实。</w:t>
      </w:r>
    </w:p>
    <w:p w14:paraId="2DC3C99A">
      <w:pPr>
        <w:pStyle w:val="11"/>
        <w:bidi w:val="0"/>
        <w:rPr>
          <w:rFonts w:hint="eastAsia"/>
        </w:rPr>
      </w:pPr>
      <w:r>
        <w:rPr>
          <w:rFonts w:hint="eastAsia"/>
        </w:rPr>
        <w:t>这种组织方式的价值，在于把零散巡查转化为结构化过程。项目经理、专业工程师、质量员和班组长分别承担组织、核查、检查和整改责任，巡检记录则围绕具体部位和具体工序沉淀下来。这样一来，巡检不再只是经验性观察，而成为质量治理的事实起点。很多现场质量问题之所以反复出现，根源并不只是作业粗糙，而是检查结果没有形成连续跟踪。任务组织一旦稳定，质量控制便能从“发现问题”推进到“减少问题重复发生”。</w:t>
      </w:r>
    </w:p>
    <w:p w14:paraId="7B7117D5">
      <w:pPr>
        <w:pStyle w:val="11"/>
        <w:bidi w:val="0"/>
        <w:rPr>
          <w:rFonts w:hint="eastAsia"/>
        </w:rPr>
      </w:pPr>
      <w:r>
        <w:rPr>
          <w:rFonts w:hint="eastAsia"/>
        </w:rPr>
        <w:t>更进一步看，巡检任务的组织不应只是把检查事项机械分配到岗位，而应尽量与施工节奏同步。某一工序进入关键节点前后，巡检频次、检查重点和复核要求都应随之调整。主体结构阶段更关注钢筋、模板和混凝土成型质量，装饰安装阶段则应把设备安装精度、成品保护和交接面质量纳入重点范围。检查任务如果始终固定不变，就容易出现前紧后松或重点偏移。只有把巡检安排与施工过程中的质量风险变化联系起来，过程控制才不会流于表面。</w:t>
      </w:r>
    </w:p>
    <w:p w14:paraId="73C206A4">
      <w:pPr>
        <w:pStyle w:val="11"/>
        <w:bidi w:val="0"/>
        <w:rPr>
          <w:rFonts w:hint="eastAsia"/>
        </w:rPr>
      </w:pPr>
      <w:r>
        <w:rPr>
          <w:rFonts w:hint="eastAsia"/>
        </w:rPr>
        <w:t>（二）隐蔽工程影像留痕</w:t>
      </w:r>
    </w:p>
    <w:p w14:paraId="1EE49090">
      <w:pPr>
        <w:pStyle w:val="11"/>
        <w:bidi w:val="0"/>
        <w:rPr>
          <w:rFonts w:hint="eastAsia"/>
        </w:rPr>
      </w:pPr>
      <w:r>
        <w:rPr>
          <w:rFonts w:hint="eastAsia"/>
        </w:rPr>
        <w:t>隐蔽工程最需要的不是事后解释，而是覆盖前把证据留全。钢筋绑扎、防水节点、管线预埋、设备基础、吊顶内安装、保温收口等内容，一旦进入下一道工序，就很难再准确还原。传统现场并非没有拍照，但照片往往缺少时间、位置、责任人和验收结论等关键背景，到了追溯阶段，只能证明拍过，难以证明做到了什么程度。数字化留痕的真正价值，正在于把影像与施工单元、工序状态、责任班组和复核意见稳定挂接，使影像从一般资料转化为过程证据。</w:t>
      </w:r>
    </w:p>
    <w:p w14:paraId="29C6B34F">
      <w:pPr>
        <w:pStyle w:val="11"/>
        <w:bidi w:val="0"/>
        <w:rPr>
          <w:rFonts w:hint="eastAsia"/>
        </w:rPr>
      </w:pPr>
      <w:r>
        <w:rPr>
          <w:rFonts w:hint="eastAsia"/>
        </w:rPr>
        <w:t>隐蔽工程留痕更重要的，不是照片数量，而是证据链是否完整。影像若只停留在零散拍摄层面，即使资料很多，也难以用于后续复查和责任判断。比较稳妥的做法，是让影像与具体部位、施工时间、工序状态和验收结论一并保留，形成能够回看、比对和核查的连续记录。这样做之后，后续人员看到的便不只是几张施工照片，而是一个相对完整的工序状态说明。现场质量结果也不再只能依赖口头解释，而能够回到被覆盖前的真实状态进行核验。</w:t>
      </w:r>
    </w:p>
    <w:p w14:paraId="4FC0BF0E">
      <w:pPr>
        <w:pStyle w:val="11"/>
        <w:bidi w:val="0"/>
        <w:rPr>
          <w:rFonts w:hint="eastAsia"/>
        </w:rPr>
      </w:pPr>
      <w:r>
        <w:rPr>
          <w:rFonts w:hint="eastAsia"/>
        </w:rPr>
        <w:t>隐蔽工程一旦形成这种连续留痕，质量管理的方式也会随之变化。它不再只是签字确认的延伸，而是成为支撑复盘、追溯和纠偏的重要基础。后续若出现渗漏、空鼓、预埋偏差、设备基础不稳等问题，项目部能够迅速回到当时的责任单元和验收节点，判断问题究竟产生于施工偏差、交接遗漏还是复核不到位。留痕越连续，事后追查越不依赖个人记忆，质量管理也越容易由“出了问题再解释”转向“过程一直可证明”。</w:t>
      </w:r>
    </w:p>
    <w:p w14:paraId="2EFAE448">
      <w:pPr>
        <w:pStyle w:val="11"/>
        <w:bidi w:val="0"/>
        <w:rPr>
          <w:rFonts w:hint="eastAsia"/>
        </w:rPr>
      </w:pPr>
      <w:r>
        <w:rPr>
          <w:rFonts w:hint="eastAsia"/>
        </w:rPr>
        <w:t>（三）质量问题闭环整改</w:t>
      </w:r>
    </w:p>
    <w:p w14:paraId="559F8F1A">
      <w:pPr>
        <w:pStyle w:val="11"/>
        <w:bidi w:val="0"/>
        <w:rPr>
          <w:rFonts w:hint="eastAsia"/>
        </w:rPr>
      </w:pPr>
      <w:r>
        <w:rPr>
          <w:rFonts w:hint="eastAsia"/>
        </w:rPr>
        <w:t>巡检和留痕如果只能发现问题，却不能推动问题真正消失，质量管理仍然是不完整的。施工现场最常见的低效，并不是问题没人发现，而是问题在不同岗位之间来回流转，整改要求反复传递，最后要么遗漏销项，要么同类问题重复出现。数字化闭环整改的关键，在于把每一个质量问题都转化为连续事项。问题由谁发起、发给谁整改、整改期限如何确定、谁来复核、复核不通过后如何再次流转，都应沿着同一条链清楚记录。</w:t>
      </w:r>
    </w:p>
    <w:p w14:paraId="314019C1">
      <w:pPr>
        <w:pStyle w:val="11"/>
        <w:bidi w:val="0"/>
        <w:rPr>
          <w:rFonts w:hint="eastAsia"/>
        </w:rPr>
      </w:pPr>
      <w:r>
        <w:rPr>
          <w:rFonts w:hint="eastAsia"/>
        </w:rPr>
        <w:t>闭环机制真正改变的，不只是问题处理速度，更是项目部对质量管理的观察方式。管理者不再只看发现了多少问题，而开始看到问题停留在哪个环节，是班组整改慢、复核迟，还是标准交底本身存在缺口。这样形成的控制逻辑，会促使项目由“到处找问题”逐步转向“压缩问题重复发生的空间”。</w:t>
      </w:r>
    </w:p>
    <w:p w14:paraId="03071481">
      <w:pPr>
        <w:pStyle w:val="11"/>
        <w:bidi w:val="0"/>
        <w:rPr>
          <w:rFonts w:hint="eastAsia"/>
        </w:rPr>
      </w:pPr>
      <w:r>
        <w:rPr>
          <w:rFonts w:hint="eastAsia"/>
        </w:rPr>
        <w:t>从现场运行看，闭环整改最重要的不是所有问题都采取同一种处理方式，而是让整改要求与问题性质相匹配。一般性偏差可由责任班组快速修正并复核，涉及结构安全、使用功能和系统稳定性的事项，则应提高复核层级并保留更完整的整改证据。整改一旦完成，还应尽量把复核结果与后续工序放行条件对应起来，防止问题表面关闭、实际仍然带病进入下道工序。只有当问题整改真正嵌入施工过程，质量闭环才不只是系统里的状态变化，而会转化为现场质量水平的持续改善。</w:t>
      </w:r>
    </w:p>
    <w:p w14:paraId="7CC4E5F3">
      <w:pPr>
        <w:pStyle w:val="4"/>
        <w:bidi w:val="0"/>
        <w:rPr>
          <w:rFonts w:hint="eastAsia"/>
        </w:rPr>
      </w:pPr>
      <w:r>
        <w:rPr>
          <w:rFonts w:hint="eastAsia"/>
        </w:rPr>
        <w:t>二、危大工程管理中的预警触发</w:t>
      </w:r>
    </w:p>
    <w:p w14:paraId="08C714FB">
      <w:pPr>
        <w:pStyle w:val="11"/>
        <w:bidi w:val="0"/>
        <w:rPr>
          <w:rFonts w:hint="eastAsia"/>
        </w:rPr>
      </w:pPr>
      <w:r>
        <w:rPr>
          <w:rFonts w:hint="eastAsia"/>
        </w:rPr>
        <w:t>（一）危大工程风险清单建立</w:t>
      </w:r>
    </w:p>
    <w:p w14:paraId="71548DE0">
      <w:pPr>
        <w:pStyle w:val="11"/>
        <w:bidi w:val="0"/>
        <w:rPr>
          <w:rFonts w:hint="eastAsia"/>
        </w:rPr>
      </w:pPr>
      <w:r>
        <w:rPr>
          <w:rFonts w:hint="eastAsia"/>
        </w:rPr>
        <w:t>危大工程管理最怕笼统化。若项目只是原则上强调要加强控制，而没有把高风险作业逐项列清，后续监测、预警和处置都容易流于表面。深基坑、高支模、脚手架、起重吊装、附着式升降设施、有限空间作业等危大工程，在不同项目中的风险位置、发生阶段和控制重点并不相同，数字化管理的起点应当是建立动态风险清单。哪些区域属于高风险区，哪些工序进入关键阶段，哪些控制措施必须先到位，哪些岗位承担每日确认职责，都应被清楚标注。</w:t>
      </w:r>
    </w:p>
    <w:p w14:paraId="49DE02C1">
      <w:pPr>
        <w:pStyle w:val="11"/>
        <w:bidi w:val="0"/>
        <w:rPr>
          <w:rFonts w:hint="eastAsia"/>
        </w:rPr>
      </w:pPr>
      <w:r>
        <w:rPr>
          <w:rFonts w:hint="eastAsia"/>
        </w:rPr>
        <w:t>风险清单做实之后，危大工程就不再是会议上的抽象重点，而会变成具体的部位、工序和责任单元。这样一来，监测设备、视频识别、旁站记录和专项巡查才能围绕真正的风险源布设，避免资源平均投放却重点不明。对于项目部而言，风险清单的意义不只在于知道哪里危险，更在于知道危险在什么阶段最容易积聚、由谁先发现、由谁先控制。只有把风险源与施工阶段对应起来，后续预警和响应才不会停留在静态布防层面。</w:t>
      </w:r>
    </w:p>
    <w:p w14:paraId="1744787A">
      <w:pPr>
        <w:pStyle w:val="11"/>
        <w:bidi w:val="0"/>
        <w:rPr>
          <w:rFonts w:hint="eastAsia"/>
        </w:rPr>
      </w:pPr>
      <w:r>
        <w:rPr>
          <w:rFonts w:hint="eastAsia"/>
        </w:rPr>
        <w:t>（二）预警条件与触发逻辑</w:t>
      </w:r>
    </w:p>
    <w:p w14:paraId="75D3345F">
      <w:pPr>
        <w:pStyle w:val="11"/>
        <w:bidi w:val="0"/>
        <w:rPr>
          <w:rFonts w:hint="eastAsia"/>
        </w:rPr>
      </w:pPr>
      <w:r>
        <w:rPr>
          <w:rFonts w:hint="eastAsia"/>
        </w:rPr>
        <w:t>预警是否有效，关键不在系统会不会报警，而在触发逻辑是否接近现场真实风险。若阈值过松，危险接近控制边界时平台仍无反应；若阈值过密，大量低质量告警又会迅速消耗管理注意力。更合理的方式，是把预警建立在监测数据、作业状态和现场行为三类信息的综合判断上。监测数据反映位移、沉降、荷载、倾角和环境变化，作业状态说明当前是否进入高风险施工阶段，现场行为则补充说明是否存在越界、超员、违规停留和防护不到位等情况。</w:t>
      </w:r>
    </w:p>
    <w:p w14:paraId="0FDCFC16">
      <w:pPr>
        <w:pStyle w:val="11"/>
        <w:bidi w:val="0"/>
        <w:rPr>
          <w:rFonts w:hint="eastAsia"/>
        </w:rPr>
      </w:pPr>
      <w:r>
        <w:rPr>
          <w:rFonts w:hint="eastAsia"/>
        </w:rPr>
        <w:t>真正值得警惕的，往往不是单个数值瞬时异常，而是多种信号在同一时间段内叠加出现。某一监测值可能尚未越过极限，但若同时伴随堆载增加、设备高频运行和人员聚集，风险等级就应及时提高。数字化预警的真正进步，不是让界面更热闹，而是让风险在形成阶段就被看见。</w:t>
      </w:r>
    </w:p>
    <w:p w14:paraId="0EEA8E2D">
      <w:pPr>
        <w:pStyle w:val="11"/>
        <w:bidi w:val="0"/>
        <w:rPr>
          <w:rFonts w:hint="eastAsia"/>
        </w:rPr>
      </w:pPr>
      <w:r>
        <w:rPr>
          <w:rFonts w:hint="eastAsia"/>
        </w:rPr>
        <w:t>预警条件的设定还应尽量避免脱离现场实际。部分项目一味追求告警数量，看似预警很多，实际上有价值的信息并不多，结果是一线岗位长期处于“见怪不怪”的状态，真正的高风险信号反而容易被淹没。更稳妥的做法，是把预警等级、触发条件和现场处置要求一起设计，使每一类预警都对应清楚的响应动作。这样形成的预警逻辑，既能保持必要敏感度，又不至于把管理注意力耗散在低质量告警上。</w:t>
      </w:r>
    </w:p>
    <w:p w14:paraId="68618237">
      <w:pPr>
        <w:pStyle w:val="11"/>
        <w:bidi w:val="0"/>
        <w:rPr>
          <w:rFonts w:hint="eastAsia"/>
        </w:rPr>
      </w:pPr>
      <w:r>
        <w:rPr>
          <w:rFonts w:hint="eastAsia"/>
        </w:rPr>
        <w:t>（三）预警后的响应处置</w:t>
      </w:r>
    </w:p>
    <w:p w14:paraId="603CA1A1">
      <w:pPr>
        <w:pStyle w:val="11"/>
        <w:bidi w:val="0"/>
        <w:rPr>
          <w:rFonts w:hint="eastAsia"/>
        </w:rPr>
      </w:pPr>
      <w:r>
        <w:rPr>
          <w:rFonts w:hint="eastAsia"/>
        </w:rPr>
        <w:t>预警若不能迅速进入现场动作，实质上只是信息提示。危大工程管理中的数字化响应，应把预警等级与责任岗位、响应时限和处置方式同步绑定。一般预警可由现场岗位快速核实，较高等级预警则应触发停工检查、区域封控、方案复审和专家复核。谁接收信息，谁到场确认，谁决定暂停施工，谁完成恢复条件复核，都需要在机制上预先明确。</w:t>
      </w:r>
    </w:p>
    <w:p w14:paraId="4D5424F3">
      <w:pPr>
        <w:pStyle w:val="11"/>
        <w:bidi w:val="0"/>
        <w:rPr>
          <w:rFonts w:hint="eastAsia"/>
        </w:rPr>
      </w:pPr>
      <w:r>
        <w:rPr>
          <w:rFonts w:hint="eastAsia"/>
        </w:rPr>
        <w:t>这种做法的价值，在于压缩风险暴露与决策之间的时间差。很多危险状态并不是没有被注意到，而是看见之后仍需层层确认，处置窗口被不断消耗。预警能够直接转化为岗位动作，危大工程管理才真正从“识别风险”走向“压住风险”。</w:t>
      </w:r>
    </w:p>
    <w:p w14:paraId="64E14F0E">
      <w:pPr>
        <w:pStyle w:val="11"/>
        <w:bidi w:val="0"/>
        <w:rPr>
          <w:rFonts w:hint="eastAsia"/>
        </w:rPr>
      </w:pPr>
      <w:r>
        <w:rPr>
          <w:rFonts w:hint="eastAsia"/>
        </w:rPr>
        <w:t>从实际运行看，预警后的响应不能只停留在“到场看一看”层面，还应尽量形成核实、处置、复核和恢复的完整链条。预警触发后若确认风险属实，就应及时明确是否停工、是否调整作业范围、是否补充防护和是否需要升级上报；风险解除后，还应通过复核确认恢复施工的条件已经具备。响应一旦形成闭环，危大工程管理就不再只是发现异常后的被动反应，而会逐步形成较为稳定的前置控制能力。</w:t>
      </w:r>
    </w:p>
    <w:p w14:paraId="3400BECD">
      <w:pPr>
        <w:pStyle w:val="4"/>
        <w:bidi w:val="0"/>
        <w:rPr>
          <w:rFonts w:hint="eastAsia"/>
        </w:rPr>
      </w:pPr>
      <w:r>
        <w:rPr>
          <w:rFonts w:hint="eastAsia"/>
        </w:rPr>
        <w:t>三、现场安全事件的响应机制</w:t>
      </w:r>
    </w:p>
    <w:p w14:paraId="1603C806">
      <w:pPr>
        <w:pStyle w:val="11"/>
        <w:bidi w:val="0"/>
        <w:rPr>
          <w:rFonts w:hint="eastAsia"/>
        </w:rPr>
      </w:pPr>
      <w:r>
        <w:rPr>
          <w:rFonts w:hint="eastAsia"/>
        </w:rPr>
        <w:t>（一）安全事件分级分类</w:t>
      </w:r>
    </w:p>
    <w:p w14:paraId="009980D5">
      <w:pPr>
        <w:pStyle w:val="11"/>
        <w:bidi w:val="0"/>
        <w:rPr>
          <w:rFonts w:hint="eastAsia"/>
        </w:rPr>
      </w:pPr>
      <w:r>
        <w:rPr>
          <w:rFonts w:hint="eastAsia"/>
        </w:rPr>
        <w:t>施工现场安全事件差异很大，违规行为、设备异常、局部险情、人员伤害和外部突发影响在紧急程度、影响范围和处置方式上完全不同。若不进行分级分类，项目部要么反应过度，影响正常施工，要么反应不足，放大后果。数字化响应首先要解决的，就是让事件类型有清楚边界。什么属于一般事件，什么属于较大风险，什么情形必须立即升级，什么情形可先由现场岗位快速处置，都应在制度和系统规则中提前明确。</w:t>
      </w:r>
    </w:p>
    <w:p w14:paraId="024D5054">
      <w:pPr>
        <w:pStyle w:val="11"/>
        <w:bidi w:val="0"/>
        <w:rPr>
          <w:rFonts w:hint="eastAsia"/>
        </w:rPr>
      </w:pPr>
      <w:r>
        <w:rPr>
          <w:rFonts w:hint="eastAsia"/>
        </w:rPr>
        <w:t>事件边界越清楚，响应路径越容易标准化。系统可以按事件性质把信息直接推送到相应层级的责任人，而不是在第一时间形成大范围、低效率的混乱通知。对施工现场而言，最初几分钟的判断往往决定后续处置节奏，分级分类做实了，首轮响应的准确性就会明显提高。</w:t>
      </w:r>
    </w:p>
    <w:p w14:paraId="40E79286">
      <w:pPr>
        <w:pStyle w:val="11"/>
        <w:bidi w:val="0"/>
        <w:rPr>
          <w:rFonts w:hint="eastAsia"/>
        </w:rPr>
      </w:pPr>
      <w:r>
        <w:rPr>
          <w:rFonts w:hint="eastAsia"/>
        </w:rPr>
        <w:t>分级分类还有一个现实意义，就是帮助项目部把管理资源放在最需要的位置。若所有异常都按最高等级对待，现场很快会陷入高频响应、低效消耗的状态；若很多本该快速升级的事件又被当作一般事项拖延处理，后果往往更严重。把不同事件放进清楚的分类框架之后，响应机制才真正具备可操作性，资源调度、岗位到场和后续调查也更容易形成一致节奏。</w:t>
      </w:r>
    </w:p>
    <w:p w14:paraId="4AB83D5B">
      <w:pPr>
        <w:pStyle w:val="11"/>
        <w:bidi w:val="0"/>
        <w:rPr>
          <w:rFonts w:hint="eastAsia"/>
        </w:rPr>
      </w:pPr>
      <w:r>
        <w:rPr>
          <w:rFonts w:hint="eastAsia"/>
        </w:rPr>
        <w:t>（二）现场信息快速上报</w:t>
      </w:r>
    </w:p>
    <w:p w14:paraId="3CC33F26">
      <w:pPr>
        <w:pStyle w:val="11"/>
        <w:bidi w:val="0"/>
        <w:rPr>
          <w:rFonts w:hint="eastAsia"/>
        </w:rPr>
      </w:pPr>
      <w:r>
        <w:rPr>
          <w:rFonts w:hint="eastAsia"/>
        </w:rPr>
        <w:t>安全事件发生后，最需要的不是冗长说明，而是把关键事实尽快表达清楚。传统电话汇报虽然直接，但容易遗漏位置、时间、人员状态和现场条件等重要信息。数字化快速上报更强调标准化表达，即在极短时间内把事件类型、发生点位、现场影像、人员情况和初步处置同步送达到相关岗位。这样做并非增加程序，而是为了压缩混乱时间。</w:t>
      </w:r>
    </w:p>
    <w:p w14:paraId="471DC5CE">
      <w:pPr>
        <w:pStyle w:val="11"/>
        <w:bidi w:val="0"/>
        <w:rPr>
          <w:rFonts w:hint="eastAsia"/>
        </w:rPr>
      </w:pPr>
      <w:r>
        <w:rPr>
          <w:rFonts w:hint="eastAsia"/>
        </w:rPr>
        <w:t>很多响应迟滞并不是因为没人上报，而是因为信息过于碎片化。有人说是设备故障，有人说存在人员伤害，有人说只是误报，管理层短时间内难以形成准确判断。统一上报入口和基础字段建立后，最关键的事实会先稳定下来，为后续指挥和资源调用打下基础。</w:t>
      </w:r>
    </w:p>
    <w:p w14:paraId="40EA332B">
      <w:pPr>
        <w:pStyle w:val="11"/>
        <w:bidi w:val="0"/>
        <w:rPr>
          <w:rFonts w:hint="eastAsia"/>
        </w:rPr>
      </w:pPr>
      <w:r>
        <w:rPr>
          <w:rFonts w:hint="eastAsia"/>
        </w:rPr>
        <w:t>快速上报真正要保证的，不是信息一次就十分完整，而是先把最关键的判断条件稳定下来。事件发生在什么位置，涉及什么对象，是否存在人员受伤，是否需要立即封控，现场是否已经采取先期处置，这些内容一旦能够尽快明确，后续调度就更容易压缩无效沟通。上报速度和表达质量之间并不是对立关系，只要基础字段和责任岗位事先明确，快速上报完全可以同时兼顾效率与准确性。</w:t>
      </w:r>
    </w:p>
    <w:p w14:paraId="659C08F4">
      <w:pPr>
        <w:pStyle w:val="11"/>
        <w:bidi w:val="0"/>
        <w:rPr>
          <w:rFonts w:hint="eastAsia"/>
        </w:rPr>
      </w:pPr>
      <w:r>
        <w:rPr>
          <w:rFonts w:hint="eastAsia"/>
        </w:rPr>
        <w:t>（三）应急资源联动调度</w:t>
      </w:r>
    </w:p>
    <w:p w14:paraId="2D65856E">
      <w:pPr>
        <w:pStyle w:val="11"/>
        <w:bidi w:val="0"/>
        <w:rPr>
          <w:rFonts w:hint="eastAsia"/>
        </w:rPr>
      </w:pPr>
      <w:r>
        <w:rPr>
          <w:rFonts w:hint="eastAsia"/>
        </w:rPr>
        <w:t>安全事件的响应最终还是要落到资源。应急物资、抢险设备、急救力量、疏散引导、现场封控和外部联络，往往需要在短时间内同时启动。若完全依赖临场协调，就容易出现资源知道在哪儿却调不过来、人员知道要到场却找不到准确位置的情况。数字化联动调度的意义，在于把应急资源的分布、状态和调用关系预先组织起来，使事件发生后不必从零开始寻找。</w:t>
      </w:r>
    </w:p>
    <w:p w14:paraId="29E38456">
      <w:pPr>
        <w:pStyle w:val="11"/>
        <w:bidi w:val="0"/>
        <w:rPr>
          <w:rFonts w:hint="eastAsia"/>
        </w:rPr>
      </w:pPr>
      <w:r>
        <w:rPr>
          <w:rFonts w:hint="eastAsia"/>
        </w:rPr>
        <w:t>这类联动最重要的，不是画面展示，而是资源映射是否清楚。哪个区域最近的应急物资在哪儿，哪类事件需要同步通知医疗或消防，哪支队伍具备先期处置能力，系统都应形成相对稳定的预设关系。资源一旦能按事件类型快速调用，现场应急就会从临时拼凑转向有序反应。</w:t>
      </w:r>
    </w:p>
    <w:p w14:paraId="32DCC8A4">
      <w:pPr>
        <w:pStyle w:val="11"/>
        <w:bidi w:val="0"/>
        <w:rPr>
          <w:rFonts w:hint="eastAsia"/>
        </w:rPr>
      </w:pPr>
      <w:r>
        <w:rPr>
          <w:rFonts w:hint="eastAsia"/>
        </w:rPr>
        <w:t>更进一步看，联动调度不只是“把资源调过来”，还应尽量让资源到场顺序、使用对象和现场需求保持一致。某些事件需要先控制危险源，再组织救援；某些事件则必须先保护人员安全、再处理设备和环境风险。资源调度如果没有基本秩序，就容易在现场形成新的混乱。预设关系越清楚，联动响应越接近真实需要，应急资源也越容易发挥实际作用。</w:t>
      </w:r>
    </w:p>
    <w:p w14:paraId="490304DC">
      <w:pPr>
        <w:pStyle w:val="4"/>
        <w:bidi w:val="0"/>
        <w:rPr>
          <w:rFonts w:hint="eastAsia"/>
        </w:rPr>
      </w:pPr>
      <w:r>
        <w:rPr>
          <w:rFonts w:hint="eastAsia"/>
        </w:rPr>
        <w:t>四、应急处置流程的闭环管理</w:t>
      </w:r>
    </w:p>
    <w:p w14:paraId="1EBA9B22">
      <w:pPr>
        <w:pStyle w:val="11"/>
        <w:bidi w:val="0"/>
        <w:rPr>
          <w:rFonts w:hint="eastAsia"/>
        </w:rPr>
      </w:pPr>
      <w:r>
        <w:rPr>
          <w:rFonts w:hint="eastAsia"/>
        </w:rPr>
        <w:t>（一）处置节点过程控制</w:t>
      </w:r>
    </w:p>
    <w:p w14:paraId="4E5C23EC">
      <w:pPr>
        <w:pStyle w:val="11"/>
        <w:bidi w:val="0"/>
        <w:rPr>
          <w:rFonts w:hint="eastAsia"/>
        </w:rPr>
      </w:pPr>
      <w:r>
        <w:rPr>
          <w:rFonts w:hint="eastAsia"/>
        </w:rPr>
        <w:t>应急处置如果只看开头和结尾，很容易忽视中间最关键的过程节点。很多项目在事件初期反应不慢，但随着处置展开，现场封控、人员清点、隐患源隔离和恢复条件确认等环节逐渐模糊，最后虽然问题解决了，却很难判断哪些动作真正起了作用。数字化闭环管理强调把初报、核实、先期处置、升级响应、现场恢复和复核销项拆成若干关键节点，并对每个节点形成时间、责任和结果记录。这样既能约束处置过程，也为后续复盘留下依据。</w:t>
      </w:r>
    </w:p>
    <w:p w14:paraId="1EBA0E9D">
      <w:pPr>
        <w:pStyle w:val="11"/>
        <w:bidi w:val="0"/>
        <w:rPr>
          <w:rFonts w:hint="eastAsia"/>
        </w:rPr>
      </w:pPr>
      <w:r>
        <w:rPr>
          <w:rFonts w:hint="eastAsia"/>
        </w:rPr>
        <w:t>节点控制的意义，不在于把应急处置复杂化，而在于避免关键动作在处理中途失焦。事件初报之后，谁到场核实，谁负责隔离风险源，谁决定是否升级，谁确认恢复条件，这些步骤只要有一个环节模糊，处置链条就容易断开。把节点过程控制做实，现场看到的就不再只是“最后处置完了”，而是“每一步是如何推进的、是否按要求完成的”。这对于提高应急响应的稳定性十分关键。</w:t>
      </w:r>
    </w:p>
    <w:p w14:paraId="2B8BB7A3">
      <w:pPr>
        <w:pStyle w:val="11"/>
        <w:bidi w:val="0"/>
        <w:rPr>
          <w:rFonts w:hint="eastAsia"/>
        </w:rPr>
      </w:pPr>
      <w:r>
        <w:rPr>
          <w:rFonts w:hint="eastAsia"/>
        </w:rPr>
        <w:t>（二）处置结果复盘分析</w:t>
      </w:r>
    </w:p>
    <w:p w14:paraId="37665A4E">
      <w:pPr>
        <w:pStyle w:val="11"/>
        <w:bidi w:val="0"/>
        <w:rPr>
          <w:rFonts w:hint="eastAsia"/>
        </w:rPr>
      </w:pPr>
      <w:r>
        <w:rPr>
          <w:rFonts w:hint="eastAsia"/>
        </w:rPr>
        <w:t>事件结束并不意味着管理结束。真正有价值的应急管理，应把结果重新放回机制层面分析：预警有没有提前给出信号，首轮上报是否准确，资源调度是否顺畅，哪些节点处理得快，哪些节点仍然依赖个人经验。复盘若只停留在一般性总结，很难真正提升组织能力；只有基于连续记录还原处置过程，项目部才能看清问题是如何形成、如何扩散、又是如何被压住的。数字化闭环最大的优势，就在于它为这种复盘提供了较完整的过程证据。</w:t>
      </w:r>
    </w:p>
    <w:p w14:paraId="349199E2">
      <w:pPr>
        <w:pStyle w:val="11"/>
        <w:bidi w:val="0"/>
        <w:rPr>
          <w:rFonts w:hint="eastAsia"/>
        </w:rPr>
      </w:pPr>
      <w:r>
        <w:rPr>
          <w:rFonts w:hint="eastAsia"/>
        </w:rPr>
        <w:t>复盘分析真正要解决的，不只是“这次做得怎么样”，更在于“下次怎样做得更稳”。某类预警是否应提前触发，某些岗位是否仍然响应偏慢，某些资源是否配置不合理，某些信息是否在首轮上报中长期缺失，这些都只有通过过程还原才能看清。复盘一旦建立在连续记录之上，经验沉淀就不再依赖个别管理人员的记忆，而能够逐步转化为组织共识和机制调整依据。</w:t>
      </w:r>
    </w:p>
    <w:p w14:paraId="18E815FA">
      <w:pPr>
        <w:pStyle w:val="11"/>
        <w:bidi w:val="0"/>
        <w:rPr>
          <w:rFonts w:hint="eastAsia"/>
        </w:rPr>
      </w:pPr>
      <w:r>
        <w:rPr>
          <w:rFonts w:hint="eastAsia"/>
        </w:rPr>
        <w:t>（三）现场记录与证据链形成</w:t>
      </w:r>
    </w:p>
    <w:p w14:paraId="589BCFE4">
      <w:pPr>
        <w:pStyle w:val="11"/>
        <w:bidi w:val="0"/>
        <w:rPr>
          <w:rFonts w:hint="eastAsia"/>
        </w:rPr>
      </w:pPr>
      <w:r>
        <w:rPr>
          <w:rFonts w:hint="eastAsia"/>
        </w:rPr>
        <w:t>质量安全过程控制写到最后，最需要强调的并不是记录本身，而是记录能否形成连续证据链。巡检、留痕、预警、整改、复核和应急处置若彼此割裂，资料虽然不少，真正到了追溯和复盘阶段仍然可能说不清。只有把质量检查记录、安全预警信息、整改过程资料、复核结果和应急处置节点稳定连接起来，项目部才会真正掌握现场治理的全过程事实。</w:t>
      </w:r>
    </w:p>
    <w:p w14:paraId="5E93B387">
      <w:pPr>
        <w:pStyle w:val="11"/>
        <w:bidi w:val="0"/>
        <w:rPr>
          <w:rFonts w:hint="eastAsia"/>
        </w:rPr>
      </w:pPr>
      <w:r>
        <w:rPr>
          <w:rFonts w:hint="eastAsia"/>
        </w:rPr>
        <w:t>从实践看，一些项目之所以能够明显提升质量安全治理水平，并不是因为使用了更多工具，而是因为把监测、预警、整改、复核和验收连续组织起来。风险出现时能够及时识别，问题形成后能够快速派发，整改完成后能够留存证据，复核通过后能够形成销项依据，后续复盘时又能回到全过程记录查看关键节点。这样形成的现场记录，已经不再是单纯的资料归档，而是质量安全过程控制的运行基础。</w:t>
      </w:r>
    </w:p>
    <w:p w14:paraId="3ACFEB3A">
      <w:pPr>
        <w:pStyle w:val="11"/>
        <w:bidi w:val="0"/>
        <w:rPr>
          <w:rFonts w:hint="eastAsia"/>
        </w:rPr>
      </w:pPr>
      <w:r>
        <w:rPr>
          <w:rFonts w:hint="eastAsia"/>
        </w:rPr>
        <w:t>也正因为如此，质量安全治理中的记录不应被理解为附加负担，而应被看作压缩争议、稳定责任和支撑复盘的重要工具。记录越连续，现场越不依赖事后解释；证据链越完整，项目越能够在问题发生时迅速回到具体部位、具体工序和具体责任单元。质量安全过程控制做到这一层，现场管理就不再停留在结果检查层面，而会逐步形成贯穿施工全过程的数字证据链。</w:t>
      </w:r>
    </w:p>
    <w:p w14:paraId="06B29D11">
      <w:pPr>
        <w:pStyle w:val="11"/>
        <w:bidi w:val="0"/>
        <w:rPr>
          <w:rFonts w:hint="eastAsia"/>
        </w:rPr>
        <w:sectPr>
          <w:headerReference r:id="rId25" w:type="default"/>
          <w:footerReference r:id="rId27" w:type="default"/>
          <w:headerReference r:id="rId26" w:type="even"/>
          <w:footerReference r:id="rId28" w:type="even"/>
          <w:pgSz w:w="10431" w:h="14740"/>
          <w:pgMar w:top="1440" w:right="1800" w:bottom="1440" w:left="1800" w:header="851" w:footer="992" w:gutter="0"/>
          <w:pgNumType w:fmt="decimal"/>
          <w:cols w:space="425" w:num="1"/>
          <w:docGrid w:type="lines" w:linePitch="312" w:charSpace="0"/>
        </w:sectPr>
      </w:pPr>
    </w:p>
    <w:p w14:paraId="15F4CC4B">
      <w:pPr>
        <w:pStyle w:val="2"/>
        <w:bidi w:val="0"/>
        <w:rPr>
          <w:b/>
        </w:rPr>
      </w:pPr>
      <w:bookmarkStart w:id="26" w:name="_Toc12831"/>
      <w:r>
        <w:rPr>
          <w:rFonts w:hint="eastAsia" w:ascii="宋体" w:hAnsi="宋体" w:eastAsia="黑体" w:cs="宋体"/>
          <w:b/>
          <w:bCs/>
          <w:kern w:val="44"/>
          <w:sz w:val="40"/>
          <w:szCs w:val="30"/>
        </w:rPr>
        <w:t>第五章</w:t>
      </w:r>
      <w:r>
        <w:rPr>
          <w:rFonts w:hint="eastAsia" w:cs="宋体"/>
          <w:b/>
          <w:bCs/>
          <w:kern w:val="44"/>
          <w:sz w:val="40"/>
          <w:szCs w:val="30"/>
          <w:lang w:val="en-US" w:eastAsia="zh-CN"/>
        </w:rPr>
        <w:t xml:space="preserve"> </w:t>
      </w:r>
      <w:r>
        <w:t>工程投资评审与造价合同管理</w:t>
      </w:r>
      <w:bookmarkEnd w:id="26"/>
    </w:p>
    <w:p w14:paraId="2BD40661">
      <w:pPr>
        <w:pStyle w:val="3"/>
        <w:numPr>
          <w:ilvl w:val="0"/>
          <w:numId w:val="0"/>
        </w:numPr>
        <w:ind w:left="0" w:leftChars="0" w:firstLine="0" w:firstLineChars="0"/>
        <w:rPr>
          <w:b/>
        </w:rPr>
      </w:pPr>
      <w:bookmarkStart w:id="27" w:name="_Toc12528"/>
      <w:r>
        <w:rPr>
          <w:rFonts w:hint="eastAsia" w:ascii="宋体" w:hAnsi="宋体" w:eastAsia="黑体" w:cs="宋体"/>
          <w:b/>
          <w:bCs/>
          <w:kern w:val="44"/>
          <w:sz w:val="30"/>
          <w:szCs w:val="30"/>
        </w:rPr>
        <w:t>第一节</w:t>
      </w:r>
      <w:r>
        <w:rPr>
          <w:rFonts w:hint="eastAsia" w:cs="宋体"/>
          <w:b/>
          <w:bCs/>
          <w:kern w:val="44"/>
          <w:sz w:val="30"/>
          <w:szCs w:val="30"/>
          <w:lang w:val="en-US" w:eastAsia="zh-CN"/>
        </w:rPr>
        <w:t xml:space="preserve"> </w:t>
      </w:r>
      <w:r>
        <w:t>工程投资控制的数字化基础</w:t>
      </w:r>
      <w:bookmarkEnd w:id="27"/>
      <w:r>
        <w:t xml:space="preserve">  </w:t>
      </w:r>
    </w:p>
    <w:p w14:paraId="2EB4A995">
      <w:pPr>
        <w:pStyle w:val="4"/>
        <w:numPr>
          <w:ilvl w:val="0"/>
          <w:numId w:val="0"/>
        </w:numPr>
        <w:topLinePunct w:val="0"/>
        <w:ind w:left="0" w:leftChars="0" w:firstLine="422" w:firstLineChars="0"/>
        <w:rPr>
          <w:b/>
        </w:rPr>
      </w:pPr>
      <w:r>
        <w:rPr>
          <w:rFonts w:hint="eastAsia" w:ascii="黑体" w:hAnsi="黑体" w:eastAsia="黑体" w:cs="黑体"/>
          <w:b/>
          <w:sz w:val="21"/>
        </w:rPr>
        <w:t>一、</w:t>
      </w:r>
      <w:r>
        <w:t>投资控制目标的前置设定</w:t>
      </w:r>
    </w:p>
    <w:p w14:paraId="62F9760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投资控制起点前移</w:t>
      </w:r>
    </w:p>
    <w:p w14:paraId="4773D1B7">
      <w:pPr>
        <w:pStyle w:val="11"/>
        <w:rPr>
          <w:rFonts w:ascii="Times New Roman" w:hAnsi="Calibri" w:eastAsia="宋体" w:cs="Times New Roman"/>
          <w:sz w:val="21"/>
        </w:rPr>
      </w:pPr>
      <w:r>
        <w:rPr>
          <w:rFonts w:ascii="Times New Roman" w:hAnsi="Calibri" w:eastAsia="宋体" w:cs="Times New Roman"/>
          <w:sz w:val="21"/>
        </w:rPr>
        <w:t>工程投资控制若仍停留在施工过程中发现超支、结算阶段再作解释，所谓控制往往已经变成被动收口。数字化条件下，投资控制的真正起点应当明显前移，从项目策划和实施准备阶段就建立目标边界。这里所说的前移，并不是把造价人员提前介入那么简单，而是要把投资目标从概算、预算和合同总价的静态数字，转化为能够贯穿设计、采购、施工和签证变更全过程的动态控制线。项目一旦进入实施，任何资源投入、工程量变化和工序安排都可能改变成本结构，若前期没有把控制目标拆解清楚，后续即使采集了大量数据，也难以判断哪些变化属于正常波动，哪些已经触碰投资红线。</w:t>
      </w:r>
    </w:p>
    <w:p w14:paraId="3AB48E8D">
      <w:pPr>
        <w:pStyle w:val="11"/>
        <w:rPr>
          <w:rFonts w:ascii="Times New Roman" w:hAnsi="Calibri" w:eastAsia="宋体" w:cs="Times New Roman"/>
          <w:sz w:val="21"/>
        </w:rPr>
      </w:pPr>
      <w:r>
        <w:rPr>
          <w:rFonts w:ascii="Times New Roman" w:hAnsi="Calibri" w:eastAsia="宋体" w:cs="Times New Roman"/>
          <w:sz w:val="21"/>
        </w:rPr>
        <w:t>从工程实践看，投资控制最容易出现的偏差，并不是最终多花了多少钱，而是一开始就没有把钱花在什么地方、允许波动到什么程度、由谁负责盯控这些问题说清楚。数字化基础建设首先要解决的，正是目标表达问题。项目总投资控制值、分部分项控制值、专业控制值、阶段性支出控制值，应当形成由总到分、由静到动的目标体系。只有这样，后续工程量归集、价格比对和过程预警才有真正的参照系。没有前置目标，数据越多，判断越容易失焦。</w:t>
      </w:r>
    </w:p>
    <w:p w14:paraId="291B87D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目标分解与责任挂接</w:t>
      </w:r>
    </w:p>
    <w:p w14:paraId="78E62A37">
      <w:pPr>
        <w:pStyle w:val="11"/>
        <w:rPr>
          <w:rFonts w:ascii="Times New Roman" w:hAnsi="Calibri" w:eastAsia="宋体" w:cs="Times New Roman"/>
          <w:sz w:val="21"/>
        </w:rPr>
      </w:pPr>
      <w:r>
        <w:rPr>
          <w:rFonts w:ascii="Times New Roman" w:hAnsi="Calibri" w:eastAsia="宋体" w:cs="Times New Roman"/>
          <w:sz w:val="21"/>
        </w:rPr>
        <w:t>投资目标一旦确立，还必须继续向下分解到责任单元。很多项目的造价控制失效，并不在于没人重视投资，而在于目标停留在项目整体层面，没有真正落到设计优化、清单控制、材料采购、现场签证和工程计量等具体环节。数字化条件下，更合理的做法是把投资目标按专业、按区域、按阶段和按业务链进行拆分，使每一类造价信息都能找到对应的责任主体。设计口负责控制源头偏差，成本口负责清单与单价边界，施工现场则负责工程量变化、签证发生和资源使用的过程记录。责任如果不与目标挂接，投资控制就会长期处于</w:t>
      </w:r>
      <w:r>
        <w:rPr>
          <w:rFonts w:hint="eastAsia" w:ascii="Times New Roman" w:hAnsi="Times New Roman" w:eastAsia="宋体" w:cs="Times New Roman"/>
          <w:sz w:val="21"/>
          <w:lang w:eastAsia="zh-CN"/>
        </w:rPr>
        <w:t>“</w:t>
      </w:r>
      <w:r>
        <w:rPr>
          <w:rFonts w:ascii="Times New Roman" w:hAnsi="Calibri" w:eastAsia="宋体" w:cs="Times New Roman"/>
          <w:sz w:val="21"/>
        </w:rPr>
        <w:t>人人都知道重要、但没人对过程波动真正负责</w:t>
      </w:r>
      <w:r>
        <w:rPr>
          <w:rFonts w:hint="eastAsia" w:ascii="Times New Roman" w:hAnsi="Times New Roman" w:eastAsia="宋体" w:cs="Times New Roman"/>
          <w:sz w:val="21"/>
          <w:lang w:eastAsia="zh-CN"/>
        </w:rPr>
        <w:t>”</w:t>
      </w:r>
      <w:r>
        <w:rPr>
          <w:rFonts w:ascii="Times New Roman" w:hAnsi="Calibri" w:eastAsia="宋体" w:cs="Times New Roman"/>
          <w:sz w:val="21"/>
        </w:rPr>
        <w:t>的状态。</w:t>
      </w:r>
    </w:p>
    <w:p w14:paraId="755749F6">
      <w:pPr>
        <w:pStyle w:val="11"/>
        <w:rPr>
          <w:rFonts w:ascii="Times New Roman" w:hAnsi="Calibri" w:eastAsia="宋体" w:cs="Times New Roman"/>
          <w:sz w:val="21"/>
        </w:rPr>
      </w:pPr>
      <w:r>
        <w:rPr>
          <w:rFonts w:hint="eastAsia" w:ascii="Times New Roman" w:hAnsi="Calibri" w:eastAsia="宋体" w:cs="Times New Roman"/>
          <w:sz w:val="21"/>
        </w:rPr>
        <w:t>更可将投资目标分解理解为一种治理方式转换。过去，项目更习惯在结果出来后追问责任归属，数字化控制则要求在过程运行中提前明确谁应关注什么、在什么节点作出判断。这样形成的责任体系，不只是服务于后续考核，更重要的是让项目在偏差刚刚出现时就有人接得住、看得懂、能处理。投资控制真正有效，依靠的不是事后追责多严，而是前端每一个关键节点都具备清晰的责任感知。</w:t>
      </w:r>
    </w:p>
    <w:p w14:paraId="3234D74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控制边界与动态校正</w:t>
      </w:r>
    </w:p>
    <w:p w14:paraId="76C48D4C">
      <w:pPr>
        <w:pStyle w:val="11"/>
        <w:rPr>
          <w:rFonts w:ascii="Times New Roman" w:hAnsi="Calibri" w:eastAsia="宋体" w:cs="Times New Roman"/>
          <w:sz w:val="21"/>
        </w:rPr>
      </w:pPr>
      <w:r>
        <w:rPr>
          <w:rFonts w:ascii="Times New Roman" w:hAnsi="Calibri" w:eastAsia="宋体" w:cs="Times New Roman"/>
          <w:sz w:val="21"/>
        </w:rPr>
        <w:t>投资控制目标虽应前置设定，但绝不能被理解为一成不变的静态红线。工程项目本身具有较强的不确定性，设计深化、市场波动、地质条件变化、建设要求调整都会影响造价运行状态。数字化基础并不是为了把项目锁死在某个初始数值上，而是要建立</w:t>
      </w:r>
      <w:r>
        <w:rPr>
          <w:rFonts w:hint="eastAsia" w:ascii="Times New Roman" w:hAnsi="Times New Roman" w:eastAsia="宋体" w:cs="Times New Roman"/>
          <w:sz w:val="21"/>
          <w:lang w:eastAsia="zh-CN"/>
        </w:rPr>
        <w:t>“</w:t>
      </w:r>
      <w:r>
        <w:rPr>
          <w:rFonts w:ascii="Times New Roman" w:hAnsi="Calibri" w:eastAsia="宋体" w:cs="Times New Roman"/>
          <w:sz w:val="21"/>
        </w:rPr>
        <w:t>目标可校正、校正有依据、依据可追溯</w:t>
      </w:r>
      <w:r>
        <w:rPr>
          <w:rFonts w:hint="eastAsia" w:ascii="Times New Roman" w:hAnsi="Times New Roman" w:eastAsia="宋体" w:cs="Times New Roman"/>
          <w:sz w:val="21"/>
          <w:lang w:eastAsia="zh-CN"/>
        </w:rPr>
        <w:t>”</w:t>
      </w:r>
      <w:r>
        <w:rPr>
          <w:rFonts w:ascii="Times New Roman" w:hAnsi="Calibri" w:eastAsia="宋体" w:cs="Times New Roman"/>
          <w:sz w:val="21"/>
        </w:rPr>
        <w:t>的动态机制。也就是说，目标一经设定，就应同时明确哪些情形允许调整、调整依据来自哪里、调整后如何进入新的控制基线。</w:t>
      </w:r>
    </w:p>
    <w:p w14:paraId="2EE29A78">
      <w:pPr>
        <w:pStyle w:val="11"/>
        <w:rPr>
          <w:rFonts w:ascii="Times New Roman" w:hAnsi="Calibri" w:eastAsia="宋体" w:cs="Times New Roman"/>
          <w:sz w:val="21"/>
        </w:rPr>
      </w:pPr>
      <w:r>
        <w:rPr>
          <w:rFonts w:ascii="Times New Roman" w:hAnsi="Calibri" w:eastAsia="宋体" w:cs="Times New Roman"/>
          <w:sz w:val="21"/>
        </w:rPr>
        <w:t>这一点非常关键。若控制边界过于僵硬，现场很多必要调整会被拖延，最终反而以更高代价体现出来；若边界过于松散，任何变化都能被解释成合理波动，投资控制就会失去约束力。数字化系统的价值，恰恰在于让这种校正建立在连续信息之上。工程量变化是否真实、价格波动是否超出预期、签证事项是否具备完整依据，都不再只是会议讨论中的口头判断，而可以回到过程数据中进行核验。投资控制由此从静态目标管理走向动态边界管理，这正是数字化基础最值得强调的一点。</w:t>
      </w:r>
    </w:p>
    <w:p w14:paraId="4E32BB2D">
      <w:pPr>
        <w:pStyle w:val="4"/>
        <w:numPr>
          <w:ilvl w:val="0"/>
          <w:numId w:val="0"/>
        </w:numPr>
        <w:topLinePunct w:val="0"/>
        <w:ind w:left="0" w:leftChars="0" w:firstLine="422" w:firstLineChars="0"/>
        <w:rPr>
          <w:b/>
        </w:rPr>
      </w:pPr>
      <w:r>
        <w:rPr>
          <w:rFonts w:hint="eastAsia" w:ascii="黑体" w:hAnsi="黑体" w:eastAsia="黑体" w:cs="黑体"/>
          <w:b/>
          <w:sz w:val="21"/>
        </w:rPr>
        <w:t>二、</w:t>
      </w:r>
      <w:r>
        <w:t>工程量价格与清单数据的统一</w:t>
      </w:r>
    </w:p>
    <w:p w14:paraId="1F150F9A">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工程量口径统一</w:t>
      </w:r>
    </w:p>
    <w:p w14:paraId="7AC8F51A">
      <w:pPr>
        <w:pStyle w:val="11"/>
        <w:rPr>
          <w:rFonts w:ascii="Times New Roman" w:hAnsi="Calibri" w:eastAsia="宋体" w:cs="Times New Roman"/>
          <w:sz w:val="21"/>
        </w:rPr>
      </w:pPr>
      <w:r>
        <w:rPr>
          <w:rFonts w:ascii="Times New Roman" w:hAnsi="Calibri" w:eastAsia="宋体" w:cs="Times New Roman"/>
          <w:sz w:val="21"/>
        </w:rPr>
        <w:t>工程投资控制进入实施层后，最常见也最隐蔽的问题之一，就是工程量口径不统一。设计算量、招标清单工程量、施工计量工程量、变更调整工程量和结算工程量，表面上都在谈</w:t>
      </w:r>
      <w:r>
        <w:rPr>
          <w:rFonts w:hint="eastAsia" w:ascii="Times New Roman" w:hAnsi="Times New Roman" w:eastAsia="宋体" w:cs="Times New Roman"/>
          <w:sz w:val="21"/>
          <w:lang w:eastAsia="zh-CN"/>
        </w:rPr>
        <w:t>“</w:t>
      </w:r>
      <w:r>
        <w:rPr>
          <w:rFonts w:ascii="Times New Roman" w:hAnsi="Calibri" w:eastAsia="宋体" w:cs="Times New Roman"/>
          <w:sz w:val="21"/>
        </w:rPr>
        <w:t>工程量</w:t>
      </w:r>
      <w:r>
        <w:rPr>
          <w:rFonts w:hint="eastAsia" w:ascii="Times New Roman" w:hAnsi="Times New Roman" w:eastAsia="宋体" w:cs="Times New Roman"/>
          <w:sz w:val="21"/>
          <w:lang w:eastAsia="zh-CN"/>
        </w:rPr>
        <w:t>”</w:t>
      </w:r>
      <w:r>
        <w:rPr>
          <w:rFonts w:ascii="Times New Roman" w:hAnsi="Calibri" w:eastAsia="宋体" w:cs="Times New Roman"/>
          <w:sz w:val="21"/>
        </w:rPr>
        <w:t>，实际上依据、粒度和时间点往往并不一致。若这些工程量长期分散存在，项目部很容易陷入一种状态：每一张表都说得通，但几张表之间互相对不上。数字化基础建设首先要处理的，就是把工程量的对象边界、计量单位、分解层级和对应部位统一下来，使不同阶段的数据能够围绕同一坐标系进行比较。</w:t>
      </w:r>
    </w:p>
    <w:p w14:paraId="1BC99051">
      <w:pPr>
        <w:pStyle w:val="11"/>
        <w:rPr>
          <w:rFonts w:ascii="Times New Roman" w:hAnsi="Calibri" w:eastAsia="宋体" w:cs="Times New Roman"/>
          <w:sz w:val="21"/>
        </w:rPr>
      </w:pPr>
      <w:r>
        <w:rPr>
          <w:rFonts w:ascii="Times New Roman" w:hAnsi="Calibri" w:eastAsia="宋体" w:cs="Times New Roman"/>
          <w:sz w:val="21"/>
        </w:rPr>
        <w:t>工程量口径统一，并不意味着所有工程量都必须完全相同，而是要保证差异有来源、有规则、有解释。招标阶段的清单量更多承担交易边界功能，施工阶段的实测量则更接近现场完成事实，二者可以不同，但不能无序漂移。若没有统一口径，后续无论是进度产值联动、签证审核还是结算复核，都会长期陷入人工比对。项目一旦进入多专业交叉和频繁变更阶段，这种比对成本会迅速放大。也正因为如此，工程量统一不是简单的数据整理，而是投资控制的事实基础。</w:t>
      </w:r>
    </w:p>
    <w:p w14:paraId="5BDBD0B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价格信息来源统一</w:t>
      </w:r>
    </w:p>
    <w:p w14:paraId="4AE9F196">
      <w:pPr>
        <w:pStyle w:val="11"/>
        <w:rPr>
          <w:rFonts w:ascii="Times New Roman" w:hAnsi="Calibri" w:eastAsia="宋体" w:cs="Times New Roman"/>
          <w:sz w:val="21"/>
        </w:rPr>
      </w:pPr>
      <w:r>
        <w:rPr>
          <w:rFonts w:ascii="Times New Roman" w:hAnsi="Calibri" w:eastAsia="宋体" w:cs="Times New Roman"/>
          <w:sz w:val="21"/>
        </w:rPr>
        <w:t>与工程量相比，价格信息更容易受到时间、市场和采购方式的影响。材料价格、设备价格、人工单价、机械台班价格以及清单综合单价，在不同阶段、不同主体和不同系统中往往来自不同来源。若缺少统一的价格数据基础，项目部即使掌握了较准确的工程量，也难以作出稳定的投资判断。数字化条件下，价格信息更适合按照</w:t>
      </w:r>
      <w:r>
        <w:rPr>
          <w:rFonts w:hint="eastAsia" w:ascii="Times New Roman" w:hAnsi="Times New Roman" w:eastAsia="宋体" w:cs="Times New Roman"/>
          <w:sz w:val="21"/>
          <w:lang w:eastAsia="zh-CN"/>
        </w:rPr>
        <w:t>“</w:t>
      </w:r>
      <w:r>
        <w:rPr>
          <w:rFonts w:ascii="Times New Roman" w:hAnsi="Calibri" w:eastAsia="宋体" w:cs="Times New Roman"/>
          <w:sz w:val="21"/>
        </w:rPr>
        <w:t>标准来源+项目修正+过程留痕</w:t>
      </w:r>
      <w:r>
        <w:rPr>
          <w:rFonts w:hint="eastAsia" w:ascii="Times New Roman" w:hAnsi="Times New Roman" w:eastAsia="宋体" w:cs="Times New Roman"/>
          <w:sz w:val="21"/>
          <w:lang w:eastAsia="zh-CN"/>
        </w:rPr>
        <w:t>”</w:t>
      </w:r>
      <w:r>
        <w:rPr>
          <w:rFonts w:ascii="Times New Roman" w:hAnsi="Calibri" w:eastAsia="宋体" w:cs="Times New Roman"/>
          <w:sz w:val="21"/>
        </w:rPr>
        <w:t>的方式组织。标准来源负责建立基础价格口径，项目修正反映区域差异、采购条件和合同约定，过程留痕则保留价格变动发生的时间、原因和审批依据。</w:t>
      </w:r>
    </w:p>
    <w:p w14:paraId="4E664A64">
      <w:pPr>
        <w:pStyle w:val="11"/>
        <w:rPr>
          <w:rFonts w:ascii="Times New Roman" w:hAnsi="Calibri" w:eastAsia="宋体" w:cs="Times New Roman"/>
          <w:sz w:val="21"/>
        </w:rPr>
      </w:pPr>
      <w:r>
        <w:rPr>
          <w:rFonts w:ascii="Times New Roman" w:hAnsi="Calibri" w:eastAsia="宋体" w:cs="Times New Roman"/>
          <w:sz w:val="21"/>
        </w:rPr>
        <w:t>价格统一的真正意义，在于减少同一事项被不同价格逻辑反复解释的空间。很多项目造价争议，并不是算不出结果，而是同一工程量被套用了不同价格基础，最终谁也说服不了谁。若价格来源在系统中一开始就被统一管理，后续比对、调整和审核都会顺畅得多。更重要的是，价格一旦具备统一来源，市场波动对项目投资的影响就能更及时地被识别出来，而不是等到采购完成或结算时才集中暴露。</w:t>
      </w:r>
    </w:p>
    <w:p w14:paraId="0434C4B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清单数据成为控制主线</w:t>
      </w:r>
    </w:p>
    <w:p w14:paraId="42410EF3">
      <w:pPr>
        <w:pStyle w:val="11"/>
        <w:rPr>
          <w:rFonts w:ascii="Times New Roman" w:hAnsi="Calibri" w:eastAsia="宋体" w:cs="Times New Roman"/>
          <w:sz w:val="21"/>
        </w:rPr>
      </w:pPr>
      <w:r>
        <w:rPr>
          <w:rFonts w:ascii="Times New Roman" w:hAnsi="Calibri" w:eastAsia="宋体" w:cs="Times New Roman"/>
          <w:sz w:val="21"/>
        </w:rPr>
        <w:t>在工程投资数字化基础中，清单数据应当被放在非常核心的位置。原因在于，清单既连接设计与招采，又连接施工与结算，是最适合作为全过程投资控制主线的数据载体。许多项目的问题并不是没有清单，而是清单只在招标阶段被充分使用，进入施工后便逐步让位于现场台账和临时统计，最终导致前后阶段的数据链条断裂。更成熟的做法，是让清单数据贯穿工程量、价格和责任单元，把清单项目从交易条目转化为管理条目。这样一来，投资控制就不再是后端财务口径的单线核算，而能够在施工过程中不断与工程量完成、变更发生和资源投入形成对应。</w:t>
      </w:r>
    </w:p>
    <w:p w14:paraId="2E4F876F">
      <w:pPr>
        <w:pStyle w:val="11"/>
        <w:rPr>
          <w:rFonts w:ascii="Times New Roman" w:hAnsi="Calibri" w:eastAsia="宋体" w:cs="Times New Roman"/>
          <w:sz w:val="21"/>
        </w:rPr>
      </w:pPr>
      <w:r>
        <w:rPr>
          <w:rFonts w:hint="eastAsia" w:ascii="Times New Roman" w:hAnsi="Calibri" w:eastAsia="宋体" w:cs="Times New Roman"/>
          <w:sz w:val="21"/>
        </w:rPr>
        <w:t>项目实践表明，投资控制做得细不细，往往不取决于后期审核有多严格，而取决于清单数据在前中后期是否始终处于同一逻辑之中。</w:t>
      </w:r>
      <w:r>
        <w:rPr>
          <w:rFonts w:ascii="Times New Roman" w:hAnsi="Calibri" w:eastAsia="宋体" w:cs="Times New Roman"/>
          <w:sz w:val="21"/>
        </w:rPr>
        <w:t>清单若只是招标文件的一部分，它的管理价值是有限的；清单若成为全过程数据主线，项目造价信息就会逐步从分散归档走向连续可比。这样的统一，不仅能提升审核效率，更能增强项目在施工阶段对投资变化的预判能力。</w:t>
      </w:r>
    </w:p>
    <w:p w14:paraId="7FF51561">
      <w:pPr>
        <w:pStyle w:val="4"/>
        <w:numPr>
          <w:ilvl w:val="0"/>
          <w:numId w:val="0"/>
        </w:numPr>
        <w:topLinePunct w:val="0"/>
        <w:ind w:left="0" w:leftChars="0" w:firstLine="422" w:firstLineChars="0"/>
        <w:rPr>
          <w:b/>
        </w:rPr>
      </w:pPr>
      <w:r>
        <w:rPr>
          <w:rFonts w:hint="eastAsia" w:ascii="黑体" w:hAnsi="黑体" w:eastAsia="黑体" w:cs="黑体"/>
          <w:b/>
          <w:sz w:val="21"/>
        </w:rPr>
        <w:t>三、</w:t>
      </w:r>
      <w:r>
        <w:t>全过程造价信息的动态归集</w:t>
      </w:r>
    </w:p>
    <w:p w14:paraId="1B70775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造价信息按事件连续归集</w:t>
      </w:r>
    </w:p>
    <w:p w14:paraId="601EDDC8">
      <w:pPr>
        <w:pStyle w:val="11"/>
        <w:rPr>
          <w:rFonts w:ascii="Times New Roman" w:hAnsi="Calibri" w:eastAsia="宋体" w:cs="Times New Roman"/>
          <w:sz w:val="21"/>
        </w:rPr>
      </w:pPr>
      <w:r>
        <w:rPr>
          <w:rFonts w:ascii="Times New Roman" w:hAnsi="Calibri" w:eastAsia="宋体" w:cs="Times New Roman"/>
          <w:sz w:val="21"/>
        </w:rPr>
        <w:t>造价信息的动态归集，首先要改变</w:t>
      </w:r>
      <w:r>
        <w:rPr>
          <w:rFonts w:hint="eastAsia" w:ascii="Times New Roman" w:hAnsi="Times New Roman" w:eastAsia="宋体" w:cs="Times New Roman"/>
          <w:sz w:val="21"/>
          <w:lang w:eastAsia="zh-CN"/>
        </w:rPr>
        <w:t>“</w:t>
      </w:r>
      <w:r>
        <w:rPr>
          <w:rFonts w:ascii="Times New Roman" w:hAnsi="Calibri" w:eastAsia="宋体" w:cs="Times New Roman"/>
          <w:sz w:val="21"/>
        </w:rPr>
        <w:t>按时间集中汇总</w:t>
      </w:r>
      <w:r>
        <w:rPr>
          <w:rFonts w:hint="eastAsia" w:ascii="Times New Roman" w:hAnsi="Times New Roman" w:eastAsia="宋体" w:cs="Times New Roman"/>
          <w:sz w:val="21"/>
          <w:lang w:eastAsia="zh-CN"/>
        </w:rPr>
        <w:t>”</w:t>
      </w:r>
      <w:r>
        <w:rPr>
          <w:rFonts w:ascii="Times New Roman" w:hAnsi="Calibri" w:eastAsia="宋体" w:cs="Times New Roman"/>
          <w:sz w:val="21"/>
        </w:rPr>
        <w:t>的旧习惯。传统造价管理常常以月度、季度或节点报表为主要载体，数据虽然最终能够汇总出来，但很多关键变化在形成过程中已经错过了最佳判断时点。数字化条件下，更有效的方式是按事件归集造价信息。设计变更发生时归集相关工程量和价格影响，签证形成时同步记录责任、原因和金额边界，材料价格变化时实时进入成本影响链，工程计量确认时及时更新完成量和对应产值。这样形成的归集逻辑，不再只是</w:t>
      </w:r>
      <w:r>
        <w:rPr>
          <w:rFonts w:hint="eastAsia" w:ascii="Times New Roman" w:hAnsi="Times New Roman" w:eastAsia="宋体" w:cs="Times New Roman"/>
          <w:sz w:val="21"/>
          <w:lang w:eastAsia="zh-CN"/>
        </w:rPr>
        <w:t>“</w:t>
      </w:r>
      <w:r>
        <w:rPr>
          <w:rFonts w:ascii="Times New Roman" w:hAnsi="Calibri" w:eastAsia="宋体" w:cs="Times New Roman"/>
          <w:sz w:val="21"/>
        </w:rPr>
        <w:t>到月底再看一遍</w:t>
      </w:r>
      <w:r>
        <w:rPr>
          <w:rFonts w:hint="eastAsia" w:ascii="Times New Roman" w:hAnsi="Times New Roman" w:eastAsia="宋体" w:cs="Times New Roman"/>
          <w:sz w:val="21"/>
          <w:lang w:eastAsia="zh-CN"/>
        </w:rPr>
        <w:t>”</w:t>
      </w:r>
      <w:r>
        <w:rPr>
          <w:rFonts w:ascii="Times New Roman" w:hAnsi="Calibri" w:eastAsia="宋体" w:cs="Times New Roman"/>
          <w:sz w:val="21"/>
        </w:rPr>
        <w:t>，而是让每一次可能影响投资的事件都留下连续记录。</w:t>
      </w:r>
    </w:p>
    <w:p w14:paraId="3024B443">
      <w:pPr>
        <w:pStyle w:val="11"/>
        <w:rPr>
          <w:rFonts w:ascii="Times New Roman" w:hAnsi="Calibri" w:eastAsia="宋体" w:cs="Times New Roman"/>
          <w:sz w:val="21"/>
        </w:rPr>
      </w:pPr>
      <w:r>
        <w:rPr>
          <w:rFonts w:ascii="Times New Roman" w:hAnsi="Calibri" w:eastAsia="宋体" w:cs="Times New Roman"/>
          <w:sz w:val="21"/>
        </w:rPr>
        <w:t>按事件归集的价值，在于更接近造价变化的真实形成路径。项目最终的成本偏差，往往不是某一天突然发生的，而是在设计调整、材料替换、工序反复、措施增加和签证累积中逐步形成的。若这些事件只在事后被汇总，很多关联关系就会被冲淡。动态归集能够把变化发生的时间点、触发原因和影响范围尽量保留下来，使项目部看到的不只是</w:t>
      </w:r>
      <w:r>
        <w:rPr>
          <w:rFonts w:hint="eastAsia" w:ascii="Times New Roman" w:hAnsi="Times New Roman" w:eastAsia="宋体" w:cs="Times New Roman"/>
          <w:sz w:val="21"/>
          <w:lang w:eastAsia="zh-CN"/>
        </w:rPr>
        <w:t>“</w:t>
      </w:r>
      <w:r>
        <w:rPr>
          <w:rFonts w:ascii="Times New Roman" w:hAnsi="Calibri" w:eastAsia="宋体" w:cs="Times New Roman"/>
          <w:sz w:val="21"/>
        </w:rPr>
        <w:t>多花了多少钱</w:t>
      </w:r>
      <w:r>
        <w:rPr>
          <w:rFonts w:hint="eastAsia" w:ascii="Times New Roman" w:hAnsi="Times New Roman" w:eastAsia="宋体" w:cs="Times New Roman"/>
          <w:sz w:val="21"/>
          <w:lang w:eastAsia="zh-CN"/>
        </w:rPr>
        <w:t>”</w:t>
      </w:r>
      <w:r>
        <w:rPr>
          <w:rFonts w:ascii="Times New Roman" w:hAnsi="Calibri" w:eastAsia="宋体" w:cs="Times New Roman"/>
          <w:sz w:val="21"/>
        </w:rPr>
        <w:t>，而是</w:t>
      </w:r>
      <w:r>
        <w:rPr>
          <w:rFonts w:hint="eastAsia" w:ascii="Times New Roman" w:hAnsi="Times New Roman" w:eastAsia="宋体" w:cs="Times New Roman"/>
          <w:sz w:val="21"/>
          <w:lang w:eastAsia="zh-CN"/>
        </w:rPr>
        <w:t>“</w:t>
      </w:r>
      <w:r>
        <w:rPr>
          <w:rFonts w:ascii="Times New Roman" w:hAnsi="Calibri" w:eastAsia="宋体" w:cs="Times New Roman"/>
          <w:sz w:val="21"/>
        </w:rPr>
        <w:t>钱为什么会在这个环节、这个阶段开始发生偏移</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2842101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多源造价数据联动校核</w:t>
      </w:r>
    </w:p>
    <w:p w14:paraId="50A206F7">
      <w:pPr>
        <w:pStyle w:val="11"/>
        <w:rPr>
          <w:rFonts w:ascii="Times New Roman" w:hAnsi="Calibri" w:eastAsia="宋体" w:cs="Times New Roman"/>
          <w:sz w:val="21"/>
        </w:rPr>
      </w:pPr>
      <w:r>
        <w:rPr>
          <w:rFonts w:ascii="Times New Roman" w:hAnsi="Calibri" w:eastAsia="宋体" w:cs="Times New Roman"/>
          <w:sz w:val="21"/>
        </w:rPr>
        <w:t>全过程造价信息并不来自单一来源，而是分散在设计文件、清单台账、计量记录、采购信息、现场签证、合同变更和支付审核等多个环节之中。动态归集若只依靠单一系统，很容易形成新的信息孤岛。因此，数字化基础建设必须强调多源联动。工程量数据要能与现场计量和进度状态对接，价格数据要与采购和合同约定保持一致，变更信息要与设计和签证链条互相印证，支付信息也应与完成事实形成基本对应。只有这样，造价信息才不会在进入系统后被割裂成多个彼此平行的事实版本。</w:t>
      </w:r>
    </w:p>
    <w:p w14:paraId="026C44A9">
      <w:pPr>
        <w:pStyle w:val="11"/>
        <w:rPr>
          <w:rFonts w:ascii="Times New Roman" w:hAnsi="Calibri" w:eastAsia="宋体" w:cs="Times New Roman"/>
          <w:sz w:val="21"/>
        </w:rPr>
      </w:pPr>
      <w:r>
        <w:rPr>
          <w:rFonts w:ascii="Times New Roman" w:hAnsi="Calibri" w:eastAsia="宋体" w:cs="Times New Roman"/>
          <w:sz w:val="21"/>
        </w:rPr>
        <w:t>联动校核的重点，不是把所有数据简单堆在一起，而是围绕关键对象建立可比关系。一个变更事项是否真实影响造价，不仅要看签证金额，还要看它是否对应具体工程量变化；一项材料价差是否合理，不仅要看市场价格波动，还要看采购时间和合同边界。校核一旦做到这一步，项目部对造价变化的判断就会明显更扎实。没有多源联动，动态归集只是电子化汇总；有了多源联动，动态归集才开始具备分析和预警能力。</w:t>
      </w:r>
    </w:p>
    <w:p w14:paraId="7F9DB38E">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动态归集服务投资判断</w:t>
      </w:r>
    </w:p>
    <w:p w14:paraId="67191469">
      <w:pPr>
        <w:pStyle w:val="11"/>
        <w:rPr>
          <w:rFonts w:ascii="Times New Roman" w:hAnsi="Calibri" w:eastAsia="宋体" w:cs="Times New Roman"/>
          <w:sz w:val="21"/>
        </w:rPr>
      </w:pPr>
      <w:r>
        <w:rPr>
          <w:rFonts w:ascii="Times New Roman" w:hAnsi="Calibri" w:eastAsia="宋体" w:cs="Times New Roman"/>
          <w:sz w:val="21"/>
        </w:rPr>
        <w:t>全过程造价信息之所以要持续归集，根本目的并不是让系统里多出一套更完整的台账，而是为了服务投资判断。项目部最需要的，从来不是事后知道全部数据，而是在过程运行中知道投资状态是否正在偏离控制目标、偏离到什么程度、偏离主要来自哪里。动态归集使这种判断成为可能。通过连续更新的工程量、价格、变更、计量和支付信息，项目能够更早发现异常波动，及时区分正常调整和风险积累，避免到了结算阶段才集中暴露问题。</w:t>
      </w:r>
    </w:p>
    <w:p w14:paraId="7112D0F3">
      <w:pPr>
        <w:pStyle w:val="11"/>
        <w:rPr>
          <w:rFonts w:ascii="Times New Roman" w:hAnsi="Calibri" w:eastAsia="宋体" w:cs="Times New Roman"/>
          <w:sz w:val="21"/>
        </w:rPr>
      </w:pPr>
      <w:r>
        <w:rPr>
          <w:rFonts w:ascii="Times New Roman" w:hAnsi="Calibri" w:eastAsia="宋体" w:cs="Times New Roman"/>
          <w:sz w:val="21"/>
        </w:rPr>
        <w:t>更进一步说，动态归集还会改变项目造价管理的工作节奏。过去造价人员更多像后端审核者，主要在计量、签证和结算节点集中发力；数字化条件下，造价管理开始更深地介入项目运行过程，成为投资判断和资源配置的重要支撑力量。这样形成的并不是单纯的</w:t>
      </w:r>
      <w:r>
        <w:rPr>
          <w:rFonts w:hint="eastAsia" w:ascii="Times New Roman" w:hAnsi="Times New Roman" w:eastAsia="宋体" w:cs="Times New Roman"/>
          <w:sz w:val="21"/>
          <w:lang w:eastAsia="zh-CN"/>
        </w:rPr>
        <w:t>“</w:t>
      </w:r>
      <w:r>
        <w:rPr>
          <w:rFonts w:ascii="Times New Roman" w:hAnsi="Calibri" w:eastAsia="宋体" w:cs="Times New Roman"/>
          <w:sz w:val="21"/>
        </w:rPr>
        <w:t>造价工作前移</w:t>
      </w:r>
      <w:r>
        <w:rPr>
          <w:rFonts w:hint="eastAsia" w:ascii="Times New Roman" w:hAnsi="Times New Roman" w:eastAsia="宋体" w:cs="Times New Roman"/>
          <w:sz w:val="21"/>
          <w:lang w:eastAsia="zh-CN"/>
        </w:rPr>
        <w:t>”</w:t>
      </w:r>
      <w:r>
        <w:rPr>
          <w:rFonts w:ascii="Times New Roman" w:hAnsi="Calibri" w:eastAsia="宋体" w:cs="Times New Roman"/>
          <w:sz w:val="21"/>
        </w:rPr>
        <w:t>，而是投资控制逻辑本身的变化：从结果核算走向过程干预，从静态对账走向动态识别。</w:t>
      </w:r>
    </w:p>
    <w:p w14:paraId="30514AC4">
      <w:pPr>
        <w:pStyle w:val="3"/>
        <w:numPr>
          <w:ilvl w:val="0"/>
          <w:numId w:val="0"/>
        </w:numPr>
        <w:ind w:left="0" w:leftChars="0" w:firstLine="0" w:firstLineChars="0"/>
        <w:rPr>
          <w:b/>
        </w:rPr>
      </w:pPr>
      <w:bookmarkStart w:id="28" w:name="_Toc26799"/>
      <w:r>
        <w:rPr>
          <w:rFonts w:hint="eastAsia" w:ascii="宋体" w:hAnsi="宋体" w:eastAsia="黑体" w:cs="宋体"/>
          <w:b/>
          <w:bCs/>
          <w:kern w:val="44"/>
          <w:sz w:val="30"/>
          <w:szCs w:val="30"/>
        </w:rPr>
        <w:t>第二节</w:t>
      </w:r>
      <w:r>
        <w:rPr>
          <w:rFonts w:hint="eastAsia" w:cs="宋体"/>
          <w:b/>
          <w:bCs/>
          <w:kern w:val="44"/>
          <w:sz w:val="30"/>
          <w:szCs w:val="30"/>
          <w:lang w:val="en-US" w:eastAsia="zh-CN"/>
        </w:rPr>
        <w:t xml:space="preserve"> </w:t>
      </w:r>
      <w:r>
        <w:t>概算预算与目标成本管理</w:t>
      </w:r>
      <w:bookmarkEnd w:id="28"/>
      <w:r>
        <w:t xml:space="preserve">   </w:t>
      </w:r>
    </w:p>
    <w:p w14:paraId="69CDCDE2">
      <w:pPr>
        <w:pStyle w:val="4"/>
        <w:numPr>
          <w:ilvl w:val="0"/>
          <w:numId w:val="0"/>
        </w:numPr>
        <w:topLinePunct w:val="0"/>
        <w:ind w:left="0" w:leftChars="0" w:firstLine="422" w:firstLineChars="0"/>
        <w:rPr>
          <w:b/>
        </w:rPr>
      </w:pPr>
      <w:r>
        <w:rPr>
          <w:rFonts w:hint="eastAsia" w:ascii="黑体" w:hAnsi="黑体" w:eastAsia="黑体" w:cs="黑体"/>
          <w:b/>
          <w:sz w:val="21"/>
        </w:rPr>
        <w:t>一、</w:t>
      </w:r>
      <w:r>
        <w:t>项目投资估算的数据支撑</w:t>
      </w:r>
    </w:p>
    <w:p w14:paraId="63D2A11A">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估算基础数据的来源组织</w:t>
      </w:r>
    </w:p>
    <w:p w14:paraId="47E23527">
      <w:pPr>
        <w:pStyle w:val="11"/>
        <w:rPr>
          <w:rFonts w:ascii="Times New Roman" w:hAnsi="Calibri" w:eastAsia="宋体" w:cs="Times New Roman"/>
          <w:sz w:val="21"/>
        </w:rPr>
      </w:pPr>
      <w:r>
        <w:rPr>
          <w:rFonts w:ascii="Times New Roman" w:hAnsi="Calibri" w:eastAsia="宋体" w:cs="Times New Roman"/>
          <w:sz w:val="21"/>
        </w:rPr>
        <w:t>项目投资估算常被看作方案阶段的粗略测算，似乎只要给出一个大体金额，后续预算、招标和施工控制自然会逐步细化。真正进入工程实践后便会发现，估算一旦失去可靠的数据支撑，后续所有控制都容易在偏差中起步。数字化条件下，投资估算不宜依赖少量经验指标和静态类比，而应建立在规模、功能标准、结构形式、机电复杂度、场地条件、工期安排、材料价格区间和区域市场水平等多源数据之上。数据来源越清楚，估算越能摆脱拍脑袋式判断，项目也越容易在策划阶段就看见投资压力究竟来自哪里。</w:t>
      </w:r>
    </w:p>
    <w:p w14:paraId="3DFA7283">
      <w:pPr>
        <w:pStyle w:val="11"/>
        <w:rPr>
          <w:rFonts w:ascii="Times New Roman" w:hAnsi="Calibri" w:eastAsia="宋体" w:cs="Times New Roman"/>
          <w:sz w:val="21"/>
        </w:rPr>
      </w:pPr>
      <w:r>
        <w:rPr>
          <w:rFonts w:ascii="Times New Roman" w:hAnsi="Calibri" w:eastAsia="宋体" w:cs="Times New Roman"/>
          <w:sz w:val="21"/>
        </w:rPr>
        <w:t>估算数据的组织方式，决定了早期判断是否具有稳定性。更稳妥的路径，是将规划指标、设计意图、类似项目成本数据、主要设备配置水平、建造周期和外部条件限制统一归集，形成覆盖面积指标、单方造价、关键系统造价和特殊措施费用的基础数据库。这样形成的估算，不只是一个总额数字，而是一组可拆解、可校核、可修正的数据结构。它为后续预算编制、目标成本设定和合同边界控制提供了共同起点。对政府投资项目或管理链条较长的项目而言，这种数据底座还有一层意义，即让不同参与方围绕同一组基础数据展开讨论，减少立项、设计、成本和实施之间各说一套口径的情况。早期数据一旦统一，后续即便发生调整，也更容易追到偏差究竟源自标准变化、数量变化，还是实施条件变化。这一步做实了，后续概算调整、预算修编和目标成本校正才不会各自起算。管理起点越统一，后续争议越少。</w:t>
      </w:r>
    </w:p>
    <w:p w14:paraId="040C6E7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同类项目数据的筛选校正</w:t>
      </w:r>
    </w:p>
    <w:p w14:paraId="6078A9D9">
      <w:pPr>
        <w:pStyle w:val="11"/>
        <w:rPr>
          <w:rFonts w:ascii="Times New Roman" w:hAnsi="Calibri" w:eastAsia="宋体" w:cs="Times New Roman"/>
          <w:sz w:val="21"/>
        </w:rPr>
      </w:pPr>
      <w:r>
        <w:rPr>
          <w:rFonts w:ascii="Times New Roman" w:hAnsi="Calibri" w:eastAsia="宋体" w:cs="Times New Roman"/>
          <w:sz w:val="21"/>
        </w:rPr>
        <w:t>同类项目数据是投资估算中最常用的支撑来源，但同类并不等于可以直接套用。建筑类型相近、规模相近，并不意味着造价水平天然可比。项目区位、建设时点、功能标准、设计深度和市场环境稍有变化，单方指标便可能明显偏移。数字化条件下，同类项目数据的价值不在于数量越多越好，而在于筛选和校正是否足够审慎。更合理的做法，是先区分住宅、公共建筑、产业配套、市政附属等不同类型，再识别结构体系、地下室比例、机电复杂程度和精装标准等关键差异项。</w:t>
      </w:r>
    </w:p>
    <w:p w14:paraId="71278FD8">
      <w:pPr>
        <w:pStyle w:val="11"/>
        <w:rPr>
          <w:rFonts w:ascii="Times New Roman" w:hAnsi="Calibri" w:eastAsia="宋体" w:cs="Times New Roman"/>
          <w:sz w:val="21"/>
        </w:rPr>
      </w:pPr>
      <w:r>
        <w:rPr>
          <w:rFonts w:hint="eastAsia" w:ascii="Times New Roman" w:hAnsi="Calibri" w:eastAsia="宋体" w:cs="Times New Roman"/>
          <w:sz w:val="21"/>
        </w:rPr>
        <w:t>更适合采用一种分层校正思路。第一层是时间校正，把历史项目价格水平转换到当前市场条件；第二层是空间校正，识别不同地区人工、材料、运输和管理成本差异；第三层是技术校正，把智能化系统、绿色建筑要求、装配化比例和特殊工艺等因素从一般项目中剥离出来单独判断。经过这样的处理，同类项目数据才真正具有参考意义。尤其在当前材料价格波动和设备标准差异较大的环境下，若不做校正，历史项目越多，反而越容易制造虚假的确定性。数字化数据库的真正价值，不是证明过去花了多少钱，而是帮助当前项目判断哪些部分可以沿用经验，哪些部分必须重新估算。</w:t>
      </w:r>
    </w:p>
    <w:p w14:paraId="3D63FEF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早期估算与决策边界联动</w:t>
      </w:r>
    </w:p>
    <w:p w14:paraId="38C7AE43">
      <w:pPr>
        <w:pStyle w:val="11"/>
        <w:rPr>
          <w:rFonts w:ascii="Times New Roman" w:hAnsi="Calibri" w:eastAsia="宋体" w:cs="Times New Roman"/>
          <w:sz w:val="21"/>
        </w:rPr>
      </w:pPr>
      <w:r>
        <w:rPr>
          <w:rFonts w:ascii="Times New Roman" w:hAnsi="Calibri" w:eastAsia="宋体" w:cs="Times New Roman"/>
          <w:sz w:val="21"/>
        </w:rPr>
        <w:t>投资估算的管理价值，最终取决于它能否进入项目决策边界。现实中有一种常见情形，估算文件做得并不粗糙，但在项目推进中只是作为立项和审批的手续材料存在，真正涉及设计调整、功能增加和标准提升时，估算并未发挥约束作用。数字化条件下，更合理的做法是把估算结果拆解成若干关键控制边界，如单方造价区间、地下工程控制值、机电系统上限、外立面及精装标准对应的成本等级，使后续任何重大调整都能迅速看见其对投资边界的影响。</w:t>
      </w:r>
    </w:p>
    <w:p w14:paraId="78A376FC">
      <w:pPr>
        <w:pStyle w:val="11"/>
        <w:rPr>
          <w:rFonts w:ascii="Times New Roman" w:hAnsi="Calibri" w:eastAsia="宋体" w:cs="Times New Roman"/>
          <w:sz w:val="21"/>
        </w:rPr>
      </w:pPr>
      <w:r>
        <w:rPr>
          <w:rFonts w:ascii="Times New Roman" w:hAnsi="Calibri" w:eastAsia="宋体" w:cs="Times New Roman"/>
          <w:sz w:val="21"/>
        </w:rPr>
        <w:t>这种联动有助于改变过去大数管小事的粗线条控制方式。项目在前期最怕的不是某一次单独调整，而是多次小调整长期分散发生，直到施工图预算编制或招标控制价形成时才集中显现。若估算数据能够与设计节点、方案审查和重大材料设备选型保持同步更新，投资控制就会明显前移。管理者看到的不再只是一个总金额是否超限，而是哪些决策正在持续推高投资，哪些变化仍处于可接受范围。</w:t>
      </w:r>
    </w:p>
    <w:p w14:paraId="2A76B7F2">
      <w:pPr>
        <w:pStyle w:val="4"/>
        <w:numPr>
          <w:ilvl w:val="0"/>
          <w:numId w:val="0"/>
        </w:numPr>
        <w:topLinePunct w:val="0"/>
        <w:ind w:left="0" w:leftChars="0" w:firstLine="422" w:firstLineChars="0"/>
        <w:rPr>
          <w:b/>
        </w:rPr>
      </w:pPr>
      <w:r>
        <w:rPr>
          <w:rFonts w:hint="eastAsia" w:ascii="黑体" w:hAnsi="黑体" w:eastAsia="黑体" w:cs="黑体"/>
          <w:b/>
          <w:sz w:val="21"/>
        </w:rPr>
        <w:t>二、</w:t>
      </w:r>
      <w:r>
        <w:t>施工图预算的数字化编制</w:t>
      </w:r>
    </w:p>
    <w:p w14:paraId="0BAE9D6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图纸信息的结构化提取</w:t>
      </w:r>
    </w:p>
    <w:p w14:paraId="2D1C8E4A">
      <w:pPr>
        <w:pStyle w:val="11"/>
        <w:rPr>
          <w:rFonts w:ascii="Times New Roman" w:hAnsi="Calibri" w:eastAsia="宋体" w:cs="Times New Roman"/>
          <w:sz w:val="21"/>
        </w:rPr>
      </w:pPr>
      <w:r>
        <w:rPr>
          <w:rFonts w:ascii="Times New Roman" w:hAnsi="Calibri" w:eastAsia="宋体" w:cs="Times New Roman"/>
          <w:sz w:val="21"/>
        </w:rPr>
        <w:t>施工图预算处于投资控制由策划进入实施的关键环节。过去预算编制较多依赖人工识图、手工算量和局部经验补充，面对结构复杂、专业交叉较多的项目，这种方式不仅耗时，也容易在重复计量、漏项和口径不一中埋下偏差。数字化编制首先要解决的，就是把图纸信息从平面化表达转化为可计算、可比对、可复核的结构化信息。建筑、结构、给排水、电气、暖通、消防、智能化等专业图纸，应围绕构件、系统、部位和工程量对象形成统一识别关系，使预算编制不再仅依赖个人理解。</w:t>
      </w:r>
    </w:p>
    <w:p w14:paraId="4CBAC3D6">
      <w:pPr>
        <w:pStyle w:val="11"/>
        <w:rPr>
          <w:rFonts w:ascii="Times New Roman" w:hAnsi="Calibri" w:eastAsia="宋体" w:cs="Times New Roman"/>
          <w:sz w:val="21"/>
        </w:rPr>
      </w:pPr>
      <w:r>
        <w:rPr>
          <w:rFonts w:ascii="Times New Roman" w:hAnsi="Calibri" w:eastAsia="宋体" w:cs="Times New Roman"/>
          <w:sz w:val="21"/>
        </w:rPr>
        <w:t>图纸信息结构化并不意味着完全依靠软件自动得出预算结果。真正关键的是让图纸中的构件属性、尺寸关系、材料做法和系统边界能够被稳定提取，并与清单项目建立对应。预算团队不能把数字化等同于机械算量，而应在编制过程中同步识别图纸缺项、专业冲突和做法不清的问题，把预算编制反过来作为检验图纸完整性的一个窗口。预算做得越细，越能暴露设计表达中的模糊地带。很多后来演化为签证争议的事项，往往在预算编制阶段已经露出端倪，只是当时没有被及时提炼出来。把预算编制与设计澄清、专业会审结合起来，能够明显降低后续合同执行中的解释成本。</w:t>
      </w:r>
    </w:p>
    <w:p w14:paraId="6141E2B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工程量与清单口径匹配</w:t>
      </w:r>
    </w:p>
    <w:p w14:paraId="720DB971">
      <w:pPr>
        <w:pStyle w:val="11"/>
        <w:rPr>
          <w:rFonts w:ascii="Times New Roman" w:hAnsi="Calibri" w:eastAsia="宋体" w:cs="Times New Roman"/>
          <w:sz w:val="21"/>
        </w:rPr>
      </w:pPr>
      <w:r>
        <w:rPr>
          <w:rFonts w:ascii="Times New Roman" w:hAnsi="Calibri" w:eastAsia="宋体" w:cs="Times New Roman"/>
          <w:sz w:val="21"/>
        </w:rPr>
        <w:t>施工图预算能否真正成为后续成本管理的可靠基础，核心不在工程量算得多快，而在工程量口径能否与清单口径稳定匹配。图纸算量按构件逻辑展开，清单计价按项目特征和计量规则展开，二者天然存在表达差异。若匹配关系没有事先建立清楚，预算成果即使在技术上完整，也难以顺畅进入招标控制、合同边界和后续结算管理。数字化编制的重要价值，正是通过对象编码、构件映射和规则约束，把图纸工程量逐步转化为清单工程量，使预算成果在交易与管理两个层面都能被使用。</w:t>
      </w:r>
    </w:p>
    <w:p w14:paraId="1B2488E0">
      <w:pPr>
        <w:pStyle w:val="11"/>
        <w:rPr>
          <w:rFonts w:ascii="Times New Roman" w:hAnsi="Calibri" w:eastAsia="宋体" w:cs="Times New Roman"/>
          <w:sz w:val="21"/>
        </w:rPr>
      </w:pPr>
      <w:r>
        <w:rPr>
          <w:rFonts w:ascii="Times New Roman" w:hAnsi="Calibri" w:eastAsia="宋体" w:cs="Times New Roman"/>
          <w:sz w:val="21"/>
        </w:rPr>
        <w:t>工程量与清单匹配时，最需要防止两类问题。一类是重复归属，即同一做法被分拆后在多个清单项目中反复计取；另一类是空白归属，即图纸中已经存在的内容，因为特征描述不明确或口径不统一而没有进入预算。数字化方法的优势在于，它可以通过规则校核快速发现构件与清单之间的对应异常，提示预算人员回到图纸和计量规则重新核对。</w:t>
      </w:r>
    </w:p>
    <w:p w14:paraId="60BDC19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预算成果的动态校核</w:t>
      </w:r>
    </w:p>
    <w:p w14:paraId="22C138C0">
      <w:pPr>
        <w:pStyle w:val="11"/>
        <w:rPr>
          <w:rFonts w:ascii="Times New Roman" w:hAnsi="Calibri" w:eastAsia="宋体" w:cs="Times New Roman"/>
          <w:sz w:val="21"/>
        </w:rPr>
      </w:pPr>
      <w:r>
        <w:rPr>
          <w:rFonts w:ascii="Times New Roman" w:hAnsi="Calibri" w:eastAsia="宋体" w:cs="Times New Roman"/>
          <w:sz w:val="21"/>
        </w:rPr>
        <w:t>施工图预算形成之后，并不意味着成本基础已经完全确定。设计深化、材料设备选型变化、专业协调调整和现场实施条件修正，都可能使预算成果在进入招标或施工前出现新的偏差。数字化管理不应把预算看作一次性成果，而更适合把它视为动态校核的中间成果。预算一经形成，就应与设计变更、清单调整、主要材料价格变化和技术条件完善保持联动，随项目推进进行必要修正。</w:t>
      </w:r>
    </w:p>
    <w:p w14:paraId="57C3775F">
      <w:pPr>
        <w:pStyle w:val="11"/>
        <w:rPr>
          <w:rFonts w:ascii="Times New Roman" w:hAnsi="Calibri" w:eastAsia="宋体" w:cs="Times New Roman"/>
          <w:sz w:val="21"/>
        </w:rPr>
      </w:pPr>
      <w:r>
        <w:rPr>
          <w:rFonts w:ascii="Times New Roman" w:hAnsi="Calibri" w:eastAsia="宋体" w:cs="Times New Roman"/>
          <w:sz w:val="21"/>
        </w:rPr>
        <w:t>动态校核的重点不在频繁重算，而在识别对投资影响最大的敏感部位。地下工程、机电系统、幕墙及装饰、专业设备、措施费用和暂估价项目，往往是最容易在后续产生明显偏差的区域。预算编制完成后，应围绕这些部分建立重点复核机制，一旦图纸或市场条件发生变化，就能迅速判断对目标成本和招标控制价的影响。这样形成的预算成果，既能服务交易边界确定，也能为施工阶段的成本偏差识别提供较早参照。</w:t>
      </w:r>
    </w:p>
    <w:p w14:paraId="089873E7">
      <w:pPr>
        <w:pStyle w:val="4"/>
        <w:numPr>
          <w:ilvl w:val="0"/>
          <w:numId w:val="0"/>
        </w:numPr>
        <w:topLinePunct w:val="0"/>
        <w:ind w:left="0" w:leftChars="0" w:firstLine="422" w:firstLineChars="0"/>
        <w:rPr>
          <w:b/>
        </w:rPr>
      </w:pPr>
      <w:r>
        <w:rPr>
          <w:rFonts w:hint="eastAsia" w:ascii="黑体" w:hAnsi="黑体" w:eastAsia="黑体" w:cs="黑体"/>
          <w:b/>
          <w:sz w:val="21"/>
        </w:rPr>
        <w:t>三、</w:t>
      </w:r>
      <w:r>
        <w:t>目标成本的分解与责任落实</w:t>
      </w:r>
    </w:p>
    <w:p w14:paraId="2492E9A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目标成本形成的逻辑重构</w:t>
      </w:r>
    </w:p>
    <w:p w14:paraId="278BA7C3">
      <w:pPr>
        <w:pStyle w:val="11"/>
        <w:rPr>
          <w:rFonts w:ascii="Times New Roman" w:hAnsi="Calibri" w:eastAsia="宋体" w:cs="Times New Roman"/>
          <w:sz w:val="21"/>
        </w:rPr>
      </w:pPr>
      <w:r>
        <w:rPr>
          <w:rFonts w:ascii="Times New Roman" w:hAnsi="Calibri" w:eastAsia="宋体" w:cs="Times New Roman"/>
          <w:sz w:val="21"/>
        </w:rPr>
        <w:t>目标成本并不是预算数字简单下浮后的结果，也不是企业按经验给项目部压下去的一条考核线。真正有效的目标成本，应建立在概算、施工图预算、合同边界、施工组织方式和项目风险识别共同作用的基础上。它既要尊重预算所揭示的成本事实，又要体现企业对采购策略、工法优化、资源配置和过程管理的改善预期。数字化条件下，目标成本形成更适合采用预算为基、风险修正、管理校正、责任落位的组合逻辑，而不是单一追求压低数值。</w:t>
      </w:r>
    </w:p>
    <w:p w14:paraId="5AD035FC">
      <w:pPr>
        <w:pStyle w:val="11"/>
        <w:rPr>
          <w:rFonts w:ascii="Times New Roman" w:hAnsi="Calibri" w:eastAsia="宋体" w:cs="Times New Roman"/>
          <w:sz w:val="21"/>
        </w:rPr>
      </w:pPr>
      <w:r>
        <w:rPr>
          <w:rFonts w:ascii="Times New Roman" w:hAnsi="Calibri" w:eastAsia="宋体" w:cs="Times New Roman"/>
          <w:sz w:val="21"/>
        </w:rPr>
        <w:t>这种逻辑之所以重要，是因为目标成本一旦设得过虚，项目部会把它看成脱离实际的考核数字；设得过松，则失去约束力。数字化基础能够支持这种形成逻辑，因为它让预算构成、价格来源、工程量边界、风险项和历史执行水平都更容易被摆到同一张分析表上。目标成本由此不再只是财务口径的管理指标，而开始成为项目实施路径的一部分。</w:t>
      </w:r>
    </w:p>
    <w:p w14:paraId="654113D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责任单元的分层分解</w:t>
      </w:r>
    </w:p>
    <w:p w14:paraId="21FA23A7">
      <w:pPr>
        <w:pStyle w:val="11"/>
        <w:rPr>
          <w:rFonts w:ascii="Times New Roman" w:hAnsi="Calibri" w:eastAsia="宋体" w:cs="Times New Roman"/>
          <w:sz w:val="21"/>
        </w:rPr>
      </w:pPr>
      <w:r>
        <w:rPr>
          <w:rFonts w:ascii="Times New Roman" w:hAnsi="Calibri" w:eastAsia="宋体" w:cs="Times New Roman"/>
          <w:sz w:val="21"/>
        </w:rPr>
        <w:t>目标成本若想落地，必须继续拆解到责任单元。项目总成本控制线再清楚，若无法分解到土建、安装、装饰、市政配套、材料采购、机械资源和措施管理等具体单元，执行层仍然只能在总额层面被动承压。数字化管理更适合把目标成本分为三个层次：项目总目标用于把握整体边界，专业目标用于控制主要成本板块，责任目标则进一步落到岗位、班组协同单元和关键业务环节。这样一来，不同层级的管理者都能清楚知道自己真正需要控制的对象。</w:t>
      </w:r>
    </w:p>
    <w:p w14:paraId="4342DA32">
      <w:pPr>
        <w:pStyle w:val="11"/>
        <w:rPr>
          <w:rFonts w:ascii="Times New Roman" w:hAnsi="Calibri" w:eastAsia="宋体" w:cs="Times New Roman"/>
          <w:sz w:val="21"/>
        </w:rPr>
      </w:pPr>
      <w:r>
        <w:rPr>
          <w:rFonts w:ascii="Times New Roman" w:hAnsi="Calibri" w:eastAsia="宋体" w:cs="Times New Roman"/>
          <w:sz w:val="21"/>
        </w:rPr>
        <w:t>责任分解时尤其要避免两种倾向。一种是分解过粗，所有压力最终仍集中在项目经理和成本负责人身上；另一种是分解过碎，指标细到难以执行，反而造成大量形式化填报。更合理的做法，是围绕最能形成成本差异的环节进行责任拆分，例如材料损耗控制、签证边界控制、机械使用效率、劳务组织匹配和分包结算节奏等。责任落实还需要跨部门协同。设计、采购、现场生产、商务成本和财务支付若彼此割裂，很多偏差都会在传递中被弱化。目标成本真正有效的时候，往往不是某一部门压得紧，而是几个关键部门在同一成本坐标中协同行动。</w:t>
      </w:r>
    </w:p>
    <w:p w14:paraId="514BC21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责任落实与过程考核</w:t>
      </w:r>
    </w:p>
    <w:p w14:paraId="4D1FE3C1">
      <w:pPr>
        <w:pStyle w:val="11"/>
        <w:rPr>
          <w:rFonts w:ascii="Times New Roman" w:hAnsi="Calibri" w:eastAsia="宋体" w:cs="Times New Roman"/>
          <w:sz w:val="21"/>
        </w:rPr>
      </w:pPr>
      <w:r>
        <w:rPr>
          <w:rFonts w:ascii="Times New Roman" w:hAnsi="Calibri" w:eastAsia="宋体" w:cs="Times New Roman"/>
          <w:sz w:val="21"/>
        </w:rPr>
        <w:t>责任分解完成之后，真正决定成效的，是这些责任能否在项目运行中被持续看见。传统成本管理常常在月底或阶段结算时才进行考核，问题已经发生，很多环节也无法回头调整。数字化条件下，目标成本责任更适合嵌入过程管理，通过工程量完成情况、材料领用损耗、变更签证发生频率、主要资源投入偏差和分包产值确认节奏等数据，持续识别责任单元是否偏离控制要求。这样形成的考核，不再只是结果评判，而成为过程提醒。</w:t>
      </w:r>
    </w:p>
    <w:p w14:paraId="4355ABEC">
      <w:pPr>
        <w:pStyle w:val="11"/>
        <w:rPr>
          <w:rFonts w:ascii="Times New Roman" w:hAnsi="Calibri" w:eastAsia="宋体" w:cs="Times New Roman"/>
          <w:sz w:val="21"/>
        </w:rPr>
      </w:pPr>
      <w:r>
        <w:rPr>
          <w:rFonts w:ascii="Times New Roman" w:hAnsi="Calibri" w:eastAsia="宋体" w:cs="Times New Roman"/>
          <w:sz w:val="21"/>
        </w:rPr>
        <w:t>数字化系统的价值，正在于把偏差发生的时间、部位、对象和责任链尽量还原出来，使考核建立在更接近事实的基础上。项目团队也会逐步意识到，目标成本并不是年终结算时的一项追责工具，而是日常运行中随时都在发生作用的管理边界。一个成熟的项目，往往能够在季度中段甚至月度执行过程中，就看见某类成本是否已经偏离既定轨道，而不是等到总包结算或分包对账时才被动确认。</w:t>
      </w:r>
    </w:p>
    <w:p w14:paraId="5E89C221">
      <w:pPr>
        <w:pStyle w:val="4"/>
        <w:numPr>
          <w:ilvl w:val="0"/>
          <w:numId w:val="0"/>
        </w:numPr>
        <w:topLinePunct w:val="0"/>
        <w:ind w:left="0" w:leftChars="0" w:firstLine="422" w:firstLineChars="0"/>
        <w:rPr>
          <w:b/>
        </w:rPr>
      </w:pPr>
      <w:r>
        <w:rPr>
          <w:rFonts w:hint="eastAsia" w:ascii="黑体" w:hAnsi="黑体" w:eastAsia="黑体" w:cs="黑体"/>
          <w:b/>
          <w:sz w:val="21"/>
        </w:rPr>
        <w:t>四、</w:t>
      </w:r>
      <w:r>
        <w:t>成本控制节点的预警设置</w:t>
      </w:r>
    </w:p>
    <w:p w14:paraId="38A34EB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预警节点的阶段布局</w:t>
      </w:r>
    </w:p>
    <w:p w14:paraId="63865B51">
      <w:pPr>
        <w:pStyle w:val="11"/>
        <w:rPr>
          <w:rFonts w:ascii="Times New Roman" w:hAnsi="Calibri" w:eastAsia="宋体" w:cs="Times New Roman"/>
          <w:sz w:val="21"/>
        </w:rPr>
      </w:pPr>
      <w:r>
        <w:rPr>
          <w:rFonts w:ascii="Times New Roman" w:hAnsi="Calibri" w:eastAsia="宋体" w:cs="Times New Roman"/>
          <w:sz w:val="21"/>
        </w:rPr>
        <w:t>成本控制若只在月度分析会或结算审核时发现问题，项目往往已经失去最佳修正时机。数字化管理更强调在关键节点上设置预警，使成本偏差在形成早期就被看见。预警节点并不需要平均分布于所有环节，而应围绕最容易引起成本失衡的阶段进行布局。方案稳定节点、施工图出图节点、招标控制价形成节点、主要材料设备采购节点、主体结构转换节点、装饰安装大面积展开节点以及竣工结算准备节点，往往都是成本变化最敏感的时段。</w:t>
      </w:r>
    </w:p>
    <w:p w14:paraId="21F89223">
      <w:pPr>
        <w:pStyle w:val="11"/>
        <w:rPr>
          <w:rFonts w:ascii="Times New Roman" w:hAnsi="Calibri" w:eastAsia="宋体" w:cs="Times New Roman"/>
          <w:sz w:val="21"/>
        </w:rPr>
      </w:pPr>
      <w:r>
        <w:rPr>
          <w:rFonts w:hint="eastAsia" w:ascii="Times New Roman" w:hAnsi="Calibri" w:eastAsia="宋体" w:cs="Times New Roman"/>
          <w:sz w:val="21"/>
        </w:rPr>
        <w:t>更值得强调的是</w:t>
      </w:r>
      <w:r>
        <w:rPr>
          <w:rFonts w:ascii="Times New Roman" w:hAnsi="Calibri" w:eastAsia="宋体" w:cs="Times New Roman"/>
          <w:sz w:val="21"/>
        </w:rPr>
        <w:t>一种少而准的预警布局方式。节点太多，管理注意力会被频繁打散；节点太少，又难以及时捕捉偏差。真正值得设预警的，应当是那些一旦失控就会迅速传导至后续阶段的关键点。通过阶段布局，成本控制就从结果性分析走向节点性管理。节点设置还应兼顾合同和资金节奏。某些成本风险表面上发生在施工现场，实际会通过产值确认、分包付款和材料采购付款迅速传导到现金流压力上。若预警节点只盯工程实体而不看合同支付链，项目就可能在成本尚未完全失控前，先在资金组织上出现紧张。</w:t>
      </w:r>
    </w:p>
    <w:p w14:paraId="4022E73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偏差阈值与触发规则</w:t>
      </w:r>
    </w:p>
    <w:p w14:paraId="2A34843D">
      <w:pPr>
        <w:pStyle w:val="11"/>
        <w:rPr>
          <w:rFonts w:ascii="Times New Roman" w:hAnsi="Calibri" w:eastAsia="宋体" w:cs="Times New Roman"/>
          <w:sz w:val="21"/>
        </w:rPr>
      </w:pPr>
      <w:r>
        <w:rPr>
          <w:rFonts w:ascii="Times New Roman" w:hAnsi="Calibri" w:eastAsia="宋体" w:cs="Times New Roman"/>
          <w:sz w:val="21"/>
        </w:rPr>
        <w:t>预警设置能否发挥作用，关键在于阈值和触发规则是否合理。阈值过宽，很多偏差会在积累到相当程度后才被发现；阈值过窄，又会造成大量无效提醒，使项目团队逐渐失去敏感性。更合理的做法，是根据成本构成的不同性质设置差异化阈值。可控性较强的费用，如材料损耗、机械使用效率和分包计量节奏，阈值应相对严格；受外部条件影响较大的内容，如市场价格波动和政策性调整，则应保留适度弹性。这样形成的规则，更接近项目实际运行逻辑。</w:t>
      </w:r>
    </w:p>
    <w:p w14:paraId="73DBDD01">
      <w:pPr>
        <w:pStyle w:val="11"/>
        <w:rPr>
          <w:rFonts w:ascii="Times New Roman" w:hAnsi="Calibri" w:eastAsia="宋体" w:cs="Times New Roman"/>
          <w:sz w:val="21"/>
        </w:rPr>
      </w:pPr>
      <w:r>
        <w:rPr>
          <w:rFonts w:ascii="Times New Roman" w:hAnsi="Calibri" w:eastAsia="宋体" w:cs="Times New Roman"/>
          <w:sz w:val="21"/>
        </w:rPr>
        <w:t>触发规则也不应只围绕单一数字超限展开。很多成本风险并非一次大幅偏离造成，而是若干小幅异常持续叠加的结果。数字化预警应尽量识别这种趋势性偏差，而不是只盯住单次波动。真正有价值的预警，不是告诉管理者事情已经坏到什么程度，而是提醒其风险正在朝哪个方向积累。对预算执行较紧的项目，还可以把主要材料价格、设计变更频次和现场签证集中度设为联动信号，只要其中两项以上同时异常，就提前启动复核。</w:t>
      </w:r>
    </w:p>
    <w:p w14:paraId="3184D1C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预警结果的处置闭环</w:t>
      </w:r>
    </w:p>
    <w:p w14:paraId="2D8282A5">
      <w:pPr>
        <w:pStyle w:val="11"/>
        <w:rPr>
          <w:rFonts w:ascii="Times New Roman" w:hAnsi="Calibri" w:eastAsia="宋体" w:cs="Times New Roman"/>
          <w:sz w:val="21"/>
        </w:rPr>
      </w:pPr>
      <w:r>
        <w:rPr>
          <w:rFonts w:ascii="Times New Roman" w:hAnsi="Calibri" w:eastAsia="宋体" w:cs="Times New Roman"/>
          <w:sz w:val="21"/>
        </w:rPr>
        <w:t>成本预警若只是停留在系统界面上，管理价值十分有限。项目真正需要的，是让预警结果进入明确的处置闭环。谁接收预警，谁负责初步核实，谁组织分析原因，谁决定是否调整采购、优化方案、控制签证或修正预算边界，都应形成清晰路径。过去成本管理中的一个常见问题，是偏差出现后各方都知道有风险，却迟迟没人真正把它转化为管理动作。数字化闭环的意义，就在于把预警从提醒事项变成处置事项。</w:t>
      </w:r>
    </w:p>
    <w:p w14:paraId="49236808">
      <w:pPr>
        <w:pStyle w:val="11"/>
        <w:rPr>
          <w:rFonts w:ascii="Times New Roman" w:hAnsi="Calibri" w:eastAsia="宋体" w:cs="Times New Roman"/>
          <w:sz w:val="21"/>
        </w:rPr>
      </w:pPr>
      <w:r>
        <w:rPr>
          <w:rFonts w:ascii="Times New Roman" w:hAnsi="Calibri" w:eastAsia="宋体" w:cs="Times New Roman"/>
          <w:sz w:val="21"/>
        </w:rPr>
        <w:t>更进一步说，处置闭环还应包括复核和沉淀。预警触发后采取的措施是否有效，偏差是否已经回到可控范围，原有阈值设置是否合理，都需要在后续节点上继续观察。若某类预警反复出现，就说明问题可能并不在执行层，而在预算基线、目标成本设定或责任边界本身。这样一来，预警系统不仅服务当期控制，也会反过来促进成本管理机制不断修正，推动项目把一次次偏差处理沉淀为更稳定的成本治理规则。</w:t>
      </w:r>
    </w:p>
    <w:p w14:paraId="5347EE4A">
      <w:pPr>
        <w:pStyle w:val="3"/>
        <w:numPr>
          <w:ilvl w:val="0"/>
          <w:numId w:val="0"/>
        </w:numPr>
        <w:ind w:left="0" w:leftChars="0" w:firstLine="0" w:firstLineChars="0"/>
        <w:rPr>
          <w:b/>
        </w:rPr>
      </w:pPr>
      <w:bookmarkStart w:id="29" w:name="_Toc17809"/>
      <w:r>
        <w:rPr>
          <w:rFonts w:hint="eastAsia" w:ascii="宋体" w:hAnsi="宋体" w:eastAsia="黑体" w:cs="宋体"/>
          <w:b/>
          <w:bCs/>
          <w:kern w:val="44"/>
          <w:sz w:val="30"/>
          <w:szCs w:val="30"/>
        </w:rPr>
        <w:t>第三节</w:t>
      </w:r>
      <w:r>
        <w:rPr>
          <w:rFonts w:hint="eastAsia" w:cs="宋体"/>
          <w:b/>
          <w:bCs/>
          <w:kern w:val="44"/>
          <w:sz w:val="30"/>
          <w:szCs w:val="30"/>
          <w:lang w:val="en-US" w:eastAsia="zh-CN"/>
        </w:rPr>
        <w:t xml:space="preserve"> </w:t>
      </w:r>
      <w:r>
        <w:t>施工阶段造价动态控制</w:t>
      </w:r>
      <w:bookmarkEnd w:id="29"/>
      <w:r>
        <w:t xml:space="preserve">   </w:t>
      </w:r>
    </w:p>
    <w:p w14:paraId="3A733A2F">
      <w:pPr>
        <w:pStyle w:val="4"/>
        <w:numPr>
          <w:ilvl w:val="0"/>
          <w:numId w:val="0"/>
        </w:numPr>
        <w:topLinePunct w:val="0"/>
        <w:ind w:left="0" w:leftChars="0" w:firstLine="422" w:firstLineChars="0"/>
        <w:rPr>
          <w:b/>
        </w:rPr>
      </w:pPr>
      <w:r>
        <w:rPr>
          <w:rFonts w:hint="eastAsia" w:ascii="黑体" w:hAnsi="黑体" w:eastAsia="黑体" w:cs="黑体"/>
          <w:b/>
          <w:sz w:val="21"/>
        </w:rPr>
        <w:t>一、</w:t>
      </w:r>
      <w:r>
        <w:t>设计变更对造价的影响识别</w:t>
      </w:r>
    </w:p>
    <w:p w14:paraId="00760BF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变更类型分类分析</w:t>
      </w:r>
    </w:p>
    <w:p w14:paraId="022703E1">
      <w:pPr>
        <w:pStyle w:val="11"/>
        <w:rPr>
          <w:rFonts w:ascii="Times New Roman" w:hAnsi="Calibri" w:eastAsia="宋体" w:cs="Times New Roman"/>
          <w:sz w:val="21"/>
        </w:rPr>
      </w:pPr>
      <w:r>
        <w:rPr>
          <w:rFonts w:ascii="Times New Roman" w:hAnsi="Calibri" w:eastAsia="宋体" w:cs="Times New Roman"/>
          <w:sz w:val="21"/>
        </w:rPr>
        <w:t>施工阶段的造价波动，很少是凭空出现的，真正最先撬动成本边界的，往往是设计变更。许多项目到了中后期才感受到投资压力，并不是因为施工阶段突然失控，而是因为前期零散发生的设计调整在工程量、工序组织和材料选型上持续叠加，最后集中反映到计量支付和合同结算中。也正因此，设计变更不能只被看作设计问题，它本质上是施工阶段造价动态控制的第一信号。变更一旦进入实施层，影响的通常不只是某个构件或某道工序，而会沿着采购、安装、拆改、工期和措施费等路径向外扩散。</w:t>
      </w:r>
    </w:p>
    <w:p w14:paraId="23320EF3">
      <w:pPr>
        <w:pStyle w:val="11"/>
        <w:rPr>
          <w:rFonts w:ascii="Times New Roman" w:hAnsi="Calibri" w:eastAsia="宋体" w:cs="Times New Roman"/>
          <w:sz w:val="21"/>
        </w:rPr>
      </w:pPr>
      <w:r>
        <w:rPr>
          <w:rFonts w:ascii="Times New Roman" w:hAnsi="Calibri" w:eastAsia="宋体" w:cs="Times New Roman"/>
          <w:sz w:val="21"/>
        </w:rPr>
        <w:t>从控制逻辑看，施工阶段的设计变更大致可以分为四类。一类属于功能完善型变更，通常由使用需求细化、运营标准提升或配套条件补充引起，这类变更往往带来系统性增量，对造价影响持续而隐蔽。另一类属于技术修正型变更，多由图纸错漏碰缺、专业冲突、构造不合理引发，若识别不及时，容易演变为返工和窝工。还有一类属于条件响应型变更，常见于地质条件偏差、现场障碍暴露、周边环境限制等情形，其造价影响不仅取决于设计调整本身，还取决于项目部能否迅速组织替代方案。最后一类则是标准替代型变更，看似只是材料、设备或做法调整，实则最容易在单价和综合成本层面造成高频波动。这种分类的意义，并不是为了给变更贴标签，而是为了让项目团队更早判断不同变更会通过哪条路径进入造价链条。</w:t>
      </w:r>
    </w:p>
    <w:p w14:paraId="012F5BE7">
      <w:pPr>
        <w:pStyle w:val="11"/>
        <w:rPr>
          <w:rFonts w:ascii="Times New Roman" w:hAnsi="Calibri" w:eastAsia="宋体" w:cs="Times New Roman"/>
          <w:sz w:val="21"/>
        </w:rPr>
      </w:pPr>
      <w:r>
        <w:rPr>
          <w:rFonts w:hint="eastAsia" w:ascii="Times New Roman" w:hAnsi="Calibri" w:eastAsia="宋体" w:cs="Times New Roman"/>
          <w:sz w:val="21"/>
        </w:rPr>
        <w:t>从公共项目造价跟踪实践看，一个项目是否容易被设计变更拖入被动，关键不在变更次数多少，而在于管理层能否区分什么是必要修正，什么是迟到修正，什么又属于可优化而未优化的调整。</w:t>
      </w:r>
      <w:r>
        <w:rPr>
          <w:rFonts w:ascii="Times New Roman" w:hAnsi="Calibri" w:eastAsia="宋体" w:cs="Times New Roman"/>
          <w:sz w:val="21"/>
        </w:rPr>
        <w:t>若所有变更都等到签证形成后再讨论价款，项目部看到的就只剩金额增减，已经很难回到变更性质本身判断其合理性。造价动态控制真正需要前置的，正是这种类型识别能力。先看清变更属于哪一类，再判断它会对工程量、工期和措施资源造成什么影响，后续的计价和审批才会更稳。</w:t>
      </w:r>
    </w:p>
    <w:p w14:paraId="367FF6DE">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变更信息传递路径</w:t>
      </w:r>
    </w:p>
    <w:p w14:paraId="7F9D5040">
      <w:pPr>
        <w:pStyle w:val="11"/>
        <w:rPr>
          <w:rFonts w:ascii="Times New Roman" w:hAnsi="Calibri" w:eastAsia="宋体" w:cs="Times New Roman"/>
          <w:sz w:val="21"/>
        </w:rPr>
      </w:pPr>
      <w:r>
        <w:rPr>
          <w:rFonts w:ascii="Times New Roman" w:hAnsi="Calibri" w:eastAsia="宋体" w:cs="Times New Roman"/>
          <w:sz w:val="21"/>
        </w:rPr>
        <w:t>设计变更对造价的影响之所以经常被放大，并不只是因为变更本身复杂，更因为很多项目的变更信息在传递过程中衰减严重。设计单位发出调整意图，建设单位形成原则意见，监理转达执行要求，总包再传递到分包和现场班组，等信息真正落到施工层时，往往已经变成一句笼统的做法变化说明。造价人员如果不能同步进入这一链条，后续只能在签证、计量和结算阶段被动拼接事实。变更控制要想真正动态化，必须把信息传递从线下通知模式转为带有责任节点和时间节点的闭环路径。</w:t>
      </w:r>
    </w:p>
    <w:p w14:paraId="663CE8B7">
      <w:pPr>
        <w:pStyle w:val="11"/>
        <w:rPr>
          <w:rFonts w:ascii="Times New Roman" w:hAnsi="Calibri" w:eastAsia="宋体" w:cs="Times New Roman"/>
          <w:sz w:val="21"/>
        </w:rPr>
      </w:pPr>
      <w:r>
        <w:rPr>
          <w:rFonts w:ascii="Times New Roman" w:hAnsi="Calibri" w:eastAsia="宋体" w:cs="Times New Roman"/>
          <w:sz w:val="21"/>
        </w:rPr>
        <w:t>更合理的做法，是把变更链条拆成提出、论证、确认、下发、实施、反馈六个连续环节。提出环节解决变更来源是否合法，论证环节判断其必要性和替代方案，确认环节明确审批边界和费用归属，下发环节把变更内容精确传达到施工与商务岗位，实施环节同步记录工程量和资源变化，反馈环节则把执行结果重新送回成本分析链。这样一来，造价管理就不再只是末端审核者，而成为施工过程中的同步参与者。尤其在政府投资项目中，变更路径是否清楚，往往直接决定后续审计和评审能否认可。没有清晰传递路径的变更，即便现场已经实施，也容易在经济资料上留下断层。</w:t>
      </w:r>
    </w:p>
    <w:p w14:paraId="0FAA0288">
      <w:pPr>
        <w:pStyle w:val="11"/>
        <w:rPr>
          <w:rFonts w:ascii="Times New Roman" w:hAnsi="Calibri" w:eastAsia="宋体" w:cs="Times New Roman"/>
          <w:sz w:val="21"/>
        </w:rPr>
      </w:pPr>
      <w:r>
        <w:rPr>
          <w:rFonts w:ascii="Times New Roman" w:hAnsi="Calibri" w:eastAsia="宋体" w:cs="Times New Roman"/>
          <w:sz w:val="21"/>
        </w:rPr>
        <w:t>信息路径清楚之后，造价影响识别才真正具备时效性。项目部不需要等到月末计量才发现某类变更已经连续发生，也不必等到分包报量时才反向核对做法变化。变更一进入链条，工程量增减、单价影响、工期联动和措施变化就应同步被记录。很多项目后期造价争议较大，根源不是变更难算，而是变更发生时没有留下足够清楚的路径证据。</w:t>
      </w:r>
    </w:p>
    <w:p w14:paraId="28576F3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变更影响测算方法</w:t>
      </w:r>
    </w:p>
    <w:p w14:paraId="1C51A516">
      <w:pPr>
        <w:pStyle w:val="11"/>
        <w:rPr>
          <w:rFonts w:ascii="Times New Roman" w:hAnsi="Calibri" w:eastAsia="宋体" w:cs="Times New Roman"/>
          <w:sz w:val="21"/>
        </w:rPr>
      </w:pPr>
      <w:r>
        <w:rPr>
          <w:rFonts w:ascii="Times New Roman" w:hAnsi="Calibri" w:eastAsia="宋体" w:cs="Times New Roman"/>
          <w:sz w:val="21"/>
        </w:rPr>
        <w:t>变更影响测算最忌讳只看直接费用。一个门窗规格调整、一个机电管线改线、一次结构留洞修正，表面上都可以折算为工程量和单价变化，但真正进入施工组织之后，它们还可能伴随拆改损耗、窝工等待、交叉重排和措施追加。若测算只停留在直接工程量差额，项目团队对变更的真实成本感知就会明显偏低。施工阶段更适合采用分层测算方法，把直接造价、关联造价和次生造价分开判断。直接造价反映工程实体增减，关联造价反映由此带动的安装、运输、材料和工序变化，次生造价则指向返工、工期压缩和资源重组带来的附加成本。</w:t>
      </w:r>
    </w:p>
    <w:p w14:paraId="5AE10F7E">
      <w:pPr>
        <w:pStyle w:val="11"/>
        <w:rPr>
          <w:rFonts w:ascii="Times New Roman" w:hAnsi="Calibri" w:eastAsia="宋体" w:cs="Times New Roman"/>
          <w:sz w:val="21"/>
        </w:rPr>
      </w:pPr>
      <w:r>
        <w:rPr>
          <w:rFonts w:ascii="Times New Roman" w:hAnsi="Calibri" w:eastAsia="宋体" w:cs="Times New Roman"/>
          <w:sz w:val="21"/>
        </w:rPr>
        <w:t>测算还应注意两个时间维度。一个是即时测算，也就是变更一旦确认，就尽快判断其当期造价影响，便于管理层决定是否实施、是否优化、是否调整资源安排。另一个是累积测算，即把同类型变更在一定周期内进行合并观察，识别其是否已逼近概算预留、目标成本或合同边界。很多项目单次变更金额不大，却在一个季度内持续累积，最后造成明显超支，原因恰恰是缺少这种累积视角。</w:t>
      </w:r>
    </w:p>
    <w:p w14:paraId="7B7B074D">
      <w:pPr>
        <w:pStyle w:val="11"/>
        <w:rPr>
          <w:rFonts w:ascii="Times New Roman" w:hAnsi="Calibri" w:eastAsia="宋体" w:cs="Times New Roman"/>
          <w:sz w:val="21"/>
        </w:rPr>
      </w:pPr>
      <w:r>
        <w:rPr>
          <w:rFonts w:ascii="Times New Roman" w:hAnsi="Calibri" w:eastAsia="宋体" w:cs="Times New Roman"/>
          <w:sz w:val="21"/>
        </w:rPr>
        <w:t>扬州泰州国际机场二期扩建工程在规划设计阶段就借助精准</w:t>
      </w:r>
      <w:r>
        <w:rPr>
          <w:rFonts w:ascii="Times New Roman" w:hAnsi="Times New Roman" w:eastAsia="宋体" w:cs="Times New Roman"/>
          <w:sz w:val="21"/>
        </w:rPr>
        <w:t>BIM</w:t>
      </w:r>
      <w:r>
        <w:rPr>
          <w:rFonts w:ascii="Times New Roman" w:hAnsi="Calibri" w:eastAsia="宋体" w:cs="Times New Roman"/>
          <w:sz w:val="21"/>
        </w:rPr>
        <w:t>模型进行全专业碰撞检测和设计合理性审查，较早识别出管线综合冲突、预留洞口与设备安装尺寸不匹配等问题，把本来可能在施工阶段集中爆发的变更风险前移处理。项目因此从源头减少了后期拆改返工和施工调价压力，后续又通过模型工程量比对发现多项编标偏差，直接降低工程造价约</w:t>
      </w:r>
      <w:r>
        <w:rPr>
          <w:rFonts w:ascii="Times New Roman" w:hAnsi="Times New Roman" w:eastAsia="宋体" w:cs="Times New Roman"/>
          <w:sz w:val="21"/>
        </w:rPr>
        <w:t>1610</w:t>
      </w:r>
      <w:r>
        <w:rPr>
          <w:rFonts w:ascii="Times New Roman" w:hAnsi="Calibri" w:eastAsia="宋体" w:cs="Times New Roman"/>
          <w:sz w:val="21"/>
        </w:rPr>
        <w:t>万元。这个案例说明，变更影响识别真正有效时，重点不是变更发生后算得多快，而是能否在变更进入施工前就看见它对造价链条的扩散路径。</w:t>
      </w:r>
    </w:p>
    <w:p w14:paraId="13AEB4C1">
      <w:pPr>
        <w:pStyle w:val="4"/>
        <w:numPr>
          <w:ilvl w:val="0"/>
          <w:numId w:val="0"/>
        </w:numPr>
        <w:topLinePunct w:val="0"/>
        <w:ind w:left="0" w:leftChars="0" w:firstLine="422" w:firstLineChars="0"/>
        <w:rPr>
          <w:b/>
        </w:rPr>
      </w:pPr>
      <w:r>
        <w:rPr>
          <w:rFonts w:hint="eastAsia" w:ascii="黑体" w:hAnsi="黑体" w:eastAsia="黑体" w:cs="黑体"/>
          <w:b/>
          <w:sz w:val="21"/>
        </w:rPr>
        <w:t>二、</w:t>
      </w:r>
      <w:r>
        <w:t>签证索赔与经济资料管理</w:t>
      </w:r>
    </w:p>
    <w:p w14:paraId="4C2340C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签证资料形成规则</w:t>
      </w:r>
    </w:p>
    <w:p w14:paraId="5BE8431F">
      <w:pPr>
        <w:pStyle w:val="11"/>
        <w:rPr>
          <w:rFonts w:ascii="Times New Roman" w:hAnsi="Calibri" w:eastAsia="宋体" w:cs="Times New Roman"/>
          <w:sz w:val="21"/>
        </w:rPr>
      </w:pPr>
      <w:r>
        <w:rPr>
          <w:rFonts w:ascii="Times New Roman" w:hAnsi="Calibri" w:eastAsia="宋体" w:cs="Times New Roman"/>
          <w:sz w:val="21"/>
        </w:rPr>
        <w:t>施工阶段的签证管理，表面上是资料问题，实质上是责任与成本边界问题。许多项目之所以在签证阶段反复争议，并不是现场没有发生事项，而是事项发生时没有按规则形成证据。临时增加的措施、场地条件变化导致的施工调整、设计未明确部分的现场处置、建设单位临时要求造成的返工或追加工作，若当时只靠口头确认，后续就很难在价款上形成一致认识。签证资料形成的关键，不在于表单多么完整，而在于事实、原因、责任、数量和时间五个维度是否能够稳定对应。</w:t>
      </w:r>
    </w:p>
    <w:p w14:paraId="0B9848DC">
      <w:pPr>
        <w:pStyle w:val="11"/>
        <w:rPr>
          <w:rFonts w:ascii="Times New Roman" w:hAnsi="Calibri" w:eastAsia="宋体" w:cs="Times New Roman"/>
          <w:sz w:val="21"/>
        </w:rPr>
      </w:pPr>
      <w:r>
        <w:rPr>
          <w:rFonts w:hint="eastAsia" w:ascii="Times New Roman" w:hAnsi="Calibri" w:eastAsia="宋体" w:cs="Times New Roman"/>
          <w:sz w:val="21"/>
        </w:rPr>
        <w:t>更可将签证视为施工阶段经济事实的原始记录。它必须建立在现场真实发生的工作内容之上，而不是事后补写的费用申请。比较成熟的签证规则，应要求事项发生时就完成现场描述、影像留痕、责任方确认、数量核验和时间节点标注。这样形成的签证，不会把焦点停留在“后来想要多少钱”，而是先把“当时到底发生了什么”固定下来。对总包、分包、监理和建设单位而言，这种规则实际上都有利，因为它减少了后期围绕记忆和理解展开的反复争执。</w:t>
      </w:r>
    </w:p>
    <w:p w14:paraId="784A3206">
      <w:pPr>
        <w:pStyle w:val="11"/>
        <w:rPr>
          <w:rFonts w:ascii="Times New Roman" w:hAnsi="Calibri" w:eastAsia="宋体" w:cs="Times New Roman"/>
          <w:sz w:val="21"/>
        </w:rPr>
      </w:pPr>
      <w:r>
        <w:rPr>
          <w:rFonts w:ascii="Times New Roman" w:hAnsi="Calibri" w:eastAsia="宋体" w:cs="Times New Roman"/>
          <w:sz w:val="21"/>
        </w:rPr>
        <w:t>签证形成还应尽量与进度、质量、安全和材料等业务记录建立交叉印证。某项签证如果确实由设计调整引起，就应在变更链条中找到来源；若确由现场条件变化引起，也应在巡检、会商、验收或施工日志中留有同步痕迹。经济资料一旦脱离业务事实单独存在，签证的可信度就会迅速下降。</w:t>
      </w:r>
    </w:p>
    <w:p w14:paraId="22DE4C6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索赔资料完整性要求</w:t>
      </w:r>
    </w:p>
    <w:p w14:paraId="03EB1327">
      <w:pPr>
        <w:pStyle w:val="11"/>
        <w:rPr>
          <w:rFonts w:ascii="Times New Roman" w:hAnsi="Calibri" w:eastAsia="宋体" w:cs="Times New Roman"/>
          <w:sz w:val="21"/>
        </w:rPr>
      </w:pPr>
      <w:r>
        <w:rPr>
          <w:rFonts w:ascii="Times New Roman" w:hAnsi="Calibri" w:eastAsia="宋体" w:cs="Times New Roman"/>
          <w:sz w:val="21"/>
        </w:rPr>
        <w:t>索赔管理比签证更强调证据链的连续性。签证多解决</w:t>
      </w:r>
      <w:r>
        <w:rPr>
          <w:rFonts w:hint="eastAsia" w:ascii="Times New Roman" w:hAnsi="Times New Roman" w:eastAsia="宋体" w:cs="Times New Roman"/>
          <w:sz w:val="21"/>
          <w:lang w:eastAsia="zh-CN"/>
        </w:rPr>
        <w:t>“</w:t>
      </w:r>
      <w:r>
        <w:rPr>
          <w:rFonts w:ascii="Times New Roman" w:hAnsi="Calibri" w:eastAsia="宋体" w:cs="Times New Roman"/>
          <w:sz w:val="21"/>
        </w:rPr>
        <w:t>发生了什么</w:t>
      </w:r>
      <w:r>
        <w:rPr>
          <w:rFonts w:hint="eastAsia" w:ascii="Times New Roman" w:hAnsi="Times New Roman" w:eastAsia="宋体" w:cs="Times New Roman"/>
          <w:sz w:val="21"/>
          <w:lang w:eastAsia="zh-CN"/>
        </w:rPr>
        <w:t>”</w:t>
      </w:r>
      <w:r>
        <w:rPr>
          <w:rFonts w:ascii="Times New Roman" w:hAnsi="Calibri" w:eastAsia="宋体" w:cs="Times New Roman"/>
          <w:sz w:val="21"/>
        </w:rPr>
        <w:t>，索赔则进一步回答</w:t>
      </w:r>
      <w:r>
        <w:rPr>
          <w:rFonts w:hint="eastAsia" w:ascii="Times New Roman" w:hAnsi="Times New Roman" w:eastAsia="宋体" w:cs="Times New Roman"/>
          <w:sz w:val="21"/>
          <w:lang w:eastAsia="zh-CN"/>
        </w:rPr>
        <w:t>“</w:t>
      </w:r>
      <w:r>
        <w:rPr>
          <w:rFonts w:ascii="Times New Roman" w:hAnsi="Calibri" w:eastAsia="宋体" w:cs="Times New Roman"/>
          <w:sz w:val="21"/>
        </w:rPr>
        <w:t>为什么应由对方承担经济后果</w:t>
      </w:r>
      <w:r>
        <w:rPr>
          <w:rFonts w:hint="eastAsia" w:ascii="Times New Roman" w:hAnsi="Times New Roman" w:eastAsia="宋体" w:cs="Times New Roman"/>
          <w:sz w:val="21"/>
          <w:lang w:eastAsia="zh-CN"/>
        </w:rPr>
        <w:t>”</w:t>
      </w:r>
      <w:r>
        <w:rPr>
          <w:rFonts w:ascii="Times New Roman" w:hAnsi="Calibri" w:eastAsia="宋体" w:cs="Times New Roman"/>
          <w:sz w:val="21"/>
        </w:rPr>
        <w:t>。因此，索赔资料如果只保留事件本身，而没有保存因果关系、责任归属和损失测算依据，成功率通常不会高。一个合格的索赔资料链，至少应当包括合同依据、事件发生证据、通知记录、现场连续资料、工期或费用损失计算基础以及对方确认或已知晓的痕迹。缺了其中任何一环，后续都可能被质疑为事实不清、因果不明或证据不足。</w:t>
      </w:r>
    </w:p>
    <w:p w14:paraId="3B234B3A">
      <w:pPr>
        <w:pStyle w:val="11"/>
        <w:rPr>
          <w:rFonts w:ascii="Times New Roman" w:hAnsi="Calibri" w:eastAsia="宋体" w:cs="Times New Roman"/>
          <w:sz w:val="21"/>
        </w:rPr>
      </w:pPr>
      <w:r>
        <w:rPr>
          <w:rFonts w:ascii="Times New Roman" w:hAnsi="Calibri" w:eastAsia="宋体" w:cs="Times New Roman"/>
          <w:sz w:val="21"/>
        </w:rPr>
        <w:t>施工阶段最常见的问题，是现场人员把索赔理解为商务部门后期整理的事情，结果前期应当即时形成的通知、照片、记录、往来函件和对比资料没有及时保留。到了索赔真正启动时，只剩下零散证据，很难把损失链条讲完整。数字化管理能发挥作用的地方，恰恰是在这里。它能够把原本分散在施工日志、审批记录、指令流转、形象进度、材料价格波动和设备停机状态中的信息逐步归集，使索赔不再完全依赖人工回忆。</w:t>
      </w:r>
    </w:p>
    <w:p w14:paraId="49D7C7D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经济资料动态归档</w:t>
      </w:r>
    </w:p>
    <w:p w14:paraId="0DA1DEEB">
      <w:pPr>
        <w:pStyle w:val="11"/>
        <w:rPr>
          <w:rFonts w:ascii="Times New Roman" w:hAnsi="Calibri" w:eastAsia="宋体" w:cs="Times New Roman"/>
          <w:sz w:val="21"/>
        </w:rPr>
      </w:pPr>
      <w:r>
        <w:rPr>
          <w:rFonts w:ascii="Times New Roman" w:hAnsi="Calibri" w:eastAsia="宋体" w:cs="Times New Roman"/>
          <w:sz w:val="21"/>
        </w:rPr>
        <w:t>施工阶段的经济资料如果仍沿用传统做法，在月底或节点集中整理，往往会错过很多最有价值的细节。签证、索赔、变更、计量、进度款审核和材料价差资料都具有很强的时效性，越接近事件发生时整理，越容易保留真实情境。动态归档并不是把所有资料都马上做成正式卷宗，而是要求关键资料在形成后及时进入统一目录和统一编号体系，至少保证后续能够迅速检索、互相对应和持续补充。</w:t>
      </w:r>
    </w:p>
    <w:p w14:paraId="07D9949C">
      <w:pPr>
        <w:pStyle w:val="11"/>
        <w:rPr>
          <w:rFonts w:ascii="Times New Roman" w:hAnsi="Calibri" w:eastAsia="宋体" w:cs="Times New Roman"/>
          <w:sz w:val="21"/>
        </w:rPr>
      </w:pPr>
      <w:r>
        <w:rPr>
          <w:rFonts w:ascii="Times New Roman" w:hAnsi="Calibri" w:eastAsia="宋体" w:cs="Times New Roman"/>
          <w:sz w:val="21"/>
        </w:rPr>
        <w:t>动态归档还有一层更深的意义，就是让经济资料从</w:t>
      </w:r>
      <w:r>
        <w:rPr>
          <w:rFonts w:hint="eastAsia" w:ascii="Times New Roman" w:hAnsi="Times New Roman" w:eastAsia="宋体" w:cs="Times New Roman"/>
          <w:sz w:val="21"/>
          <w:lang w:eastAsia="zh-CN"/>
        </w:rPr>
        <w:t>“</w:t>
      </w:r>
      <w:r>
        <w:rPr>
          <w:rFonts w:ascii="Times New Roman" w:hAnsi="Calibri" w:eastAsia="宋体" w:cs="Times New Roman"/>
          <w:sz w:val="21"/>
        </w:rPr>
        <w:t>结算时才派上用场</w:t>
      </w:r>
      <w:r>
        <w:rPr>
          <w:rFonts w:hint="eastAsia" w:ascii="Times New Roman" w:hAnsi="Times New Roman" w:eastAsia="宋体" w:cs="Times New Roman"/>
          <w:sz w:val="21"/>
          <w:lang w:eastAsia="zh-CN"/>
        </w:rPr>
        <w:t>”</w:t>
      </w:r>
      <w:r>
        <w:rPr>
          <w:rFonts w:ascii="Times New Roman" w:hAnsi="Calibri" w:eastAsia="宋体" w:cs="Times New Roman"/>
          <w:sz w:val="21"/>
        </w:rPr>
        <w:t>的后端文件，转变为施工阶段就能支撑判断的管理资料。某一类签证是否反复发生，某一种索赔理由是否开始集中出现，某个分包的经济资料是否长期缺项，这些都应在施工过程中被看见，而不是等到结算对账时才暴露。资料管理一旦具备这种动态观察能力，造价控制就开始真正前移。</w:t>
      </w:r>
    </w:p>
    <w:p w14:paraId="1F16BF00">
      <w:pPr>
        <w:pStyle w:val="4"/>
        <w:numPr>
          <w:ilvl w:val="0"/>
          <w:numId w:val="0"/>
        </w:numPr>
        <w:topLinePunct w:val="0"/>
        <w:ind w:left="0" w:leftChars="0" w:firstLine="422" w:firstLineChars="0"/>
        <w:rPr>
          <w:b/>
        </w:rPr>
      </w:pPr>
      <w:r>
        <w:rPr>
          <w:rFonts w:hint="eastAsia" w:ascii="黑体" w:hAnsi="黑体" w:eastAsia="黑体" w:cs="黑体"/>
          <w:b/>
          <w:sz w:val="21"/>
        </w:rPr>
        <w:t>三、</w:t>
      </w:r>
      <w:r>
        <w:t>月度产值确认方法</w:t>
      </w:r>
    </w:p>
    <w:p w14:paraId="5B0B3D4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产值确认依据构成</w:t>
      </w:r>
    </w:p>
    <w:p w14:paraId="6D97E447">
      <w:pPr>
        <w:pStyle w:val="11"/>
        <w:rPr>
          <w:rFonts w:ascii="Times New Roman" w:hAnsi="Calibri" w:eastAsia="宋体" w:cs="Times New Roman"/>
          <w:sz w:val="21"/>
        </w:rPr>
      </w:pPr>
      <w:r>
        <w:rPr>
          <w:rFonts w:ascii="Times New Roman" w:hAnsi="Calibri" w:eastAsia="宋体" w:cs="Times New Roman"/>
          <w:sz w:val="21"/>
        </w:rPr>
        <w:t>月度产值确认是施工阶段造价动态控制中最容易被低估的一环。很多项目把它理解为进度款支付前的例行统计，似乎只要工程量报上来、合同单价套上去，就可以形成当月产值。实际上，产值确认既关系支付节奏，也关系成本判断、合同履约和后续结算边界。它若失真，当月支付就可能偏离真实完成状态，项目的成本分析也会被带偏。真正可靠的月度产值确认，至少要建立在三个基础上：一是实际完成工程量，二是与合同或清单相符的计价规则，三是与现场验收和进度状态一致的完成事实。</w:t>
      </w:r>
    </w:p>
    <w:p w14:paraId="6457CD1F">
      <w:pPr>
        <w:pStyle w:val="11"/>
        <w:rPr>
          <w:rFonts w:ascii="Times New Roman" w:hAnsi="Calibri" w:eastAsia="宋体" w:cs="Times New Roman"/>
          <w:sz w:val="21"/>
        </w:rPr>
      </w:pPr>
      <w:r>
        <w:rPr>
          <w:rFonts w:ascii="Times New Roman" w:hAnsi="Calibri" w:eastAsia="宋体" w:cs="Times New Roman"/>
          <w:sz w:val="21"/>
        </w:rPr>
        <w:t>这里最需要强调的是</w:t>
      </w:r>
      <w:r>
        <w:rPr>
          <w:rFonts w:hint="eastAsia" w:ascii="Times New Roman" w:hAnsi="Times New Roman" w:eastAsia="宋体" w:cs="Times New Roman"/>
          <w:sz w:val="21"/>
          <w:lang w:eastAsia="zh-CN"/>
        </w:rPr>
        <w:t>“</w:t>
      </w:r>
      <w:r>
        <w:rPr>
          <w:rFonts w:ascii="Times New Roman" w:hAnsi="Calibri" w:eastAsia="宋体" w:cs="Times New Roman"/>
          <w:sz w:val="21"/>
        </w:rPr>
        <w:t>完成事实</w:t>
      </w:r>
      <w:r>
        <w:rPr>
          <w:rFonts w:hint="eastAsia" w:ascii="Times New Roman" w:hAnsi="Times New Roman" w:eastAsia="宋体" w:cs="Times New Roman"/>
          <w:sz w:val="21"/>
          <w:lang w:eastAsia="zh-CN"/>
        </w:rPr>
        <w:t>”</w:t>
      </w:r>
      <w:r>
        <w:rPr>
          <w:rFonts w:ascii="Times New Roman" w:hAnsi="Calibri" w:eastAsia="宋体" w:cs="Times New Roman"/>
          <w:sz w:val="21"/>
        </w:rPr>
        <w:t>不能只由施工方单方报送决定。某项工程量即使物理上基本完成，若尚未达到应有验收条件，或仍存在明显返工风险，就不宜直接按 पूर्ण成品状态计入全部产值。产值确认的本质，是对当月形成的有效工程成果进行经济表达，而不是对投入工作量的简单换算。也正因为如此，月度产值必须把工程量、进度和质量三个口径尽量拉到一致。</w:t>
      </w:r>
    </w:p>
    <w:p w14:paraId="51E195AD">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产值审核流程设计</w:t>
      </w:r>
    </w:p>
    <w:p w14:paraId="29C674B1">
      <w:pPr>
        <w:pStyle w:val="11"/>
        <w:rPr>
          <w:rFonts w:ascii="Times New Roman" w:hAnsi="Calibri" w:eastAsia="宋体" w:cs="Times New Roman"/>
          <w:sz w:val="21"/>
        </w:rPr>
      </w:pPr>
      <w:r>
        <w:rPr>
          <w:rFonts w:ascii="Times New Roman" w:hAnsi="Calibri" w:eastAsia="宋体" w:cs="Times New Roman"/>
          <w:sz w:val="21"/>
        </w:rPr>
        <w:t>月度产值审核之所以容易产生争议，根源往往不在计价公式，而在流程失稳。施工单位报量、专业工程师核量、监理审核、建设单位确认、商务成本复核，理论上链条完整，但如果每个环节的职责边界不清，最终就会出现反复退回、重复核对甚至同一工程量多种口径并存的情况。较为稳妥的流程设计，应当坚持先事实、后金额，先现场、后支付。也就是说，先确认本月到底完成了什么，再判断应当按什么规则计价，而不是先围绕金额谈判，再倒推工程事实。</w:t>
      </w:r>
    </w:p>
    <w:p w14:paraId="79C83392">
      <w:pPr>
        <w:pStyle w:val="11"/>
        <w:rPr>
          <w:rFonts w:ascii="Times New Roman" w:hAnsi="Calibri" w:eastAsia="宋体" w:cs="Times New Roman"/>
          <w:sz w:val="21"/>
        </w:rPr>
      </w:pPr>
      <w:r>
        <w:rPr>
          <w:rFonts w:hint="eastAsia" w:ascii="Times New Roman" w:hAnsi="Calibri" w:eastAsia="宋体" w:cs="Times New Roman"/>
          <w:sz w:val="21"/>
        </w:rPr>
        <w:t>在流程设计上，更适合将现场确认与商务复核适度分离。现场岗位重点确认部位、数量和完成状态，商务岗位重点校核口径、单价和合同边界，两者各守其位，才能减少“既当裁判又当运动员”的情况。若现场人员直接决定金额，容易忽略合同约束；若商务人员脱离现场独立审核，又容易看不见施工真实状态。产值流程顺畅的关键，就在于把专业判断和经济判断连接起来，而不是相互替代。</w:t>
      </w:r>
    </w:p>
    <w:p w14:paraId="38D7450E">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产值结果联动支付结算</w:t>
      </w:r>
    </w:p>
    <w:p w14:paraId="5228390A">
      <w:pPr>
        <w:pStyle w:val="11"/>
        <w:rPr>
          <w:rFonts w:ascii="Times New Roman" w:hAnsi="Calibri" w:eastAsia="宋体" w:cs="Times New Roman"/>
          <w:sz w:val="21"/>
        </w:rPr>
      </w:pPr>
      <w:r>
        <w:rPr>
          <w:rFonts w:ascii="Times New Roman" w:hAnsi="Calibri" w:eastAsia="宋体" w:cs="Times New Roman"/>
          <w:sz w:val="21"/>
        </w:rPr>
        <w:t>月度产值一旦确认，就不应只服务当期支付，它还应成为结算边界和成本分析的重要中间成果。很多项目后期结算争议大，一个常见原因就是月度产值虽然按期确认，但没有留下清晰的工程量依据和状态依据，后续再核对时，原有确认结果难以直接继承。更成熟的做法，是让产值确认同时保留工程量来源、状态说明、审核路径和争议备注，使其既能支持当月付款，也能为后续结算提供可追溯基础。</w:t>
      </w:r>
    </w:p>
    <w:p w14:paraId="4693E802">
      <w:pPr>
        <w:pStyle w:val="11"/>
        <w:rPr>
          <w:rFonts w:ascii="Times New Roman" w:hAnsi="Calibri" w:eastAsia="宋体" w:cs="Times New Roman"/>
          <w:sz w:val="21"/>
        </w:rPr>
      </w:pPr>
      <w:r>
        <w:rPr>
          <w:rFonts w:ascii="Times New Roman" w:hAnsi="Calibri" w:eastAsia="宋体" w:cs="Times New Roman"/>
          <w:sz w:val="21"/>
        </w:rPr>
        <w:t>扬州泰州国际机场二期扩建工程在月度产值确认方面做出的改进很有代表性。项目依托</w:t>
      </w:r>
      <w:r>
        <w:rPr>
          <w:rFonts w:ascii="Times New Roman" w:hAnsi="Times New Roman" w:eastAsia="宋体" w:cs="Times New Roman"/>
          <w:sz w:val="21"/>
        </w:rPr>
        <w:t>BIM</w:t>
      </w:r>
      <w:r>
        <w:rPr>
          <w:rFonts w:ascii="Times New Roman" w:hAnsi="Calibri" w:eastAsia="宋体" w:cs="Times New Roman"/>
          <w:sz w:val="21"/>
        </w:rPr>
        <w:t>模型和数字项目平台，把工程造价信息与施工进度、质量验收信息实时联动，通过模型自动提取作业面实际完成工程量，并与施工进度计划进行比对，形成量价一致的产值确认依据。审核人员不再逐项核对纸质报表，而是直接调取构件完成数据，提高了进度款审核效率和准确性。这个做法说明，月度产值确认真正要解决的，不是报表做得多快，而是工程量、进度和验收状态能否在同一链条里被验证。</w:t>
      </w:r>
    </w:p>
    <w:p w14:paraId="6295086B">
      <w:pPr>
        <w:pStyle w:val="4"/>
        <w:numPr>
          <w:ilvl w:val="0"/>
          <w:numId w:val="0"/>
        </w:numPr>
        <w:topLinePunct w:val="0"/>
        <w:ind w:left="0" w:leftChars="0" w:firstLine="422" w:firstLineChars="0"/>
        <w:rPr>
          <w:b/>
        </w:rPr>
      </w:pPr>
      <w:r>
        <w:rPr>
          <w:rFonts w:hint="eastAsia" w:ascii="黑体" w:hAnsi="黑体" w:eastAsia="黑体" w:cs="黑体"/>
          <w:b/>
          <w:sz w:val="21"/>
        </w:rPr>
        <w:t>四、</w:t>
      </w:r>
      <w:r>
        <w:t>成本偏差分析与纠偏策略</w:t>
      </w:r>
    </w:p>
    <w:p w14:paraId="44BEF3C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偏差形成原因拆解</w:t>
      </w:r>
    </w:p>
    <w:p w14:paraId="36EF67AC">
      <w:pPr>
        <w:pStyle w:val="11"/>
        <w:rPr>
          <w:rFonts w:ascii="Times New Roman" w:hAnsi="Calibri" w:eastAsia="宋体" w:cs="Times New Roman"/>
          <w:sz w:val="21"/>
        </w:rPr>
      </w:pPr>
      <w:r>
        <w:rPr>
          <w:rFonts w:ascii="Times New Roman" w:hAnsi="Calibri" w:eastAsia="宋体" w:cs="Times New Roman"/>
          <w:sz w:val="21"/>
        </w:rPr>
        <w:t>成本偏差很少由单一因素造成。施工阶段最常见的偏差来源，通常集中在设计变更累积、材料价格波动、组织效率下降、机械资源失衡、签证管理滞后和支付节奏失真几个方面。若只在月度分析会上笼统地说</w:t>
      </w:r>
      <w:r>
        <w:rPr>
          <w:rFonts w:hint="eastAsia" w:ascii="Times New Roman" w:hAnsi="Times New Roman" w:eastAsia="宋体" w:cs="Times New Roman"/>
          <w:sz w:val="21"/>
          <w:lang w:eastAsia="zh-CN"/>
        </w:rPr>
        <w:t>“</w:t>
      </w:r>
      <w:r>
        <w:rPr>
          <w:rFonts w:ascii="Times New Roman" w:hAnsi="Calibri" w:eastAsia="宋体" w:cs="Times New Roman"/>
          <w:sz w:val="21"/>
        </w:rPr>
        <w:t>成本偏高</w:t>
      </w:r>
      <w:r>
        <w:rPr>
          <w:rFonts w:hint="eastAsia" w:ascii="Times New Roman" w:hAnsi="Times New Roman" w:eastAsia="宋体" w:cs="Times New Roman"/>
          <w:sz w:val="21"/>
          <w:lang w:eastAsia="zh-CN"/>
        </w:rPr>
        <w:t>”</w:t>
      </w:r>
      <w:r>
        <w:rPr>
          <w:rFonts w:ascii="Times New Roman" w:hAnsi="Calibri" w:eastAsia="宋体" w:cs="Times New Roman"/>
          <w:sz w:val="21"/>
        </w:rPr>
        <w:t>或</w:t>
      </w:r>
      <w:r>
        <w:rPr>
          <w:rFonts w:hint="eastAsia" w:ascii="Times New Roman" w:hAnsi="Times New Roman" w:eastAsia="宋体" w:cs="Times New Roman"/>
          <w:sz w:val="21"/>
          <w:lang w:eastAsia="zh-CN"/>
        </w:rPr>
        <w:t>“</w:t>
      </w:r>
      <w:r>
        <w:rPr>
          <w:rFonts w:ascii="Times New Roman" w:hAnsi="Calibri" w:eastAsia="宋体" w:cs="Times New Roman"/>
          <w:sz w:val="21"/>
        </w:rPr>
        <w:t>本月超支</w:t>
      </w:r>
      <w:r>
        <w:rPr>
          <w:rFonts w:hint="eastAsia" w:ascii="Times New Roman" w:hAnsi="Times New Roman" w:eastAsia="宋体" w:cs="Times New Roman"/>
          <w:sz w:val="21"/>
          <w:lang w:eastAsia="zh-CN"/>
        </w:rPr>
        <w:t>”</w:t>
      </w:r>
      <w:r>
        <w:rPr>
          <w:rFonts w:ascii="Times New Roman" w:hAnsi="Calibri" w:eastAsia="宋体" w:cs="Times New Roman"/>
          <w:sz w:val="21"/>
        </w:rPr>
        <w:t>，项目部很难真正采取有效动作。成本偏差分析必须先完成原因拆解，把偏差拆到可以行动的层级。比如，是某类设计变更连续发生导致措施费抬升，还是材料价格波动超出合同预设；是现场返工导致人工和机械重复投入，还是月度产值确认偏离真实完成量，进而掩盖了成本消耗节奏。</w:t>
      </w:r>
    </w:p>
    <w:p w14:paraId="7D601E73">
      <w:pPr>
        <w:pStyle w:val="11"/>
        <w:rPr>
          <w:rFonts w:ascii="Times New Roman" w:hAnsi="Calibri" w:eastAsia="宋体" w:cs="Times New Roman"/>
          <w:sz w:val="21"/>
        </w:rPr>
      </w:pPr>
      <w:r>
        <w:rPr>
          <w:rFonts w:ascii="Times New Roman" w:hAnsi="Calibri" w:eastAsia="宋体" w:cs="Times New Roman"/>
          <w:sz w:val="21"/>
        </w:rPr>
        <w:t>这种拆解越具体，纠偏越有针对性。很多项目之所以长期纠偏无效，不是因为没人重视成本，而是因为原因判断始终停留在表层。材料费高了，未必只是采购价格问题，也可能是计划不准、损耗失控或作业面反复倒运；机械费高了，也未必只是设备单价问题，更可能是工序等待和组织脱节。施工阶段造价动态控制最核心的能力之一，正是在偏差刚开始显形时，把它拆回到变更、资源、流程和责任单元上。</w:t>
      </w:r>
    </w:p>
    <w:p w14:paraId="5CAA5B6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偏差影响程度判断</w:t>
      </w:r>
    </w:p>
    <w:p w14:paraId="60A24A5B">
      <w:pPr>
        <w:pStyle w:val="11"/>
        <w:rPr>
          <w:rFonts w:ascii="Times New Roman" w:hAnsi="Calibri" w:eastAsia="宋体" w:cs="Times New Roman"/>
          <w:sz w:val="21"/>
        </w:rPr>
      </w:pPr>
      <w:r>
        <w:rPr>
          <w:rFonts w:ascii="Times New Roman" w:hAnsi="Calibri" w:eastAsia="宋体" w:cs="Times New Roman"/>
          <w:sz w:val="21"/>
        </w:rPr>
        <w:t>偏差形成之后，还要判断其轻重缓急。并非所有偏差都需要立刻大幅纠正，有些属于短期波动，有些则是系统性风险的前兆。影响程度判断应至少考虑三个维度：一是金额影响，判断它对当月成本和阶段目标造成多大压力；二是持续性影响，判断偏差是一次性事件还是会沿着后续工序继续放大；三是可逆性影响，判断当前是否仍有调整空间。具备这三个维度后，项目部才能把管理注意力集中到真正危险的偏差上。</w:t>
      </w:r>
    </w:p>
    <w:p w14:paraId="773DE102">
      <w:pPr>
        <w:pStyle w:val="11"/>
        <w:rPr>
          <w:rFonts w:ascii="Times New Roman" w:hAnsi="Calibri" w:eastAsia="宋体" w:cs="Times New Roman"/>
          <w:sz w:val="21"/>
        </w:rPr>
      </w:pPr>
      <w:r>
        <w:rPr>
          <w:rFonts w:ascii="Times New Roman" w:hAnsi="Calibri" w:eastAsia="宋体" w:cs="Times New Roman"/>
          <w:sz w:val="21"/>
        </w:rPr>
        <w:t>单次金额不算大的偏差，如果已经在多个月度中持续重复出现，往往比一次明显超支更值得警惕。因为前者通常意味着项目机制出了问题，例如变更审批失守、签证边界不清、材料询价滞后或产值确认失真。施工阶段的造价控制，真正怕的不是一次异常，而是异常被当成常态慢慢接受。影响判断的意义，正是在这种节点上把问题重新提出来。</w:t>
      </w:r>
    </w:p>
    <w:p w14:paraId="7E37487A">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纠偏措施实施路径</w:t>
      </w:r>
    </w:p>
    <w:p w14:paraId="2C8E5FAD">
      <w:pPr>
        <w:pStyle w:val="11"/>
        <w:rPr>
          <w:rFonts w:ascii="Times New Roman" w:hAnsi="Calibri" w:eastAsia="宋体" w:cs="Times New Roman"/>
          <w:sz w:val="21"/>
        </w:rPr>
      </w:pPr>
      <w:r>
        <w:rPr>
          <w:rFonts w:ascii="Times New Roman" w:hAnsi="Calibri" w:eastAsia="宋体" w:cs="Times New Roman"/>
          <w:sz w:val="21"/>
        </w:rPr>
        <w:t>纠偏策略不能停留在</w:t>
      </w:r>
      <w:r>
        <w:rPr>
          <w:rFonts w:hint="eastAsia" w:ascii="Times New Roman" w:hAnsi="Times New Roman" w:eastAsia="宋体" w:cs="Times New Roman"/>
          <w:sz w:val="21"/>
          <w:lang w:eastAsia="zh-CN"/>
        </w:rPr>
        <w:t>“</w:t>
      </w:r>
      <w:r>
        <w:rPr>
          <w:rFonts w:ascii="Times New Roman" w:hAnsi="Calibri" w:eastAsia="宋体" w:cs="Times New Roman"/>
          <w:sz w:val="21"/>
        </w:rPr>
        <w:t>加强管理</w:t>
      </w:r>
      <w:r>
        <w:rPr>
          <w:rFonts w:hint="eastAsia" w:ascii="Times New Roman" w:hAnsi="Times New Roman" w:eastAsia="宋体" w:cs="Times New Roman"/>
          <w:sz w:val="21"/>
          <w:lang w:eastAsia="zh-CN"/>
        </w:rPr>
        <w:t>”</w:t>
      </w:r>
      <w:r>
        <w:rPr>
          <w:rFonts w:ascii="Times New Roman" w:hAnsi="Calibri" w:eastAsia="宋体" w:cs="Times New Roman"/>
          <w:sz w:val="21"/>
        </w:rPr>
        <w:t>这类空泛表述上，而应落实到合同、计划、资源和流程几个具体路径。若偏差来自设计变更，应优先从必要性审查、替代方案比选和变更审批边界收紧入手；若偏差来自材料价格波动，则要检查询价机制、采购时机、合同价差条款和库存节奏；若偏差来自组织效率问题，就应回到工序衔接、机械利用和劳务配置上进行调整。真正有效的纠偏，往往不是单独压缩某一项费用，而是改变偏差形成的路径。</w:t>
      </w:r>
    </w:p>
    <w:p w14:paraId="03043028">
      <w:pPr>
        <w:pStyle w:val="11"/>
        <w:rPr>
          <w:rFonts w:ascii="Times New Roman" w:hAnsi="Calibri" w:eastAsia="宋体" w:cs="Times New Roman"/>
          <w:sz w:val="21"/>
        </w:rPr>
      </w:pPr>
      <w:r>
        <w:rPr>
          <w:rFonts w:ascii="Times New Roman" w:hAnsi="Calibri" w:eastAsia="宋体" w:cs="Times New Roman"/>
          <w:sz w:val="21"/>
        </w:rPr>
        <w:t>这里还有一个容易被忽视的前提，即纠偏必须与责任单元对应。谁最接近问题源头，谁就应承担第一响应责任。设计口、商务口、采购口和现场生产口在造价偏差面前不可能都只做旁观者。数字化管理的意义，恰恰在于能够把偏差与责任链较快对应起来，使纠偏从泛泛提醒转向具体动作。</w:t>
      </w:r>
    </w:p>
    <w:p w14:paraId="71D857E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（四）</w:t>
      </w:r>
      <w:r>
        <w:t>公共项目造价控制纪要</w:t>
      </w:r>
    </w:p>
    <w:p w14:paraId="7308F7E0">
      <w:pPr>
        <w:pStyle w:val="11"/>
        <w:rPr>
          <w:rFonts w:ascii="Times New Roman" w:hAnsi="Calibri" w:eastAsia="宋体" w:cs="Times New Roman"/>
          <w:sz w:val="21"/>
        </w:rPr>
      </w:pPr>
      <w:r>
        <w:rPr>
          <w:rFonts w:ascii="Times New Roman" w:hAnsi="Calibri" w:eastAsia="宋体" w:cs="Times New Roman"/>
          <w:sz w:val="21"/>
        </w:rPr>
        <w:t>公共项目的造价动态控制，更能看出数字化方法的实际价值。扬州泰州国际机场二期扩建工程和广东省委党校新校区建设项目虽然类型不同，但两者都说明了一个共同规律：施工阶段造价控制真正有效的前提，不是结算时算得多细，而是设计变更、月度计量、价格波动和偏差识别能否在过程运行中被提前看见。前者依靠</w:t>
      </w:r>
      <w:r>
        <w:rPr>
          <w:rFonts w:ascii="Times New Roman" w:hAnsi="Times New Roman" w:eastAsia="宋体" w:cs="Times New Roman"/>
          <w:sz w:val="21"/>
        </w:rPr>
        <w:t>BIM</w:t>
      </w:r>
      <w:r>
        <w:rPr>
          <w:rFonts w:ascii="Times New Roman" w:hAnsi="Calibri" w:eastAsia="宋体" w:cs="Times New Roman"/>
          <w:sz w:val="21"/>
        </w:rPr>
        <w:t>模型和数字监管平台，把设计碰撞检测、月度产值确认、工程变更备案和偏差源定位纳入一条连续链条，既从前端减少了施工期变更风险，又在中段通过工程量与构件完成数据联动，提高了产值审核准确性，并借助监管系统持续追踪偏差来源，形成全流程数字化监管闭环。后者则围绕概算边界建立动态跟踪机制，把实际变更费用与概算预留持续比对，在材料价格波动超过</w:t>
      </w:r>
      <w:r>
        <w:rPr>
          <w:rFonts w:ascii="Times New Roman" w:hAnsi="Times New Roman" w:eastAsia="宋体" w:cs="Times New Roman"/>
          <w:sz w:val="21"/>
        </w:rPr>
        <w:t>3</w:t>
      </w:r>
      <w:r>
        <w:rPr>
          <w:rFonts w:ascii="Times New Roman" w:hAnsi="Calibri" w:eastAsia="宋体" w:cs="Times New Roman"/>
          <w:sz w:val="21"/>
        </w:rPr>
        <w:t>%时依托全省价格监测体系自动预警，并通过多层次全费用清单和可调权重价格指数法，把本来可能在后端集中爆发的价差争议前移到过程控制与合同规则阶段。两个项目分别实现了约</w:t>
      </w:r>
      <w:r>
        <w:rPr>
          <w:rFonts w:ascii="Times New Roman" w:hAnsi="Times New Roman" w:eastAsia="宋体" w:cs="Times New Roman"/>
          <w:sz w:val="21"/>
        </w:rPr>
        <w:t>1610</w:t>
      </w:r>
      <w:r>
        <w:rPr>
          <w:rFonts w:ascii="Times New Roman" w:hAnsi="Calibri" w:eastAsia="宋体" w:cs="Times New Roman"/>
          <w:sz w:val="21"/>
        </w:rPr>
        <w:t>万元直接降造、约</w:t>
      </w:r>
      <w:r>
        <w:rPr>
          <w:rFonts w:ascii="Times New Roman" w:hAnsi="Times New Roman" w:eastAsia="宋体" w:cs="Times New Roman"/>
          <w:sz w:val="21"/>
        </w:rPr>
        <w:t>5</w:t>
      </w:r>
      <w:r>
        <w:rPr>
          <w:rFonts w:ascii="Times New Roman" w:hAnsi="Calibri" w:eastAsia="宋体" w:cs="Times New Roman"/>
          <w:sz w:val="21"/>
        </w:rPr>
        <w:t>.</w:t>
      </w:r>
      <w:r>
        <w:rPr>
          <w:rFonts w:ascii="Times New Roman" w:hAnsi="Times New Roman" w:eastAsia="宋体" w:cs="Times New Roman"/>
          <w:sz w:val="21"/>
        </w:rPr>
        <w:t>1</w:t>
      </w:r>
      <w:r>
        <w:rPr>
          <w:rFonts w:ascii="Times New Roman" w:hAnsi="Calibri" w:eastAsia="宋体" w:cs="Times New Roman"/>
          <w:sz w:val="21"/>
        </w:rPr>
        <w:t>亿元节约投资，以及总建筑面积</w:t>
      </w:r>
      <w:r>
        <w:rPr>
          <w:rFonts w:ascii="Times New Roman" w:hAnsi="Times New Roman" w:eastAsia="宋体" w:cs="Times New Roman"/>
          <w:sz w:val="21"/>
        </w:rPr>
        <w:t>35</w:t>
      </w:r>
      <w:r>
        <w:rPr>
          <w:rFonts w:ascii="Times New Roman" w:hAnsi="Calibri" w:eastAsia="宋体" w:cs="Times New Roman"/>
          <w:sz w:val="21"/>
        </w:rPr>
        <w:t>.</w:t>
      </w:r>
      <w:r>
        <w:rPr>
          <w:rFonts w:ascii="Times New Roman" w:hAnsi="Times New Roman" w:eastAsia="宋体" w:cs="Times New Roman"/>
          <w:sz w:val="21"/>
        </w:rPr>
        <w:t>2</w:t>
      </w:r>
      <w:r>
        <w:rPr>
          <w:rFonts w:ascii="Times New Roman" w:hAnsi="Calibri" w:eastAsia="宋体" w:cs="Times New Roman"/>
          <w:sz w:val="21"/>
        </w:rPr>
        <w:t>万平方米、总投资约</w:t>
      </w:r>
      <w:r>
        <w:rPr>
          <w:rFonts w:ascii="Times New Roman" w:hAnsi="Times New Roman" w:eastAsia="宋体" w:cs="Times New Roman"/>
          <w:sz w:val="21"/>
        </w:rPr>
        <w:t>32</w:t>
      </w:r>
      <w:r>
        <w:rPr>
          <w:rFonts w:ascii="Times New Roman" w:hAnsi="Calibri" w:eastAsia="宋体" w:cs="Times New Roman"/>
          <w:sz w:val="21"/>
        </w:rPr>
        <w:t>亿元条件下的概算不突破目标，说明公共项目造价控制的关键，正在由</w:t>
      </w:r>
      <w:r>
        <w:rPr>
          <w:rFonts w:hint="eastAsia" w:ascii="Times New Roman" w:hAnsi="Times New Roman" w:eastAsia="宋体" w:cs="Times New Roman"/>
          <w:sz w:val="21"/>
          <w:lang w:eastAsia="zh-CN"/>
        </w:rPr>
        <w:t>“</w:t>
      </w:r>
      <w:r>
        <w:rPr>
          <w:rFonts w:ascii="Times New Roman" w:hAnsi="Calibri" w:eastAsia="宋体" w:cs="Times New Roman"/>
          <w:sz w:val="21"/>
        </w:rPr>
        <w:t>事后审减</w:t>
      </w:r>
      <w:r>
        <w:rPr>
          <w:rFonts w:hint="eastAsia" w:ascii="Times New Roman" w:hAnsi="Times New Roman" w:eastAsia="宋体" w:cs="Times New Roman"/>
          <w:sz w:val="21"/>
          <w:lang w:eastAsia="zh-CN"/>
        </w:rPr>
        <w:t>”</w:t>
      </w:r>
      <w:r>
        <w:rPr>
          <w:rFonts w:ascii="Times New Roman" w:hAnsi="Calibri" w:eastAsia="宋体" w:cs="Times New Roman"/>
          <w:sz w:val="21"/>
        </w:rPr>
        <w:t>转向</w:t>
      </w:r>
      <w:r>
        <w:rPr>
          <w:rFonts w:hint="eastAsia" w:ascii="Times New Roman" w:hAnsi="Times New Roman" w:eastAsia="宋体" w:cs="Times New Roman"/>
          <w:sz w:val="21"/>
          <w:lang w:eastAsia="zh-CN"/>
        </w:rPr>
        <w:t>“</w:t>
      </w:r>
      <w:r>
        <w:rPr>
          <w:rFonts w:ascii="Times New Roman" w:hAnsi="Calibri" w:eastAsia="宋体" w:cs="Times New Roman"/>
          <w:sz w:val="21"/>
        </w:rPr>
        <w:t>过程校核、动态预警和规则前移</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723EE5FD">
      <w:pPr>
        <w:pStyle w:val="3"/>
        <w:numPr>
          <w:ilvl w:val="0"/>
          <w:numId w:val="0"/>
        </w:numPr>
        <w:ind w:left="0" w:leftChars="0" w:firstLine="0" w:firstLineChars="0"/>
        <w:rPr>
          <w:b/>
        </w:rPr>
      </w:pPr>
      <w:bookmarkStart w:id="30" w:name="_Toc125"/>
      <w:r>
        <w:rPr>
          <w:rFonts w:hint="eastAsia" w:ascii="宋体" w:hAnsi="宋体" w:eastAsia="黑体" w:cs="宋体"/>
          <w:b/>
          <w:bCs/>
          <w:kern w:val="44"/>
          <w:sz w:val="30"/>
          <w:szCs w:val="30"/>
        </w:rPr>
        <w:t>第四节</w:t>
      </w:r>
      <w:r>
        <w:rPr>
          <w:rFonts w:hint="eastAsia" w:cs="宋体"/>
          <w:b/>
          <w:bCs/>
          <w:kern w:val="44"/>
          <w:sz w:val="30"/>
          <w:szCs w:val="30"/>
          <w:lang w:val="en-US" w:eastAsia="zh-CN"/>
        </w:rPr>
        <w:t xml:space="preserve"> </w:t>
      </w:r>
      <w:r>
        <w:t>合同履约的数字化协同</w:t>
      </w:r>
      <w:bookmarkEnd w:id="30"/>
      <w:r>
        <w:t xml:space="preserve">  </w:t>
      </w:r>
    </w:p>
    <w:p w14:paraId="6E7313EF">
      <w:pPr>
        <w:pStyle w:val="4"/>
        <w:bidi w:val="0"/>
        <w:rPr>
          <w:rFonts w:hint="eastAsia"/>
        </w:rPr>
      </w:pPr>
      <w:r>
        <w:rPr>
          <w:rFonts w:hint="eastAsia"/>
        </w:rPr>
        <w:t>一、合同结构与履约节点表达</w:t>
      </w:r>
    </w:p>
    <w:p w14:paraId="7AA9414D">
      <w:pPr>
        <w:pStyle w:val="11"/>
        <w:rPr>
          <w:rFonts w:hint="eastAsia" w:ascii="Times New Roman" w:hAnsi="Calibri" w:eastAsia="宋体" w:cs="Times New Roman"/>
          <w:sz w:val="21"/>
        </w:rPr>
      </w:pPr>
      <w:r>
        <w:rPr>
          <w:rFonts w:hint="eastAsia" w:ascii="Times New Roman" w:hAnsi="Calibri" w:eastAsia="宋体" w:cs="Times New Roman"/>
          <w:sz w:val="21"/>
        </w:rPr>
        <w:t>（一）合同条款结构分解</w:t>
      </w:r>
    </w:p>
    <w:p w14:paraId="0C5BD86A">
      <w:pPr>
        <w:pStyle w:val="11"/>
        <w:rPr>
          <w:rFonts w:hint="eastAsia" w:ascii="Times New Roman" w:hAnsi="Calibri" w:eastAsia="宋体" w:cs="Times New Roman"/>
          <w:sz w:val="21"/>
        </w:rPr>
      </w:pPr>
      <w:r>
        <w:rPr>
          <w:rFonts w:hint="eastAsia" w:ascii="Times New Roman" w:hAnsi="Calibri" w:eastAsia="宋体" w:cs="Times New Roman"/>
          <w:sz w:val="21"/>
        </w:rPr>
        <w:t>施工合同进入实施阶段后，真正难管的并不是合同文本厚，而是条款结构与现场业务之间长期存在距离。很多项目在签约阶段对合同高度重视，到了施工阶段却只在发生争议时才回头翻合同，结果合同成了结算和索赔阶段的解释工具，而没有成为施工过程中的治理工具。数字化协同首先要解决的，正是把合同由静态文本转化为可执行结构。也就是说，合同不再只是条文排列，而要被拆解为责任主体、履约事项、时间节点、计量规则、支付条件、变更边界和违约后果等若干能够进入项目运行链条的管理单元。</w:t>
      </w:r>
    </w:p>
    <w:p w14:paraId="6811B41F">
      <w:pPr>
        <w:pStyle w:val="11"/>
        <w:rPr>
          <w:rFonts w:hint="eastAsia" w:ascii="Times New Roman" w:hAnsi="Calibri" w:eastAsia="宋体" w:cs="Times New Roman"/>
          <w:sz w:val="21"/>
        </w:rPr>
      </w:pPr>
      <w:r>
        <w:rPr>
          <w:rFonts w:hint="eastAsia" w:ascii="Times New Roman" w:hAnsi="Calibri" w:eastAsia="宋体" w:cs="Times New Roman"/>
          <w:sz w:val="21"/>
        </w:rPr>
        <w:t>这种结构分解并不是把合同做成摘要，而是把最能影响现场履约的内容提炼出来，形成面向执行层的表达方式。总包合同、分包合同、采购合同和专业服务合同虽然类型不同，但在项目实施中都会落到几个共同问题上：谁应在什么时间完成什么事项，完成的认定依据是什么，未完成时由谁承担什么后果，发生调整后应沿着什么路径修正。条款一旦围绕这些问题被重组，合同就由法律文本转变为项目治理框架。项目团队看到的不再是一份只有商务人员才能完整掌握的文件，而是一组能够进入计划、验收、支付、变更和风险提示链条的执行规则。</w:t>
      </w:r>
    </w:p>
    <w:p w14:paraId="17E680A7">
      <w:pPr>
        <w:pStyle w:val="11"/>
        <w:rPr>
          <w:rFonts w:hint="eastAsia" w:ascii="Times New Roman" w:hAnsi="Calibri" w:eastAsia="宋体" w:cs="Times New Roman"/>
          <w:sz w:val="21"/>
        </w:rPr>
      </w:pPr>
      <w:r>
        <w:rPr>
          <w:rFonts w:hint="eastAsia" w:ascii="Times New Roman" w:hAnsi="Calibri" w:eastAsia="宋体" w:cs="Times New Roman"/>
          <w:sz w:val="21"/>
        </w:rPr>
        <w:t>条款结构分解的真正价值，在于让合同要求始终处于可见状态。很多合同失效并不是因为条款写得不严，而是现场从未把条款拆到可操作层。比如节点付款条款，看起来写得清楚，若不进一步拆解为形象进度确认、工程量审核、质量状态核验和资料完整性审查等具体条件，现场就容易把它理解为单纯的到期付款。再如工期顺延条款，若不拆开开工条件、停工免责、签认程序和时限要求，执行阶段就很容易出现责任边界模糊。结构分解的意义，正是在项目运行过程中持续呈现条款真实含义，而不是等争议发生后再由少数岗位集中解释。</w:t>
      </w:r>
    </w:p>
    <w:p w14:paraId="4AAC99DF">
      <w:pPr>
        <w:pStyle w:val="11"/>
        <w:rPr>
          <w:rFonts w:hint="eastAsia" w:ascii="Times New Roman" w:hAnsi="Calibri" w:eastAsia="宋体" w:cs="Times New Roman"/>
          <w:sz w:val="21"/>
        </w:rPr>
      </w:pPr>
      <w:r>
        <w:rPr>
          <w:rFonts w:hint="eastAsia" w:ascii="Times New Roman" w:hAnsi="Calibri" w:eastAsia="宋体" w:cs="Times New Roman"/>
          <w:sz w:val="21"/>
        </w:rPr>
        <w:t>（二）履约节点在线表达</w:t>
      </w:r>
    </w:p>
    <w:p w14:paraId="6270FBF7">
      <w:pPr>
        <w:pStyle w:val="11"/>
        <w:rPr>
          <w:rFonts w:hint="eastAsia" w:ascii="Times New Roman" w:hAnsi="Calibri" w:eastAsia="宋体" w:cs="Times New Roman"/>
          <w:sz w:val="21"/>
        </w:rPr>
      </w:pPr>
      <w:r>
        <w:rPr>
          <w:rFonts w:hint="eastAsia" w:ascii="Times New Roman" w:hAnsi="Calibri" w:eastAsia="宋体" w:cs="Times New Roman"/>
          <w:sz w:val="21"/>
        </w:rPr>
        <w:t>合同结构被拆开之后，还要进一步把履约节点表达出来。节点是合同履约最重要的管理抓手，因为合同中的大部分权利义务都不会平均分布在整个施工周期里，而是集中落在若干关键节点上，如开工移交、图纸交付、材料认价、工程计量、阶段验收、进度款支付、变更确认和竣工移交等。若这些节点只停留在合同附件或会商纪要里，现场往往只能依靠个人记忆推进，时间一长，节点就会逐步模糊，最终形成“事情做了不少，但合同认定条件并未满足”的局面。</w:t>
      </w:r>
    </w:p>
    <w:p w14:paraId="155CEC59">
      <w:pPr>
        <w:pStyle w:val="11"/>
        <w:rPr>
          <w:rFonts w:hint="eastAsia" w:ascii="Times New Roman" w:hAnsi="Calibri" w:eastAsia="宋体" w:cs="Times New Roman"/>
          <w:sz w:val="21"/>
        </w:rPr>
      </w:pPr>
      <w:r>
        <w:rPr>
          <w:rFonts w:hint="eastAsia" w:ascii="Times New Roman" w:hAnsi="Calibri" w:eastAsia="宋体" w:cs="Times New Roman"/>
          <w:sz w:val="21"/>
        </w:rPr>
        <w:t>在线表达的关键，不在于把节点列成一张清单，而在于让节点同时具备对象、时间、条件和责任四个维度。对象维度回答节点对应哪项合同义务，时间维度回答最迟何时触发，条件维度说明满足节点必须具备哪些证据，责任维度则明确由谁发起、谁确认、谁复核。这样形成的履约节点，才能真正成为系统中的管理对象。项目部不仅能看到节点是否临近到期，还能识别它当前停留在哪个环节，是现场已经完成而资料未齐，还是资料已报送而审核未结束，抑或前置条件本身尚未具备。</w:t>
      </w:r>
    </w:p>
    <w:p w14:paraId="12BDEEC6">
      <w:pPr>
        <w:pStyle w:val="11"/>
        <w:rPr>
          <w:rFonts w:hint="eastAsia" w:ascii="Times New Roman" w:hAnsi="Calibri" w:eastAsia="宋体" w:cs="Times New Roman"/>
          <w:sz w:val="21"/>
        </w:rPr>
      </w:pPr>
      <w:r>
        <w:rPr>
          <w:rFonts w:hint="eastAsia" w:ascii="Times New Roman" w:hAnsi="Calibri" w:eastAsia="宋体" w:cs="Times New Roman"/>
          <w:sz w:val="21"/>
        </w:rPr>
        <w:t>履约节点在线表达还有一个现实意义，就是把合同管理由事后核对改为过程提醒。过去很多节点延误并不是没人知道，而是管理信息散落在纸面、邮件和电话沟通里，谁都知道大概有这件事，却没人能持续盯住具体状态。节点进入系统之后，项目部就可以围绕节点建立连续跟踪机制。哪些节点临近到期，哪些节点已超时未闭合，哪些节点虽然完成但证据不完整，都会被更及时地识别出来。合同因此不再只是商务部门手中的文件，而成为项目管理各岗位共同面对的执行边界。</w:t>
      </w:r>
    </w:p>
    <w:p w14:paraId="3C4C8015">
      <w:pPr>
        <w:pStyle w:val="11"/>
        <w:rPr>
          <w:rFonts w:hint="eastAsia" w:ascii="Times New Roman" w:hAnsi="Calibri" w:eastAsia="宋体" w:cs="Times New Roman"/>
          <w:sz w:val="21"/>
        </w:rPr>
      </w:pPr>
      <w:r>
        <w:rPr>
          <w:rFonts w:hint="eastAsia" w:ascii="Times New Roman" w:hAnsi="Calibri" w:eastAsia="宋体" w:cs="Times New Roman"/>
          <w:sz w:val="21"/>
        </w:rPr>
        <w:t>（三）节点执行过程跟踪</w:t>
      </w:r>
    </w:p>
    <w:p w14:paraId="751D5858">
      <w:pPr>
        <w:pStyle w:val="11"/>
        <w:rPr>
          <w:rFonts w:hint="eastAsia" w:ascii="Times New Roman" w:hAnsi="Calibri" w:eastAsia="宋体" w:cs="Times New Roman"/>
          <w:sz w:val="21"/>
        </w:rPr>
      </w:pPr>
      <w:r>
        <w:rPr>
          <w:rFonts w:hint="eastAsia" w:ascii="Times New Roman" w:hAnsi="Calibri" w:eastAsia="宋体" w:cs="Times New Roman"/>
          <w:sz w:val="21"/>
        </w:rPr>
        <w:t>节点被表达出来之后，真正决定成效的还是执行过程跟踪。很多项目合同管理的问题，不是没有节点，而是节点只在发生时被临时提起，之后就迅速从视野中消失。开工条件是否齐备、分包是否按约进场、甲供材料是否按节点到位、图纸会审意见是否在约定周期内闭合，这些事项一旦缺少连续跟踪，就会在现场形成大量隐性拖延。到了后期，项目部只能看到结果失衡，却难以准确回溯偏差究竟是从哪一个节点开始累积的。</w:t>
      </w:r>
    </w:p>
    <w:p w14:paraId="30833550">
      <w:pPr>
        <w:pStyle w:val="11"/>
        <w:rPr>
          <w:rFonts w:hint="eastAsia" w:ascii="Times New Roman" w:hAnsi="Calibri" w:eastAsia="宋体" w:cs="Times New Roman"/>
          <w:sz w:val="21"/>
        </w:rPr>
      </w:pPr>
      <w:r>
        <w:rPr>
          <w:rFonts w:hint="eastAsia" w:ascii="Times New Roman" w:hAnsi="Calibri" w:eastAsia="宋体" w:cs="Times New Roman"/>
          <w:sz w:val="21"/>
        </w:rPr>
        <w:t>数字化跟踪的价值，正在于把节点状态由静态标记变成连续轨迹。节点何时发起、谁已响应、还缺什么条件、逾期多久、是否影响后续事项，都应沿着同一条链被看见。过程跟踪不只是为了监督，更重要的是为了及时协调。某一履约节点卡住后，项目部能够迅速判断问题是在现场执行层、资料审核层还是合同条件层，从而决定是补资料、调资源、催响应，还是调整后续计划。若没有这种跟踪机制，节点管理就容易变成阶段性检查，错过最佳修正时机。</w:t>
      </w:r>
    </w:p>
    <w:p w14:paraId="12587759">
      <w:pPr>
        <w:pStyle w:val="11"/>
        <w:rPr>
          <w:rFonts w:hint="eastAsia" w:ascii="Times New Roman" w:hAnsi="Calibri" w:eastAsia="宋体" w:cs="Times New Roman"/>
          <w:sz w:val="21"/>
        </w:rPr>
      </w:pPr>
      <w:r>
        <w:rPr>
          <w:rFonts w:hint="eastAsia" w:ascii="Times New Roman" w:hAnsi="Calibri" w:eastAsia="宋体" w:cs="Times New Roman"/>
          <w:sz w:val="21"/>
        </w:rPr>
        <w:t>从合同治理角度看，节点执行过程跟踪还有更深的作用，就是为责任分辨提供连续依据。合同争议最怕只剩结论没有过程，例如工期延误已经形成，但究竟是总包组织不力、分包响应迟缓，还是前置条件交付不到位，若过程轨迹缺失，后续往往只能各执一词。节点跟踪一旦做实，很多责任问题在施工阶段就能逐步看清，后续争议空间会明显收缩，合同管理也由被动解释转向主动控制。</w:t>
      </w:r>
    </w:p>
    <w:p w14:paraId="1AC9F5B0">
      <w:pPr>
        <w:pStyle w:val="4"/>
        <w:bidi w:val="0"/>
        <w:rPr>
          <w:rFonts w:hint="eastAsia"/>
        </w:rPr>
      </w:pPr>
      <w:r>
        <w:rPr>
          <w:rFonts w:hint="eastAsia"/>
        </w:rPr>
        <w:t>二、合同风险条款的在线管理</w:t>
      </w:r>
    </w:p>
    <w:p w14:paraId="50458B6D">
      <w:pPr>
        <w:pStyle w:val="11"/>
        <w:rPr>
          <w:rFonts w:hint="eastAsia" w:ascii="Times New Roman" w:hAnsi="Calibri" w:eastAsia="宋体" w:cs="Times New Roman"/>
          <w:sz w:val="21"/>
        </w:rPr>
      </w:pPr>
      <w:r>
        <w:rPr>
          <w:rFonts w:hint="eastAsia" w:ascii="Times New Roman" w:hAnsi="Calibri" w:eastAsia="宋体" w:cs="Times New Roman"/>
          <w:sz w:val="21"/>
        </w:rPr>
        <w:t>（一）高风险条款识别</w:t>
      </w:r>
    </w:p>
    <w:p w14:paraId="54BB2994">
      <w:pPr>
        <w:pStyle w:val="11"/>
        <w:rPr>
          <w:rFonts w:hint="eastAsia" w:ascii="Times New Roman" w:hAnsi="Calibri" w:eastAsia="宋体" w:cs="Times New Roman"/>
          <w:sz w:val="21"/>
        </w:rPr>
      </w:pPr>
      <w:r>
        <w:rPr>
          <w:rFonts w:hint="eastAsia" w:ascii="Times New Roman" w:hAnsi="Calibri" w:eastAsia="宋体" w:cs="Times New Roman"/>
          <w:sz w:val="21"/>
        </w:rPr>
        <w:t>并非合同中的所有条款都需要同等强度的在线管理。真正需要重点盯住的，通常是那些一旦失守就会迅速引发工期争议、支付冲突、索赔扩大或责任倒挂的高风险条款。施工实践中较常见的高风险内容，主要集中在工期责任、工程款支付条件、价差调整规则、变更签证边界、违约责任、索赔时效、质量缺陷责任和资料移交要求等方面。这些条款之所以风险高，不只是因为金额大，更因为它们与现场日常业务联系紧密，稍有脱节，后果就会沿着进度、成本和结算链条向后传导。</w:t>
      </w:r>
    </w:p>
    <w:p w14:paraId="1266BCCC">
      <w:pPr>
        <w:pStyle w:val="11"/>
        <w:rPr>
          <w:rFonts w:hint="eastAsia" w:ascii="Times New Roman" w:hAnsi="Calibri" w:eastAsia="宋体" w:cs="Times New Roman"/>
          <w:sz w:val="21"/>
        </w:rPr>
      </w:pPr>
      <w:r>
        <w:rPr>
          <w:rFonts w:hint="eastAsia" w:ascii="Times New Roman" w:hAnsi="Calibri" w:eastAsia="宋体" w:cs="Times New Roman"/>
          <w:sz w:val="21"/>
        </w:rPr>
        <w:t>高风险条款识别的核心，不在于法律上把条款分得多细，而在于判断哪些条款最容易在执行中被忽略、被误读或被延迟触发。比如工期条款看似简单，实则往往嵌套了开工条件、停工免责、顺延程序和节点责任等多层内容；支付条款也不仅是付款日期，还涉及计量依据、审核周期、发票条件和资料完整度。若项目部只把这些条款理解为商务问题，而不把它们放进生产组织和现场协同之中，条款风险迟早会在实施阶段显现。数字化管理的第一步，就是把这类条款从合同全文中识别出来，放到项目运行中持续观察。</w:t>
      </w:r>
    </w:p>
    <w:p w14:paraId="4DAE8FAB">
      <w:pPr>
        <w:pStyle w:val="11"/>
        <w:rPr>
          <w:rFonts w:hint="eastAsia" w:ascii="Times New Roman" w:hAnsi="Calibri" w:eastAsia="宋体" w:cs="Times New Roman"/>
          <w:sz w:val="21"/>
        </w:rPr>
      </w:pPr>
      <w:r>
        <w:rPr>
          <w:rFonts w:hint="eastAsia" w:ascii="Times New Roman" w:hAnsi="Calibri" w:eastAsia="宋体" w:cs="Times New Roman"/>
          <w:sz w:val="21"/>
        </w:rPr>
        <w:t>高风险条款识别还应体现项目差异。工期紧、专业交叉密集的项目，更应把节点责任、工序移交和顺延程序作为重点；支付链条长、分包层次多的项目，则更应关注计量规则、付款条件和资料完整性；变更多、甲供材料比重高的项目，还需提高对价差、认价和责任边界条款的敏感度。只有风险识别真正贴近项目合同结构和实施环境，后续在线管理才不会流于平均用力。</w:t>
      </w:r>
    </w:p>
    <w:p w14:paraId="5F23DC50">
      <w:pPr>
        <w:pStyle w:val="11"/>
        <w:rPr>
          <w:rFonts w:hint="eastAsia" w:ascii="Times New Roman" w:hAnsi="Calibri" w:eastAsia="宋体" w:cs="Times New Roman"/>
          <w:sz w:val="21"/>
        </w:rPr>
      </w:pPr>
      <w:r>
        <w:rPr>
          <w:rFonts w:hint="eastAsia" w:ascii="Times New Roman" w:hAnsi="Calibri" w:eastAsia="宋体" w:cs="Times New Roman"/>
          <w:sz w:val="21"/>
        </w:rPr>
        <w:t>（二）风险提示机制建立</w:t>
      </w:r>
    </w:p>
    <w:p w14:paraId="6B0CB4C8">
      <w:pPr>
        <w:pStyle w:val="11"/>
        <w:rPr>
          <w:rFonts w:hint="eastAsia" w:ascii="Times New Roman" w:hAnsi="Calibri" w:eastAsia="宋体" w:cs="Times New Roman"/>
          <w:sz w:val="21"/>
        </w:rPr>
      </w:pPr>
      <w:r>
        <w:rPr>
          <w:rFonts w:hint="eastAsia" w:ascii="Times New Roman" w:hAnsi="Calibri" w:eastAsia="宋体" w:cs="Times New Roman"/>
          <w:sz w:val="21"/>
        </w:rPr>
        <w:t>识别出高风险条款后，还必须建立动态提示机制。合同条款真正难的地方，不是内容复杂，而是它的风险往往具有滞后性。今天没有及时完成资料报审，短期看只是审批拖了几天，后面却可能影响产值确认和付款节点；某次变更没有在约定期限内形成确认意见，当下似乎还能继续施工，后面却可能直接削弱索赔依据。风险提示机制的意义，正是在这些后果尚未全面显现之前，把条款风险提前推到管理者面前。</w:t>
      </w:r>
    </w:p>
    <w:p w14:paraId="356F2EA9">
      <w:pPr>
        <w:pStyle w:val="11"/>
        <w:rPr>
          <w:rFonts w:hint="eastAsia" w:ascii="Times New Roman" w:hAnsi="Calibri" w:eastAsia="宋体" w:cs="Times New Roman"/>
          <w:sz w:val="21"/>
        </w:rPr>
      </w:pPr>
      <w:r>
        <w:rPr>
          <w:rFonts w:hint="eastAsia" w:ascii="Times New Roman" w:hAnsi="Calibri" w:eastAsia="宋体" w:cs="Times New Roman"/>
          <w:sz w:val="21"/>
        </w:rPr>
        <w:t>有效的提示机制应当兼顾时间提示、条件提示和偏差提示。时间提示解决节点临近或逾期问题，条件提示解决条款触发前提是否已经满足，偏差提示则识别执行状态是否与合同要求发生明显背离。这样形成的管理逻辑，不再把合同看成一份静态文件，而是把它理解为一组持续生效的规则源。风险提示真正有价值的地方，也不只是提醒“需要关注”，而是尽量指出“风险从哪里开始形成、当前卡在什么地方、若不处理会影响哪些后续事项”。只有做到这一步，提示才不会沦为空泛通知。</w:t>
      </w:r>
    </w:p>
    <w:p w14:paraId="19B17367">
      <w:pPr>
        <w:pStyle w:val="11"/>
        <w:rPr>
          <w:rFonts w:hint="eastAsia" w:ascii="Times New Roman" w:hAnsi="Calibri" w:eastAsia="宋体" w:cs="Times New Roman"/>
          <w:sz w:val="21"/>
        </w:rPr>
      </w:pPr>
      <w:r>
        <w:rPr>
          <w:rFonts w:hint="eastAsia" w:ascii="Times New Roman" w:hAnsi="Calibri" w:eastAsia="宋体" w:cs="Times New Roman"/>
          <w:sz w:val="21"/>
        </w:rPr>
        <w:t>比较稳妥的做法，是把风险提示分层处理。一般风险提示可面向经办岗位和专业负责人，高等级风险则应直接推送至项目经理、商务负责人乃至建设单位协同链条。原因在于，合同风险本身具有扩散性，越接近核心支付边界、工期边界和责任边界的问题，越不能只停留在单一岗位消化。提示机制建立得越清楚，项目部对合同偏差的反应就越靠前，很多本来可能在结算阶段集中爆发的矛盾，也越有机会在施工过程中被分散化解。</w:t>
      </w:r>
    </w:p>
    <w:p w14:paraId="192845E3">
      <w:pPr>
        <w:pStyle w:val="11"/>
        <w:rPr>
          <w:rFonts w:hint="eastAsia" w:ascii="Times New Roman" w:hAnsi="Calibri" w:eastAsia="宋体" w:cs="Times New Roman"/>
          <w:sz w:val="21"/>
        </w:rPr>
      </w:pPr>
      <w:r>
        <w:rPr>
          <w:rFonts w:hint="eastAsia" w:ascii="Times New Roman" w:hAnsi="Calibri" w:eastAsia="宋体" w:cs="Times New Roman"/>
          <w:sz w:val="21"/>
        </w:rPr>
        <w:t>（三）风险应对记录留痕</w:t>
      </w:r>
    </w:p>
    <w:p w14:paraId="080CE63D">
      <w:pPr>
        <w:pStyle w:val="11"/>
        <w:rPr>
          <w:rFonts w:hint="eastAsia" w:ascii="Times New Roman" w:hAnsi="Calibri" w:eastAsia="宋体" w:cs="Times New Roman"/>
          <w:sz w:val="21"/>
        </w:rPr>
      </w:pPr>
      <w:r>
        <w:rPr>
          <w:rFonts w:hint="eastAsia" w:ascii="Times New Roman" w:hAnsi="Calibri" w:eastAsia="宋体" w:cs="Times New Roman"/>
          <w:sz w:val="21"/>
        </w:rPr>
        <w:t>风险提示出现之后，最容易被忽视的是应对过程记录。很多项目能够发现合同风险，也会组织协调，但协调方式多停留在会议讨论、电话沟通和临时通知层面，后续真正进入争议阶段时，往往说得出曾经处理过，却拿不出持续、完整、可核验的处理轨迹。在线管理之所以重要，恰恰在于它不仅提示风险，更要求把应对动作本身留下来。谁收到提示、谁作出判断、采取了什么措施、何时完成补救、最终是否消除了风险，都应沿着同一条链被稳定记录。</w:t>
      </w:r>
    </w:p>
    <w:p w14:paraId="50F67C8D">
      <w:pPr>
        <w:pStyle w:val="11"/>
        <w:rPr>
          <w:rFonts w:hint="eastAsia" w:ascii="Times New Roman" w:hAnsi="Calibri" w:eastAsia="宋体" w:cs="Times New Roman"/>
          <w:sz w:val="21"/>
        </w:rPr>
      </w:pPr>
      <w:r>
        <w:rPr>
          <w:rFonts w:hint="eastAsia" w:ascii="Times New Roman" w:hAnsi="Calibri" w:eastAsia="宋体" w:cs="Times New Roman"/>
          <w:sz w:val="21"/>
        </w:rPr>
        <w:t>这种留痕不是为了增加形式负担，而是为了让合同风险应对真正成为项目治理的一部分。工期顺延是否发起，资料缺项是否补齐，付款条件是否满足，违约争议是否已完成协商，若这些动作只有结果没有过程，后续依然很难说明项目部是否尽到了合理管理义务。反过来看，应对记录一旦清楚，项目部不仅能为后续争议提供依据，还能在项目进行中不断复盘：哪些条款最常出问题，哪些提示总是响应慢，哪些协调措施效果最好。在线留痕因此不只是证据保全，更是管理学习机制。</w:t>
      </w:r>
    </w:p>
    <w:p w14:paraId="7ADA5FDF">
      <w:pPr>
        <w:pStyle w:val="11"/>
        <w:rPr>
          <w:rFonts w:hint="eastAsia" w:ascii="Times New Roman" w:hAnsi="Calibri" w:eastAsia="宋体" w:cs="Times New Roman"/>
          <w:sz w:val="21"/>
        </w:rPr>
      </w:pPr>
      <w:r>
        <w:rPr>
          <w:rFonts w:hint="eastAsia" w:ascii="Times New Roman" w:hAnsi="Calibri" w:eastAsia="宋体" w:cs="Times New Roman"/>
          <w:sz w:val="21"/>
        </w:rPr>
        <w:t>更重要的是，风险应对记录能够把原本分散在商务、生产、技术、采购和现场管理之间的处理动作统一起来。很多合同问题之所以久拖不决，并不是没人处理，而是每个岗位都只处理自己看到的那一段，最后整体轨迹难以还原。留痕一旦沿着同一事项链持续展开，项目部就能更清楚地看见合同风险在什么节点被发现、由什么动作被压住、又是在哪个环节再次扩散。这样形成的管理过程，才真正具备协同价值。</w:t>
      </w:r>
    </w:p>
    <w:p w14:paraId="5900E544">
      <w:pPr>
        <w:pStyle w:val="4"/>
        <w:bidi w:val="0"/>
        <w:rPr>
          <w:rFonts w:hint="eastAsia"/>
        </w:rPr>
      </w:pPr>
      <w:r>
        <w:rPr>
          <w:rFonts w:hint="eastAsia"/>
        </w:rPr>
        <w:t>三、合同履约数据与现场业务联动</w:t>
      </w:r>
    </w:p>
    <w:p w14:paraId="52A5410B">
      <w:pPr>
        <w:pStyle w:val="11"/>
        <w:rPr>
          <w:rFonts w:hint="eastAsia" w:ascii="Times New Roman" w:hAnsi="Calibri" w:eastAsia="宋体" w:cs="Times New Roman"/>
          <w:sz w:val="21"/>
        </w:rPr>
      </w:pPr>
      <w:r>
        <w:rPr>
          <w:rFonts w:hint="eastAsia" w:ascii="Times New Roman" w:hAnsi="Calibri" w:eastAsia="宋体" w:cs="Times New Roman"/>
          <w:sz w:val="21"/>
        </w:rPr>
        <w:t>（一）履约数据与进度联动</w:t>
      </w:r>
    </w:p>
    <w:p w14:paraId="2E782FC6">
      <w:pPr>
        <w:pStyle w:val="11"/>
        <w:rPr>
          <w:rFonts w:hint="eastAsia" w:ascii="Times New Roman" w:hAnsi="Calibri" w:eastAsia="宋体" w:cs="Times New Roman"/>
          <w:sz w:val="21"/>
        </w:rPr>
      </w:pPr>
      <w:r>
        <w:rPr>
          <w:rFonts w:hint="eastAsia" w:ascii="Times New Roman" w:hAnsi="Calibri" w:eastAsia="宋体" w:cs="Times New Roman"/>
          <w:sz w:val="21"/>
        </w:rPr>
        <w:t>合同执行若脱离现场进度，就会出现一种很常见的失真：合同上看节点已到，现场上却并不具备履约条件；现场上看工作已完成，合同上却尚未形成可确认状态。二者一旦分离，项目部就会在支付、责任认定和工期判断上不断出现偏差。履约数据与进度联动的意义，就在于让合同义务始终贴着施工组织走。计划推进到哪里，合同责任应同步看到哪里；节点完成了多少，履约状态也应同步更新多少。这样，合同不再是独立于生产系统之外的商务文本，而成为进度管理中的一条约束线。</w:t>
      </w:r>
    </w:p>
    <w:p w14:paraId="13DB6E5F">
      <w:pPr>
        <w:pStyle w:val="11"/>
        <w:rPr>
          <w:rFonts w:hint="eastAsia" w:ascii="Times New Roman" w:hAnsi="Calibri" w:eastAsia="宋体" w:cs="Times New Roman"/>
          <w:sz w:val="21"/>
        </w:rPr>
      </w:pPr>
      <w:r>
        <w:rPr>
          <w:rFonts w:hint="eastAsia" w:ascii="Times New Roman" w:hAnsi="Calibri" w:eastAsia="宋体" w:cs="Times New Roman"/>
          <w:sz w:val="21"/>
        </w:rPr>
        <w:t>更具体地说，履约数据进入进度链条后，项目部能够更准确地判断哪些偏差只是施工组织问题，哪些已经开始转化为合同履约问题。例如某一专业分包虽在现场持续作业，但若其合同约定的阶段性成果尚未满足验收标准，就不能简单认定为节点已经履行；反之，某项工作虽然实体完成较早，若因前置图纸交付滞后而整体滞后，也不能把全部责任归到施工方。这种联动判断，能够显著提升工期责任分析的准确性。</w:t>
      </w:r>
    </w:p>
    <w:p w14:paraId="76E5A2AC">
      <w:pPr>
        <w:pStyle w:val="11"/>
        <w:rPr>
          <w:rFonts w:hint="eastAsia" w:ascii="Times New Roman" w:hAnsi="Calibri" w:eastAsia="宋体" w:cs="Times New Roman"/>
          <w:sz w:val="21"/>
        </w:rPr>
      </w:pPr>
      <w:r>
        <w:rPr>
          <w:rFonts w:hint="eastAsia" w:ascii="Times New Roman" w:hAnsi="Calibri" w:eastAsia="宋体" w:cs="Times New Roman"/>
          <w:sz w:val="21"/>
        </w:rPr>
        <w:t>履约数据与进度联动还会改变项目部看待节点的方式。过去计划节点更多是施工组织目标，合同节点更多是商务管控目标，二者在实际运行中常常各走一条线。数字化协同之后，施工节点、合同节点和资料节点开始围绕同一事实链条相互对应。项目部能够更早看见“进度虽在推进，但合同确认条件并未同步成熟”这一类隐性风险，也能更及时识别“合同义务已到期，但施工组织尚未提供履约基础”这一类结构性问题。这样一来，合同管理就真正进入了生产过程，而不是停留在生产之后。</w:t>
      </w:r>
    </w:p>
    <w:p w14:paraId="550B3B39">
      <w:pPr>
        <w:pStyle w:val="11"/>
        <w:rPr>
          <w:rFonts w:hint="eastAsia" w:ascii="Times New Roman" w:hAnsi="Calibri" w:eastAsia="宋体" w:cs="Times New Roman"/>
          <w:sz w:val="21"/>
        </w:rPr>
      </w:pPr>
      <w:r>
        <w:rPr>
          <w:rFonts w:hint="eastAsia" w:ascii="Times New Roman" w:hAnsi="Calibri" w:eastAsia="宋体" w:cs="Times New Roman"/>
          <w:sz w:val="21"/>
        </w:rPr>
        <w:t>（二）履约数据与成本联动</w:t>
      </w:r>
    </w:p>
    <w:p w14:paraId="3056B8BE">
      <w:pPr>
        <w:pStyle w:val="11"/>
        <w:rPr>
          <w:rFonts w:hint="eastAsia" w:ascii="Times New Roman" w:hAnsi="Calibri" w:eastAsia="宋体" w:cs="Times New Roman"/>
          <w:sz w:val="21"/>
        </w:rPr>
      </w:pPr>
      <w:r>
        <w:rPr>
          <w:rFonts w:hint="eastAsia" w:ascii="Times New Roman" w:hAnsi="Calibri" w:eastAsia="宋体" w:cs="Times New Roman"/>
          <w:sz w:val="21"/>
        </w:rPr>
        <w:t>合同履约数据与成本之间的关系，比很多项目想象得更紧密。施工阶段大量成本偏差，最终都会在合同边界上找到投影。某项分包任务提前或滞后，会影响资源投入和机械使用；某类付款条件迟迟不能满足，会改变现金流安排和供应策略；某次变更确认滞后，也会使已经发生的费用长期处于边界不明状态。若成本系统只看金额变化，而不看背后的履约状态，很多偏差就只能被动解释，难以前移控制。</w:t>
      </w:r>
    </w:p>
    <w:p w14:paraId="624D9298">
      <w:pPr>
        <w:pStyle w:val="11"/>
        <w:rPr>
          <w:rFonts w:hint="eastAsia" w:ascii="Times New Roman" w:hAnsi="Calibri" w:eastAsia="宋体" w:cs="Times New Roman"/>
          <w:sz w:val="21"/>
        </w:rPr>
      </w:pPr>
      <w:r>
        <w:rPr>
          <w:rFonts w:hint="eastAsia" w:ascii="Times New Roman" w:hAnsi="Calibri" w:eastAsia="宋体" w:cs="Times New Roman"/>
          <w:sz w:val="21"/>
        </w:rPr>
        <w:t>把履约数据与成本联动起来，能够帮助项目部更早识别成本异常的真正来源。月度产值确认与合同节点是否一致，签证索赔是否具备履约依据，支付申请是否满足约定条件，分包结算是否已有足够过程记录，这些问题都不是单纯的商务问题，而直接关系成本判断的可靠性。履约数据进入成本链条之后，项目部看到的不再只是“花了多少钱”，而会逐步看到“这些钱是在什么合同状态下发生的、是否已经具备确认基础、是否存在后续争议风险”。这种认识变化，对造价控制尤为重要，因为它把成本管理由金额分析推向合同状态分析。</w:t>
      </w:r>
    </w:p>
    <w:p w14:paraId="0281A7EB">
      <w:pPr>
        <w:pStyle w:val="11"/>
        <w:rPr>
          <w:rFonts w:hint="eastAsia" w:ascii="Times New Roman" w:hAnsi="Calibri" w:eastAsia="宋体" w:cs="Times New Roman"/>
          <w:sz w:val="21"/>
        </w:rPr>
      </w:pPr>
      <w:r>
        <w:rPr>
          <w:rFonts w:hint="eastAsia" w:ascii="Times New Roman" w:hAnsi="Calibri" w:eastAsia="宋体" w:cs="Times New Roman"/>
          <w:sz w:val="21"/>
        </w:rPr>
        <w:t>履约数据与成本联动还能够压缩事后解释空间。过去很多成本偏差到月末或阶段结算时才集中暴露，原因并不是中间没有迹象，而是合同状态、现场完成和成本归集没有被同步观察。联动之后，项目部能够更早知道哪些费用已经发生却缺乏确认基础，哪些资源投入已超出合同约束范围，哪些支付申请虽已准备却仍缺关键条件。这样形成的控制逻辑，会把很多本来延后到结算阶段处理的问题，提前拉回到施工阶段消化。</w:t>
      </w:r>
    </w:p>
    <w:p w14:paraId="7233AA39">
      <w:pPr>
        <w:pStyle w:val="11"/>
        <w:rPr>
          <w:rFonts w:hint="eastAsia" w:ascii="Times New Roman" w:hAnsi="Calibri" w:eastAsia="宋体" w:cs="Times New Roman"/>
          <w:sz w:val="21"/>
        </w:rPr>
      </w:pPr>
      <w:r>
        <w:rPr>
          <w:rFonts w:hint="eastAsia" w:ascii="Times New Roman" w:hAnsi="Calibri" w:eastAsia="宋体" w:cs="Times New Roman"/>
          <w:sz w:val="21"/>
        </w:rPr>
        <w:t>（三）履约偏差反馈机制</w:t>
      </w:r>
    </w:p>
    <w:p w14:paraId="31F8D750">
      <w:pPr>
        <w:pStyle w:val="11"/>
        <w:rPr>
          <w:rFonts w:hint="eastAsia" w:ascii="Times New Roman" w:hAnsi="Calibri" w:eastAsia="宋体" w:cs="Times New Roman"/>
          <w:sz w:val="21"/>
        </w:rPr>
      </w:pPr>
      <w:r>
        <w:rPr>
          <w:rFonts w:hint="eastAsia" w:ascii="Times New Roman" w:hAnsi="Calibri" w:eastAsia="宋体" w:cs="Times New Roman"/>
          <w:sz w:val="21"/>
        </w:rPr>
        <w:t>履约数据最终还要回到反馈机制上来。项目中真正棘手的，不是偶尔出现一次合同偏差，而是偏差出现之后不能及时进入管理纠正。节点已超时、资料未闭合、付款条件不足、价差处理滞后，这些偏差若只是停留在系统界面上，合同管理就仍然是被动的。反馈机制的任务，就是把偏差由“被看见”转化为“被处理”。谁负责核实偏差，谁负责提出纠正方案，谁负责协调相关岗位，谁负责确认偏差消除，都应形成明确路径。</w:t>
      </w:r>
    </w:p>
    <w:p w14:paraId="16FA9200">
      <w:pPr>
        <w:pStyle w:val="11"/>
        <w:rPr>
          <w:rFonts w:hint="eastAsia" w:ascii="Times New Roman" w:hAnsi="Calibri" w:eastAsia="宋体" w:cs="Times New Roman"/>
          <w:sz w:val="21"/>
        </w:rPr>
      </w:pPr>
      <w:r>
        <w:rPr>
          <w:rFonts w:hint="eastAsia" w:ascii="Times New Roman" w:hAnsi="Calibri" w:eastAsia="宋体" w:cs="Times New Roman"/>
          <w:sz w:val="21"/>
        </w:rPr>
        <w:t>更适合工程现场的反馈机制，应当是一种跨部门协同机制，而不是商务岗位单边工作。因为合同偏差往往并不只由合同本身引起，很多时候是进度、质量、资料、采购和现场组织共同作用的结果。节点失守，可能是现场计划问题；付款受阻，可能是资料链不完整；索赔基础薄弱，也可能是过程记录缺失。反馈机制如果只在商务口内部循环，往往难以真正解决问题。只有把生产、技术、质量、安全、采购和商务岗位一起纳入偏差处理链条，合同履约数据才会真正与现场业务形成闭合。</w:t>
      </w:r>
    </w:p>
    <w:p w14:paraId="476E4697">
      <w:pPr>
        <w:pStyle w:val="11"/>
        <w:rPr>
          <w:rFonts w:ascii="Times New Roman" w:hAnsi="Calibri" w:eastAsia="宋体" w:cs="Times New Roman"/>
          <w:sz w:val="21"/>
        </w:rPr>
      </w:pPr>
      <w:r>
        <w:rPr>
          <w:rFonts w:hint="eastAsia" w:ascii="Times New Roman" w:hAnsi="Calibri" w:eastAsia="宋体" w:cs="Times New Roman"/>
          <w:sz w:val="21"/>
        </w:rPr>
        <w:t>反馈机制还有一个更深的价值，就是把合同由后端解释规则重新推回前端运行规则。合同履约的数字化协同，并不只是为了让合同管理更方便，而是为了让现场各岗位在施工过程中始终知道哪些行为会影响履约、哪些偏差会扩大为支付和结算风险、哪些节点必须在当下就处理到位。偏差一旦能够及时反馈、及时协调、及时销项，合同就不再只是结算阶段的依据，而真正成为项目全过程的运行边界和协同规则。</w:t>
      </w:r>
    </w:p>
    <w:p w14:paraId="76650BBF">
      <w:pPr>
        <w:pStyle w:val="3"/>
        <w:numPr>
          <w:ilvl w:val="0"/>
          <w:numId w:val="0"/>
        </w:numPr>
        <w:ind w:left="0" w:leftChars="0" w:firstLine="0" w:firstLineChars="0"/>
        <w:rPr>
          <w:b/>
        </w:rPr>
      </w:pPr>
      <w:bookmarkStart w:id="31" w:name="_Toc303"/>
      <w:r>
        <w:rPr>
          <w:rFonts w:hint="eastAsia" w:ascii="宋体" w:hAnsi="宋体" w:eastAsia="黑体" w:cs="宋体"/>
          <w:b/>
          <w:bCs/>
          <w:kern w:val="44"/>
          <w:sz w:val="30"/>
          <w:szCs w:val="30"/>
        </w:rPr>
        <w:t>第五节</w:t>
      </w:r>
      <w:r>
        <w:rPr>
          <w:rFonts w:hint="eastAsia" w:cs="宋体"/>
          <w:b/>
          <w:bCs/>
          <w:kern w:val="44"/>
          <w:sz w:val="30"/>
          <w:szCs w:val="30"/>
          <w:lang w:val="en-US" w:eastAsia="zh-CN"/>
        </w:rPr>
        <w:t xml:space="preserve"> </w:t>
      </w:r>
      <w:r>
        <w:t>结算审核与财政评审</w:t>
      </w:r>
      <w:bookmarkEnd w:id="31"/>
      <w:r>
        <w:t xml:space="preserve">   </w:t>
      </w:r>
    </w:p>
    <w:p w14:paraId="2A8E0469">
      <w:pPr>
        <w:pStyle w:val="4"/>
        <w:numPr>
          <w:ilvl w:val="0"/>
          <w:numId w:val="0"/>
        </w:numPr>
        <w:topLinePunct w:val="0"/>
        <w:ind w:left="0" w:leftChars="0" w:firstLine="422" w:firstLineChars="0"/>
        <w:rPr>
          <w:b/>
        </w:rPr>
      </w:pPr>
      <w:r>
        <w:rPr>
          <w:rFonts w:hint="eastAsia" w:ascii="黑体" w:hAnsi="黑体" w:eastAsia="黑体" w:cs="黑体"/>
          <w:b/>
          <w:sz w:val="21"/>
        </w:rPr>
        <w:t>一、</w:t>
      </w:r>
      <w:r>
        <w:t>结算送审资料的数字化整理</w:t>
      </w:r>
    </w:p>
    <w:p w14:paraId="581CF1B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送审资料目录的结构化重组</w:t>
      </w:r>
    </w:p>
    <w:p w14:paraId="362FD2FB">
      <w:pPr>
        <w:pStyle w:val="11"/>
        <w:rPr>
          <w:rFonts w:ascii="Times New Roman" w:hAnsi="Calibri" w:eastAsia="宋体" w:cs="Times New Roman"/>
          <w:sz w:val="21"/>
        </w:rPr>
      </w:pPr>
      <w:r>
        <w:rPr>
          <w:rFonts w:ascii="Times New Roman" w:hAnsi="Calibri" w:eastAsia="宋体" w:cs="Times New Roman"/>
          <w:sz w:val="21"/>
        </w:rPr>
        <w:t>工程结算进入送审阶段后，最容易出现的表面问题是资料多、表单杂、版本乱，真正更深的难题却是资料之间缺少稳定的对应关系。许多项目在施工阶段积累了大量签证、变更、报验、计量、往来函件和影像记录，看上去证据充足，到了结算环节却仍然反复补件，原因并不在于材料数量不够，而在于这些材料没有按结算逻辑重新组织。数字化整理的起点，不是把纸质资料全部扫描上传，而是把送审目录从文件堆叠改造成结构清晰的证据体系，使审查人员能够迅速判断每一类资料对应哪项结算内容、支撑哪一笔价款调整、处于哪一段业务链条之中。</w:t>
      </w:r>
    </w:p>
    <w:p w14:paraId="4C7D6B2A">
      <w:pPr>
        <w:pStyle w:val="11"/>
        <w:rPr>
          <w:rFonts w:ascii="Times New Roman" w:hAnsi="Calibri" w:eastAsia="宋体" w:cs="Times New Roman"/>
          <w:sz w:val="21"/>
        </w:rPr>
      </w:pPr>
      <w:r>
        <w:rPr>
          <w:rFonts w:ascii="Times New Roman" w:hAnsi="Calibri" w:eastAsia="宋体" w:cs="Times New Roman"/>
          <w:sz w:val="21"/>
        </w:rPr>
        <w:t>更稳妥的做法，是围绕合同基础、工程事实、价款调整、支付过程和竣工确认五类主线重构目录。合同基础解决结算边界，工程事实解决项目到底做了什么，价款调整解释为什么会与原合同价格不同，支付过程反映前期已确认和已支付情况，竣工确认则把最终移交、验收和完成状态收束到结算终点。目录一旦按这种方式重组，结算资料就不再是分散保存的施工档案，而成为能够直接服务审核判断的送审成果。结算整理真正有效时，最明显的变化不是文件变整齐，而是任何一项金额变化都能沿着目录快速追到来源和依据。</w:t>
      </w:r>
    </w:p>
    <w:p w14:paraId="785E042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过程证据链的连续归集</w:t>
      </w:r>
    </w:p>
    <w:p w14:paraId="572B4FFC">
      <w:pPr>
        <w:pStyle w:val="11"/>
        <w:rPr>
          <w:rFonts w:ascii="Times New Roman" w:hAnsi="Calibri" w:eastAsia="宋体" w:cs="Times New Roman"/>
          <w:sz w:val="21"/>
        </w:rPr>
      </w:pPr>
      <w:r>
        <w:rPr>
          <w:rFonts w:ascii="Times New Roman" w:hAnsi="Calibri" w:eastAsia="宋体" w:cs="Times New Roman"/>
          <w:sz w:val="21"/>
        </w:rPr>
        <w:t>结算送审资料的核心，不是最终表格做得多完整，而是过程证据链是否连续。工程结算中最常见的争议，往往并不发生在定额套用或取费标准本身，而是发生在事实链断裂处。设计变更有通知却缺执行记录，签证有现场照片却缺责任确认，工程量有报审表却缺对应部位，价差调整有询价资料却缺时间边界，这些问题一旦进入结算阶段，就会让本来可以说明白的事项变成长期拉锯。数字化整理的价值，正在于把原本散落在施工全过程中的证据重新串起来，形成可以首尾对应的连续链条。</w:t>
      </w:r>
    </w:p>
    <w:p w14:paraId="22DB9B19">
      <w:pPr>
        <w:pStyle w:val="11"/>
        <w:rPr>
          <w:rFonts w:ascii="Times New Roman" w:hAnsi="Calibri" w:eastAsia="宋体" w:cs="Times New Roman"/>
          <w:sz w:val="21"/>
        </w:rPr>
      </w:pPr>
      <w:r>
        <w:rPr>
          <w:rFonts w:hint="eastAsia" w:ascii="Times New Roman" w:hAnsi="Calibri" w:eastAsia="宋体" w:cs="Times New Roman"/>
          <w:sz w:val="21"/>
        </w:rPr>
        <w:t>更可将结算资料理解为一种回溯式管理</w:t>
      </w:r>
      <w:r>
        <w:rPr>
          <w:rFonts w:ascii="Times New Roman" w:hAnsi="Calibri" w:eastAsia="宋体" w:cs="Times New Roman"/>
          <w:sz w:val="21"/>
        </w:rPr>
        <w:t>。结算人员并不是在项目结束后重新创造一套数据，而是在已有数字足迹基础上，重新辨认每一项经济结果是怎样形成的。某次变更为什么发生，何时提出，谁批准，做了多少，对应哪些部位，是否已经在过程计量中反映，是否与后续支付重复，若这些问题都能在资料链中找到位置，结算审核就会由经验争论转向事实核验。也正因为如此，过程证据链归集不能只在竣工后临时组织，而应尽量利用施工阶段已经形成的电子台账、审批记录和影像留痕，把它们按结算逻辑重新归并。证据链越连续，结算解释成本越低，审价争议的空间也越小。</w:t>
      </w:r>
    </w:p>
    <w:p w14:paraId="6582077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工程量与价款依据的一致性核验</w:t>
      </w:r>
    </w:p>
    <w:p w14:paraId="67481B4B">
      <w:pPr>
        <w:pStyle w:val="11"/>
        <w:rPr>
          <w:rFonts w:ascii="Times New Roman" w:hAnsi="Calibri" w:eastAsia="宋体" w:cs="Times New Roman"/>
          <w:sz w:val="21"/>
        </w:rPr>
      </w:pPr>
      <w:r>
        <w:rPr>
          <w:rFonts w:ascii="Times New Roman" w:hAnsi="Calibri" w:eastAsia="宋体" w:cs="Times New Roman"/>
          <w:sz w:val="21"/>
        </w:rPr>
        <w:t>到了送审阶段，最需要警惕的并不是单项资料缺失，而是工程量依据与价款依据彼此脱节。工程量反映做了多少，价款依据解释按什么规则计价，这两者若不能稳定对应，再完备的资料也难以支撑可靠结算。实践中常见的情况是，工程量取自竣工图或现场签认，价款调整却依据另一套变更口径；某些签证在数量上被认可，却没有与合同单价、补充协议或市场认价形成闭合；还有一些项目在送审时把过程计量、竣工工程量和结算工程量混在一起，导致审查人员难以判断重复与遗漏。</w:t>
      </w:r>
    </w:p>
    <w:p w14:paraId="539EB04E">
      <w:pPr>
        <w:pStyle w:val="11"/>
        <w:rPr>
          <w:rFonts w:ascii="Times New Roman" w:hAnsi="Calibri" w:eastAsia="宋体" w:cs="Times New Roman"/>
          <w:sz w:val="21"/>
        </w:rPr>
      </w:pPr>
      <w:r>
        <w:rPr>
          <w:rFonts w:ascii="Times New Roman" w:hAnsi="Calibri" w:eastAsia="宋体" w:cs="Times New Roman"/>
          <w:sz w:val="21"/>
        </w:rPr>
        <w:t>数字化整理必须在这一环节建立一致性核验机制。每一项新增或调整价款，都应能回答四个问题：对应的工程事实是什么，对应的工程量来源是什么，对应的计价规则是什么，是否已经在前期支付中部分体现。只有把这四层关系拉通，送审成果才真正具备可审性。这里最重要的，不是把表格做得更复杂，而是让量与价能够互相指认。送审资料如果只能证明做了事，却不能说明如何计价，审核就会停在事实层；若只能说明计价方法，却不能证明工程事实，审核又会停在规则层。量价一致的真正意义，在于让结算从</w:t>
      </w:r>
      <w:r>
        <w:rPr>
          <w:rFonts w:hint="eastAsia" w:ascii="Times New Roman" w:hAnsi="Times New Roman" w:eastAsia="宋体" w:cs="Times New Roman"/>
          <w:sz w:val="21"/>
          <w:lang w:eastAsia="zh-CN"/>
        </w:rPr>
        <w:t>“</w:t>
      </w:r>
      <w:r>
        <w:rPr>
          <w:rFonts w:ascii="Times New Roman" w:hAnsi="Calibri" w:eastAsia="宋体" w:cs="Times New Roman"/>
          <w:sz w:val="21"/>
        </w:rPr>
        <w:t>各自有理</w:t>
      </w:r>
      <w:r>
        <w:rPr>
          <w:rFonts w:hint="eastAsia" w:ascii="Times New Roman" w:hAnsi="Times New Roman" w:eastAsia="宋体" w:cs="Times New Roman"/>
          <w:sz w:val="21"/>
          <w:lang w:eastAsia="zh-CN"/>
        </w:rPr>
        <w:t>”</w:t>
      </w:r>
      <w:r>
        <w:rPr>
          <w:rFonts w:ascii="Times New Roman" w:hAnsi="Calibri" w:eastAsia="宋体" w:cs="Times New Roman"/>
          <w:sz w:val="21"/>
        </w:rPr>
        <w:t>走向</w:t>
      </w:r>
      <w:r>
        <w:rPr>
          <w:rFonts w:hint="eastAsia" w:ascii="Times New Roman" w:hAnsi="Times New Roman" w:eastAsia="宋体" w:cs="Times New Roman"/>
          <w:sz w:val="21"/>
          <w:lang w:eastAsia="zh-CN"/>
        </w:rPr>
        <w:t>“</w:t>
      </w:r>
      <w:r>
        <w:rPr>
          <w:rFonts w:ascii="Times New Roman" w:hAnsi="Calibri" w:eastAsia="宋体" w:cs="Times New Roman"/>
          <w:sz w:val="21"/>
        </w:rPr>
        <w:t>相互对得上</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0AF7A95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（四）</w:t>
      </w:r>
      <w:r>
        <w:t>版本控制与送审痕迹管理</w:t>
      </w:r>
    </w:p>
    <w:p w14:paraId="27637A59">
      <w:pPr>
        <w:pStyle w:val="11"/>
        <w:rPr>
          <w:rFonts w:ascii="Times New Roman" w:hAnsi="Calibri" w:eastAsia="宋体" w:cs="Times New Roman"/>
          <w:sz w:val="21"/>
        </w:rPr>
      </w:pPr>
      <w:r>
        <w:rPr>
          <w:rFonts w:ascii="Times New Roman" w:hAnsi="Calibri" w:eastAsia="宋体" w:cs="Times New Roman"/>
          <w:sz w:val="21"/>
        </w:rPr>
        <w:t>结算资料数字化之后，还必须解决版本控制问题。一个项目从竣工到正式送审，往往会经历内部复核、分包对账、建设单位确认、审前补证等多个环节，若没有清楚的版本管理，送审资料很容易在反复调整中失去边界。审查中最忌讳的情况，就是同一份工程量表、同一项签证说明、同一张价差测算表在不同时间出现多个版本，却说不清哪一版是最终依据。表面上看这是资料管理问题，实质上却直接影响结算可信度。</w:t>
      </w:r>
    </w:p>
    <w:p w14:paraId="496F55EE">
      <w:pPr>
        <w:pStyle w:val="11"/>
        <w:rPr>
          <w:rFonts w:ascii="Times New Roman" w:hAnsi="Calibri" w:eastAsia="宋体" w:cs="Times New Roman"/>
          <w:sz w:val="21"/>
        </w:rPr>
      </w:pPr>
      <w:r>
        <w:rPr>
          <w:rFonts w:ascii="Times New Roman" w:hAnsi="Calibri" w:eastAsia="宋体" w:cs="Times New Roman"/>
          <w:sz w:val="21"/>
        </w:rPr>
        <w:t>因此，送审资料整理应保留清晰的版本标识、修改说明和流转痕迹。哪一版形成于内部核算阶段，哪一版形成于建设单位确认后，哪些调整属于数据勘误，哪些属于新增依据补入，都应被明确记录。这样做并不是增加程序负担，而是在为审核建立信任基础。结算送审越接近终点，越不能依赖口头说明。版本清楚、痕迹可查，审核人员才能把注意力放在实质问题上，而不是反复确认资料是否已经被替换、删改或重复提交。对项目管理而言，版本控制还有一层长期价值，那就是把本次结算整理经验沉淀为后续项目的资料标准，减少每次竣工后都从头摸索的低效状态。</w:t>
      </w:r>
    </w:p>
    <w:p w14:paraId="57B6CD96">
      <w:pPr>
        <w:pStyle w:val="4"/>
        <w:numPr>
          <w:ilvl w:val="0"/>
          <w:numId w:val="0"/>
        </w:numPr>
        <w:topLinePunct w:val="0"/>
        <w:ind w:left="0" w:leftChars="0" w:firstLine="422" w:firstLineChars="0"/>
        <w:rPr>
          <w:b/>
        </w:rPr>
      </w:pPr>
      <w:r>
        <w:rPr>
          <w:rFonts w:hint="eastAsia" w:ascii="黑体" w:hAnsi="黑体" w:eastAsia="黑体" w:cs="黑体"/>
          <w:b/>
          <w:sz w:val="21"/>
        </w:rPr>
        <w:t>二、</w:t>
      </w:r>
      <w:r>
        <w:t>财政评审中的数据校核逻辑</w:t>
      </w:r>
    </w:p>
    <w:p w14:paraId="4FCE021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从资料审阅转向数据对应</w:t>
      </w:r>
    </w:p>
    <w:p w14:paraId="02698311">
      <w:pPr>
        <w:pStyle w:val="11"/>
        <w:rPr>
          <w:rFonts w:ascii="Times New Roman" w:hAnsi="Calibri" w:eastAsia="宋体" w:cs="Times New Roman"/>
          <w:sz w:val="21"/>
        </w:rPr>
      </w:pPr>
      <w:r>
        <w:rPr>
          <w:rFonts w:ascii="Times New Roman" w:hAnsi="Calibri" w:eastAsia="宋体" w:cs="Times New Roman"/>
          <w:sz w:val="21"/>
        </w:rPr>
        <w:t>财政评审与一般意义上的企业内部复核不同，它更强调财政资金支出的合规性、真实性和必要性。若把财政评审简单理解为对送审价格做压减，容易把评审工作写窄。更准确地说，财政评审是在既有合同、建设程序和工程事实框架下，对资金支付依据进行系统核验。数字化条件下，这种核验方式正在从传统资料审阅逐步转向数据对应。评审人员不再只是逐页翻阅签证单、计量表和变更单，而是更关注不同资料之间能否形成稳定对应关系，是否存在口径冲突、时间冲突和边界冲突。</w:t>
      </w:r>
    </w:p>
    <w:p w14:paraId="1423A374">
      <w:pPr>
        <w:pStyle w:val="11"/>
        <w:rPr>
          <w:rFonts w:ascii="Times New Roman" w:hAnsi="Calibri" w:eastAsia="宋体" w:cs="Times New Roman"/>
          <w:sz w:val="21"/>
        </w:rPr>
      </w:pPr>
      <w:r>
        <w:rPr>
          <w:rFonts w:ascii="Times New Roman" w:hAnsi="Calibri" w:eastAsia="宋体" w:cs="Times New Roman"/>
          <w:sz w:val="21"/>
        </w:rPr>
        <w:t>这种变化意味着，财政评审的重点开始前移。过去很多项目把评审理解为后端关口，认为资料送进去了，再由评审机构慢慢核减。现在更合理的认识是，财政评审其实在检验项目全过程数据治理水平。送审资料能否快速定位，变更与签证能否互相印证，合同边界与支付记录是否一致，工程量来源与现场完成状态能否对上，这些都不只是审核技巧，而是项目过程管理质量的集中体现。评审一旦转向数据对应，项目部就不能再依赖零散补证过关，而必须用更连贯的证据体系回应审查。</w:t>
      </w:r>
    </w:p>
    <w:p w14:paraId="0227AE33">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工程事实与计价规则的双重校核</w:t>
      </w:r>
    </w:p>
    <w:p w14:paraId="59CA1458">
      <w:pPr>
        <w:pStyle w:val="11"/>
        <w:rPr>
          <w:rFonts w:ascii="Times New Roman" w:hAnsi="Calibri" w:eastAsia="宋体" w:cs="Times New Roman"/>
          <w:sz w:val="21"/>
        </w:rPr>
      </w:pPr>
      <w:r>
        <w:rPr>
          <w:rFonts w:ascii="Times New Roman" w:hAnsi="Calibri" w:eastAsia="宋体" w:cs="Times New Roman"/>
          <w:sz w:val="21"/>
        </w:rPr>
        <w:t>财政评审中的校核逻辑，不能只看工程事实，也不能只看计价规则，真正关键的是两条线必须同时成立。工程事实解决项目到底做没做、做了多少、做到什么程度，计价规则解决这些事实应按什么边界和标准进入结算。任何一条线失真，评审结论都不稳。某项工作现场确实做了，但若超出合同约定且缺少合法调整依据，就不能直接进入财政支出；反过来，某项计价规则在形式上似乎适用，若对应工程事实并不完整或数量来源不清，也同样难以获得认可。</w:t>
      </w:r>
    </w:p>
    <w:p w14:paraId="62BAF323">
      <w:pPr>
        <w:pStyle w:val="11"/>
        <w:rPr>
          <w:rFonts w:ascii="Times New Roman" w:hAnsi="Calibri" w:eastAsia="宋体" w:cs="Times New Roman"/>
          <w:sz w:val="21"/>
        </w:rPr>
      </w:pPr>
      <w:r>
        <w:rPr>
          <w:rFonts w:hint="eastAsia" w:ascii="Times New Roman" w:hAnsi="Calibri" w:eastAsia="宋体" w:cs="Times New Roman"/>
          <w:sz w:val="21"/>
        </w:rPr>
        <w:t>在评审逻辑上，更应强调一种双向回看方法。评审人员既要从现场事实出发回看合同和程序，判断这笔费用是否具备进入财政支付的条件；也要从计价结果反向回看工程事实，判断这笔资金是否真正对应了明确、可核验的施工内容。公共资金使用不同于一般市场交易，它不仅关心双方是否同意，还关心支出是否建立在充分证据与明确规则之上。也正因为如此，财政评审并不只是价格复算，而是一种事实与规则并重的复合校核。数字化数据之所以重要，是因为它能让这种双重校核少依赖个人记忆，多依赖连续证据。</w:t>
      </w:r>
    </w:p>
    <w:p w14:paraId="77858ED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异常数据识别与争议点复核</w:t>
      </w:r>
    </w:p>
    <w:p w14:paraId="758E107C">
      <w:pPr>
        <w:pStyle w:val="11"/>
        <w:rPr>
          <w:rFonts w:ascii="Times New Roman" w:hAnsi="Calibri" w:eastAsia="宋体" w:cs="Times New Roman"/>
          <w:sz w:val="21"/>
        </w:rPr>
      </w:pPr>
      <w:r>
        <w:rPr>
          <w:rFonts w:ascii="Times New Roman" w:hAnsi="Calibri" w:eastAsia="宋体" w:cs="Times New Roman"/>
          <w:sz w:val="21"/>
        </w:rPr>
        <w:t>财政评审进入实务层后，最能体现数字化价值的，往往是异常识别能力。异常并不总是意味着错误，更常见的是某些数据表现出与正常逻辑不一致的特征，例如同类分项工程单价差异过大，某阶段工程量增长异常集中，签证金额在个别月份突然放大，材料价差调整时间与采购时间明显错位，支付比例与现场完成状态不匹配。这类异常若仅凭人工通读资料，很容易被忽略；若通过结构化数据比对，就更容易在评审前期被提取出来。</w:t>
      </w:r>
    </w:p>
    <w:p w14:paraId="04AEFBDD">
      <w:pPr>
        <w:pStyle w:val="11"/>
        <w:rPr>
          <w:rFonts w:ascii="Times New Roman" w:hAnsi="Calibri" w:eastAsia="宋体" w:cs="Times New Roman"/>
          <w:sz w:val="21"/>
        </w:rPr>
      </w:pPr>
      <w:r>
        <w:rPr>
          <w:rFonts w:ascii="Times New Roman" w:hAnsi="Calibri" w:eastAsia="宋体" w:cs="Times New Roman"/>
          <w:sz w:val="21"/>
        </w:rPr>
        <w:t>异常识别之后，下一步不是立即下结论，而是进入争议点复核。评审工作中一个非常重要的尺度，就是不能把异常直接等同于不合理。某些看似偏高的单价，可能对应特殊工艺或复杂作业条件；某些集中的工程量增长，也可能与阶段性施工安排有关。真正稳健的复核，应该沿着</w:t>
      </w:r>
      <w:r>
        <w:rPr>
          <w:rFonts w:hint="eastAsia" w:ascii="Times New Roman" w:hAnsi="Times New Roman" w:eastAsia="宋体" w:cs="Times New Roman"/>
          <w:sz w:val="21"/>
          <w:lang w:eastAsia="zh-CN"/>
        </w:rPr>
        <w:t>“</w:t>
      </w:r>
      <w:r>
        <w:rPr>
          <w:rFonts w:ascii="Times New Roman" w:hAnsi="Calibri" w:eastAsia="宋体" w:cs="Times New Roman"/>
          <w:sz w:val="21"/>
        </w:rPr>
        <w:t>异常出现在哪里、是否有程序依据、是否有事实支撑、是否与其他数据冲突</w:t>
      </w:r>
      <w:r>
        <w:rPr>
          <w:rFonts w:hint="eastAsia" w:ascii="Times New Roman" w:hAnsi="Times New Roman" w:eastAsia="宋体" w:cs="Times New Roman"/>
          <w:sz w:val="21"/>
          <w:lang w:eastAsia="zh-CN"/>
        </w:rPr>
        <w:t>”</w:t>
      </w:r>
      <w:r>
        <w:rPr>
          <w:rFonts w:ascii="Times New Roman" w:hAnsi="Calibri" w:eastAsia="宋体" w:cs="Times New Roman"/>
          <w:sz w:val="21"/>
        </w:rPr>
        <w:t>这一逻辑展开。数字化评审的好处，正在于它能帮助评审人员更快锁定问题部位，把精力集中到真正需要解释的地方，而不是平均用力地翻查全部资料。这样形成的评审，不仅效率更高，结论也更容易让建设、施工和审查各方接受。</w:t>
      </w:r>
    </w:p>
    <w:p w14:paraId="159267F3">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（四）</w:t>
      </w:r>
      <w:r>
        <w:t>评审结果反馈与治理改进</w:t>
      </w:r>
    </w:p>
    <w:p w14:paraId="50EEEEF5">
      <w:pPr>
        <w:pStyle w:val="11"/>
        <w:rPr>
          <w:rFonts w:ascii="Times New Roman" w:hAnsi="Calibri" w:eastAsia="宋体" w:cs="Times New Roman"/>
          <w:sz w:val="21"/>
        </w:rPr>
      </w:pPr>
      <w:r>
        <w:rPr>
          <w:rFonts w:ascii="Times New Roman" w:hAnsi="Calibri" w:eastAsia="宋体" w:cs="Times New Roman"/>
          <w:sz w:val="21"/>
        </w:rPr>
        <w:t>财政评审若只停留在核减金额和出具结论层面，其管理价值仍然有限。更有意义的做法，是把评审结果重新反馈到项目治理和制度完善之中。一个项目为什么在某类签证上反复出现证据不全，为什么某些分项工程总在送审阶段暴露口径冲突，为什么材料价差资料总是形成滞后，这些问题不应只作为个案处理，而应被看作管理短板。评审结果的真正价值，不仅在于纠正本次送审中的偏差，更在于提示下一批项目应当在哪些环节提前修正。</w:t>
      </w:r>
    </w:p>
    <w:p w14:paraId="1BB2EA3F">
      <w:pPr>
        <w:pStyle w:val="11"/>
        <w:rPr>
          <w:rFonts w:ascii="Times New Roman" w:hAnsi="Calibri" w:eastAsia="宋体" w:cs="Times New Roman"/>
          <w:sz w:val="21"/>
        </w:rPr>
      </w:pPr>
      <w:r>
        <w:rPr>
          <w:rFonts w:ascii="Times New Roman" w:hAnsi="Calibri" w:eastAsia="宋体" w:cs="Times New Roman"/>
          <w:sz w:val="21"/>
        </w:rPr>
        <w:t>从这个意义上说，财政评审是项目全过程数字化管理的一次反向检验。它并不单纯面向竣工终点，而是在用终点问题倒逼过程改进。若评审发现送审目录混乱，说明资料整理规则需要前移；若评审发现量价对应关系薄弱，说明过程计量与合同管理仍然脱节；若评审发现支付记录与工程事实不够一致，说明月度确认机制仍有缺口。把这些问题重新送回项目管理体系，数字化建设才会真正形成闭环。也正因为如此，结算审核与财政评审不应被理解为项目结束后的独立动作，它们更像是对全过程管理质量的最后一次集中体检。体检的目的不是只给出分数，而是通过发现的问题反过来提升今后的项目治理水平。</w:t>
      </w:r>
    </w:p>
    <w:p w14:paraId="569BD19F">
      <w:pPr>
        <w:rPr>
          <w:rFonts w:hint="eastAsia"/>
        </w:rPr>
      </w:pPr>
    </w:p>
    <w:p w14:paraId="269BC618">
      <w:pPr>
        <w:pStyle w:val="2"/>
        <w:numPr>
          <w:ilvl w:val="0"/>
          <w:numId w:val="0"/>
        </w:numPr>
        <w:ind w:left="0" w:leftChars="0" w:firstLine="0" w:firstLineChars="0"/>
        <w:rPr>
          <w:rFonts w:hint="eastAsia" w:ascii="宋体" w:hAnsi="宋体" w:eastAsia="黑体" w:cs="宋体"/>
          <w:b/>
          <w:bCs/>
          <w:kern w:val="44"/>
          <w:sz w:val="40"/>
          <w:szCs w:val="30"/>
        </w:rPr>
        <w:sectPr>
          <w:headerReference r:id="rId29" w:type="default"/>
          <w:footerReference r:id="rId31" w:type="default"/>
          <w:headerReference r:id="rId30" w:type="even"/>
          <w:footerReference r:id="rId32" w:type="even"/>
          <w:pgSz w:w="10431" w:h="14740"/>
          <w:pgMar w:top="1440" w:right="1800" w:bottom="1440" w:left="1800" w:header="851" w:footer="992" w:gutter="0"/>
          <w:pgNumType w:fmt="decimal"/>
          <w:cols w:space="425" w:num="1"/>
          <w:docGrid w:type="lines" w:linePitch="312" w:charSpace="0"/>
        </w:sectPr>
      </w:pPr>
    </w:p>
    <w:p w14:paraId="657DD1C8">
      <w:pPr>
        <w:bidi w:val="0"/>
        <w:rPr>
          <w:rFonts w:hint="eastAsia"/>
        </w:rPr>
        <w:sectPr>
          <w:pgSz w:w="10431" w:h="14740"/>
          <w:pgMar w:top="1440" w:right="1800" w:bottom="1440" w:left="1800" w:header="851" w:footer="992" w:gutter="0"/>
          <w:pgNumType w:fmt="decimal"/>
          <w:cols w:space="425" w:num="1"/>
          <w:docGrid w:type="lines" w:linePitch="312" w:charSpace="0"/>
        </w:sectPr>
      </w:pPr>
    </w:p>
    <w:p w14:paraId="7B23BE47">
      <w:pPr>
        <w:pStyle w:val="2"/>
        <w:numPr>
          <w:ilvl w:val="0"/>
          <w:numId w:val="0"/>
        </w:numPr>
        <w:ind w:left="0" w:leftChars="0" w:firstLine="0" w:firstLineChars="0"/>
        <w:rPr>
          <w:b/>
        </w:rPr>
      </w:pPr>
      <w:bookmarkStart w:id="32" w:name="_Toc14377"/>
      <w:r>
        <w:rPr>
          <w:rFonts w:hint="eastAsia" w:ascii="宋体" w:hAnsi="宋体" w:eastAsia="黑体" w:cs="宋体"/>
          <w:b/>
          <w:bCs/>
          <w:kern w:val="44"/>
          <w:sz w:val="40"/>
          <w:szCs w:val="30"/>
        </w:rPr>
        <w:t>第六章</w:t>
      </w:r>
      <w:r>
        <w:rPr>
          <w:rFonts w:hint="eastAsia" w:cs="宋体"/>
          <w:b/>
          <w:bCs/>
          <w:kern w:val="44"/>
          <w:sz w:val="40"/>
          <w:szCs w:val="30"/>
          <w:lang w:val="en-US" w:eastAsia="zh-CN"/>
        </w:rPr>
        <w:t xml:space="preserve"> </w:t>
      </w:r>
      <w:r>
        <w:t>政府投资项目与专项工程数字化实施</w:t>
      </w:r>
      <w:bookmarkEnd w:id="32"/>
    </w:p>
    <w:p w14:paraId="413F6572">
      <w:pPr>
        <w:pStyle w:val="3"/>
        <w:numPr>
          <w:ilvl w:val="0"/>
          <w:numId w:val="0"/>
        </w:numPr>
        <w:ind w:left="0" w:leftChars="0" w:firstLine="0" w:firstLineChars="0"/>
        <w:rPr>
          <w:b/>
        </w:rPr>
      </w:pPr>
      <w:bookmarkStart w:id="33" w:name="_Toc16310"/>
      <w:r>
        <w:rPr>
          <w:rFonts w:hint="eastAsia" w:ascii="宋体" w:hAnsi="宋体" w:eastAsia="黑体" w:cs="宋体"/>
          <w:b/>
          <w:bCs/>
          <w:kern w:val="44"/>
          <w:sz w:val="30"/>
          <w:szCs w:val="30"/>
        </w:rPr>
        <w:t>第一节</w:t>
      </w:r>
      <w:r>
        <w:rPr>
          <w:rFonts w:hint="eastAsia" w:cs="宋体"/>
          <w:b/>
          <w:bCs/>
          <w:kern w:val="44"/>
          <w:sz w:val="30"/>
          <w:szCs w:val="30"/>
          <w:lang w:val="en-US" w:eastAsia="zh-CN"/>
        </w:rPr>
        <w:t xml:space="preserve"> </w:t>
      </w:r>
      <w:r>
        <w:t>政府投资项目的管理特征</w:t>
      </w:r>
      <w:bookmarkEnd w:id="33"/>
      <w:r>
        <w:t xml:space="preserve">  </w:t>
      </w:r>
    </w:p>
    <w:p w14:paraId="09409D0A">
      <w:pPr>
        <w:pStyle w:val="4"/>
        <w:numPr>
          <w:ilvl w:val="0"/>
          <w:numId w:val="0"/>
        </w:numPr>
        <w:topLinePunct w:val="0"/>
        <w:ind w:left="0" w:leftChars="0" w:firstLine="422" w:firstLineChars="0"/>
        <w:rPr>
          <w:b/>
        </w:rPr>
      </w:pPr>
      <w:r>
        <w:rPr>
          <w:rFonts w:hint="eastAsia" w:ascii="黑体" w:hAnsi="黑体" w:eastAsia="黑体" w:cs="黑体"/>
          <w:b/>
          <w:sz w:val="21"/>
        </w:rPr>
        <w:t>一、</w:t>
      </w:r>
      <w:r>
        <w:t>政府投资项目的程序要求</w:t>
      </w:r>
    </w:p>
    <w:p w14:paraId="5D2419A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程序体系的基本构成</w:t>
      </w:r>
    </w:p>
    <w:p w14:paraId="62F643F8">
      <w:pPr>
        <w:pStyle w:val="11"/>
        <w:rPr>
          <w:rFonts w:ascii="Times New Roman" w:hAnsi="Calibri" w:eastAsia="宋体" w:cs="Times New Roman"/>
          <w:sz w:val="21"/>
        </w:rPr>
      </w:pPr>
      <w:r>
        <w:rPr>
          <w:rFonts w:ascii="Times New Roman" w:hAnsi="Calibri" w:eastAsia="宋体" w:cs="Times New Roman"/>
          <w:sz w:val="21"/>
        </w:rPr>
        <w:t>政府投资项目与一般市场化项目相比，最鲜明的区别并不只是资金来源不同，而是项目从启动到收束始终处在更严格的程序框架之中。立项审批、可行性研究、初步设计及概算审定、预算控制、招标采购、合同签订、过程变更、竣工结算、财政评审和审计监督，这些环节并不是松散排列的管理事项，而是前后衔接、相互制约的制度链条。任何一个节点缺位，后续实施都可能失去合规基础。也就是说，政府投资项目的管理重心并不只在</w:t>
      </w:r>
      <w:r>
        <w:rPr>
          <w:rFonts w:hint="eastAsia" w:ascii="Times New Roman" w:hAnsi="Times New Roman" w:eastAsia="宋体" w:cs="Times New Roman"/>
          <w:sz w:val="21"/>
          <w:lang w:eastAsia="zh-CN"/>
        </w:rPr>
        <w:t>“</w:t>
      </w:r>
      <w:r>
        <w:rPr>
          <w:rFonts w:ascii="Times New Roman" w:hAnsi="Calibri" w:eastAsia="宋体" w:cs="Times New Roman"/>
          <w:sz w:val="21"/>
        </w:rPr>
        <w:t>把工程建成</w:t>
      </w:r>
      <w:r>
        <w:rPr>
          <w:rFonts w:hint="eastAsia" w:ascii="Times New Roman" w:hAnsi="Times New Roman" w:eastAsia="宋体" w:cs="Times New Roman"/>
          <w:sz w:val="21"/>
          <w:lang w:eastAsia="zh-CN"/>
        </w:rPr>
        <w:t>”</w:t>
      </w:r>
      <w:r>
        <w:rPr>
          <w:rFonts w:ascii="Times New Roman" w:hAnsi="Calibri" w:eastAsia="宋体" w:cs="Times New Roman"/>
          <w:sz w:val="21"/>
        </w:rPr>
        <w:t>，还在</w:t>
      </w:r>
      <w:r>
        <w:rPr>
          <w:rFonts w:hint="eastAsia" w:ascii="Times New Roman" w:hAnsi="Times New Roman" w:eastAsia="宋体" w:cs="Times New Roman"/>
          <w:sz w:val="21"/>
          <w:lang w:eastAsia="zh-CN"/>
        </w:rPr>
        <w:t>“</w:t>
      </w:r>
      <w:r>
        <w:rPr>
          <w:rFonts w:ascii="Times New Roman" w:hAnsi="Calibri" w:eastAsia="宋体" w:cs="Times New Roman"/>
          <w:sz w:val="21"/>
        </w:rPr>
        <w:t>把工程按程序建成、按规则建成、按责任链建成</w:t>
      </w:r>
      <w:r>
        <w:rPr>
          <w:rFonts w:hint="eastAsia" w:ascii="Times New Roman" w:hAnsi="Times New Roman" w:eastAsia="宋体" w:cs="Times New Roman"/>
          <w:sz w:val="21"/>
          <w:lang w:eastAsia="zh-CN"/>
        </w:rPr>
        <w:t>”</w:t>
      </w:r>
      <w:r>
        <w:rPr>
          <w:rFonts w:ascii="Times New Roman" w:hAnsi="Calibri" w:eastAsia="宋体" w:cs="Times New Roman"/>
          <w:sz w:val="21"/>
        </w:rPr>
        <w:t>。这一特征决定了数字化实施不能只盯住施工现场的局部效率，而必须把审批逻辑、实施逻辑和资金逻辑放在同一框架中统筹考虑。</w:t>
      </w:r>
    </w:p>
    <w:p w14:paraId="59CC7EF6">
      <w:pPr>
        <w:pStyle w:val="11"/>
        <w:rPr>
          <w:rFonts w:ascii="Times New Roman" w:hAnsi="Calibri" w:eastAsia="宋体" w:cs="Times New Roman"/>
          <w:sz w:val="21"/>
        </w:rPr>
      </w:pPr>
      <w:r>
        <w:rPr>
          <w:rFonts w:ascii="Times New Roman" w:hAnsi="Calibri" w:eastAsia="宋体" w:cs="Times New Roman"/>
          <w:sz w:val="21"/>
        </w:rPr>
        <w:t>在这类项目中，程序不是外在附加物，而是工程治理本身的一部分。立项阶段决定项目是否具备公共建设必要性，概算阶段确定资金边界，招采阶段明确交易规则，实施阶段则要求每一项调整都能找到程序依据。许多管理问题表面看发生在施工现场，实则往往在程序前端就已经埋下伏笔。比如，前期设计深度不足，后续就容易变更多发；概算边界不清，施工阶段就容易出现解释空间过大；招标文件表达不严，合同执行时便会频繁出现履约争议。正因为程序链条与实施结果高度相关，政府投资项目的数字化管理不应把程序看作拖慢效率的负担，而应把它理解为确保公共决策、公共支出和公共责任成立的基础条件。</w:t>
      </w:r>
    </w:p>
    <w:p w14:paraId="0A20023D">
      <w:pPr>
        <w:pStyle w:val="11"/>
        <w:rPr>
          <w:rFonts w:ascii="Times New Roman" w:hAnsi="Calibri" w:eastAsia="宋体" w:cs="Times New Roman"/>
          <w:sz w:val="21"/>
        </w:rPr>
      </w:pPr>
      <w:r>
        <w:rPr>
          <w:rFonts w:ascii="Times New Roman" w:hAnsi="Calibri" w:eastAsia="宋体" w:cs="Times New Roman"/>
          <w:sz w:val="21"/>
        </w:rPr>
        <w:t>从实践观察看，程序体系越复杂，越不能依赖个人经验维持秩序。传统做法中，许多项目之所以在后期结算、评审和审计环节承受较大压力，不是因为前期没有做工作，而是因为这些工作没有被持续、清楚地留存在程序链条中。数字化最重要的意义，就在于把原本分散在纸面、会议、审批表和现场记录中的节点重新组织起来，使项目团队始终知道事项处于哪个程序位置，下一步需要满足什么条件，某一环节滞后又会影响哪一条后续链路。程序体系一旦被稳定表达，项目运行就不再只是</w:t>
      </w:r>
      <w:r>
        <w:rPr>
          <w:rFonts w:hint="eastAsia" w:ascii="Times New Roman" w:hAnsi="Times New Roman" w:eastAsia="宋体" w:cs="Times New Roman"/>
          <w:sz w:val="21"/>
          <w:lang w:eastAsia="zh-CN"/>
        </w:rPr>
        <w:t>“</w:t>
      </w:r>
      <w:r>
        <w:rPr>
          <w:rFonts w:ascii="Times New Roman" w:hAnsi="Calibri" w:eastAsia="宋体" w:cs="Times New Roman"/>
          <w:sz w:val="21"/>
        </w:rPr>
        <w:t>盯现场</w:t>
      </w:r>
      <w:r>
        <w:rPr>
          <w:rFonts w:hint="eastAsia" w:ascii="Times New Roman" w:hAnsi="Times New Roman" w:eastAsia="宋体" w:cs="Times New Roman"/>
          <w:sz w:val="21"/>
          <w:lang w:eastAsia="zh-CN"/>
        </w:rPr>
        <w:t>”</w:t>
      </w:r>
      <w:r>
        <w:rPr>
          <w:rFonts w:ascii="Times New Roman" w:hAnsi="Calibri" w:eastAsia="宋体" w:cs="Times New Roman"/>
          <w:sz w:val="21"/>
        </w:rPr>
        <w:t>，而开始真正具备了</w:t>
      </w:r>
      <w:r>
        <w:rPr>
          <w:rFonts w:hint="eastAsia" w:ascii="Times New Roman" w:hAnsi="Times New Roman" w:eastAsia="宋体" w:cs="Times New Roman"/>
          <w:sz w:val="21"/>
          <w:lang w:eastAsia="zh-CN"/>
        </w:rPr>
        <w:t>“</w:t>
      </w:r>
      <w:r>
        <w:rPr>
          <w:rFonts w:ascii="Times New Roman" w:hAnsi="Calibri" w:eastAsia="宋体" w:cs="Times New Roman"/>
          <w:sz w:val="21"/>
        </w:rPr>
        <w:t>盯程序、盯边界、盯后果</w:t>
      </w:r>
      <w:r>
        <w:rPr>
          <w:rFonts w:hint="eastAsia" w:ascii="Times New Roman" w:hAnsi="Times New Roman" w:eastAsia="宋体" w:cs="Times New Roman"/>
          <w:sz w:val="21"/>
          <w:lang w:eastAsia="zh-CN"/>
        </w:rPr>
        <w:t>”</w:t>
      </w:r>
      <w:r>
        <w:rPr>
          <w:rFonts w:ascii="Times New Roman" w:hAnsi="Calibri" w:eastAsia="宋体" w:cs="Times New Roman"/>
          <w:sz w:val="21"/>
        </w:rPr>
        <w:t>的能力。</w:t>
      </w:r>
    </w:p>
    <w:p w14:paraId="62D8C49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程序约束对建设实施的影响</w:t>
      </w:r>
    </w:p>
    <w:p w14:paraId="1ADD23BC">
      <w:pPr>
        <w:pStyle w:val="11"/>
        <w:rPr>
          <w:rFonts w:ascii="Times New Roman" w:hAnsi="Calibri" w:eastAsia="宋体" w:cs="Times New Roman"/>
          <w:sz w:val="21"/>
        </w:rPr>
      </w:pPr>
      <w:r>
        <w:rPr>
          <w:rFonts w:ascii="Times New Roman" w:hAnsi="Calibri" w:eastAsia="宋体" w:cs="Times New Roman"/>
          <w:sz w:val="21"/>
        </w:rPr>
        <w:t>程序严格并不只是增加文件工作量，它会直接改变工程实施方式。市场化项目更容易围绕效率组织资源，只要投资主体和合同关系认可，很多事项可以在较短时间内完成内部协调。政府投资项目则不同，现场动作经常受制于前置条件是否齐备、审批路径是否走通、证据资料是否完整。施工组织因此不能只考虑技术顺序和资源投入，还必须考虑程序是否允许、节点是否成熟、责任是否清晰。项目实施的节奏，往往不是由现场单方面决定，而是由程序成熟度与施工条件共同决定。</w:t>
      </w:r>
    </w:p>
    <w:p w14:paraId="0F0ED520">
      <w:pPr>
        <w:pStyle w:val="11"/>
        <w:rPr>
          <w:rFonts w:ascii="Times New Roman" w:hAnsi="Calibri" w:eastAsia="宋体" w:cs="Times New Roman"/>
          <w:sz w:val="21"/>
        </w:rPr>
      </w:pPr>
      <w:r>
        <w:rPr>
          <w:rFonts w:ascii="Times New Roman" w:hAnsi="Calibri" w:eastAsia="宋体" w:cs="Times New Roman"/>
          <w:sz w:val="21"/>
        </w:rPr>
        <w:t>这种影响在变更管理、支付管理和阶段验收中表现得尤为明显。一个技术上确有必要的调整，如果缺少审批依据，就不能轻率进入实施；一项现场已经完成的工程内容，如果验收、计量和资料条件尚未闭合，也未必能够顺利进入支付链条；一些看似只是局部调整的事项，一旦触碰概算边界或合同授权边界，便会迅速演化为跨部门协调问题。程序约束由此带来的管理特征，不是单纯的</w:t>
      </w:r>
      <w:r>
        <w:rPr>
          <w:rFonts w:hint="eastAsia" w:ascii="Times New Roman" w:hAnsi="Times New Roman" w:eastAsia="宋体" w:cs="Times New Roman"/>
          <w:sz w:val="21"/>
          <w:lang w:eastAsia="zh-CN"/>
        </w:rPr>
        <w:t>“</w:t>
      </w:r>
      <w:r>
        <w:rPr>
          <w:rFonts w:ascii="Times New Roman" w:hAnsi="Calibri" w:eastAsia="宋体" w:cs="Times New Roman"/>
          <w:sz w:val="21"/>
        </w:rPr>
        <w:t>慢</w:t>
      </w:r>
      <w:r>
        <w:rPr>
          <w:rFonts w:hint="eastAsia" w:ascii="Times New Roman" w:hAnsi="Times New Roman" w:eastAsia="宋体" w:cs="Times New Roman"/>
          <w:sz w:val="21"/>
          <w:lang w:eastAsia="zh-CN"/>
        </w:rPr>
        <w:t>”</w:t>
      </w:r>
      <w:r>
        <w:rPr>
          <w:rFonts w:ascii="Times New Roman" w:hAnsi="Calibri" w:eastAsia="宋体" w:cs="Times New Roman"/>
          <w:sz w:val="21"/>
        </w:rPr>
        <w:t>，而是</w:t>
      </w:r>
      <w:r>
        <w:rPr>
          <w:rFonts w:hint="eastAsia" w:ascii="Times New Roman" w:hAnsi="Times New Roman" w:eastAsia="宋体" w:cs="Times New Roman"/>
          <w:sz w:val="21"/>
          <w:lang w:eastAsia="zh-CN"/>
        </w:rPr>
        <w:t>“</w:t>
      </w:r>
      <w:r>
        <w:rPr>
          <w:rFonts w:ascii="Times New Roman" w:hAnsi="Calibri" w:eastAsia="宋体" w:cs="Times New Roman"/>
          <w:sz w:val="21"/>
        </w:rPr>
        <w:t>任何实施动作都必须可解释、可复核、可追溯</w:t>
      </w:r>
      <w:r>
        <w:rPr>
          <w:rFonts w:hint="eastAsia" w:ascii="Times New Roman" w:hAnsi="Times New Roman" w:eastAsia="宋体" w:cs="Times New Roman"/>
          <w:sz w:val="21"/>
          <w:lang w:eastAsia="zh-CN"/>
        </w:rPr>
        <w:t>”</w:t>
      </w:r>
      <w:r>
        <w:rPr>
          <w:rFonts w:ascii="Times New Roman" w:hAnsi="Calibri" w:eastAsia="宋体" w:cs="Times New Roman"/>
          <w:sz w:val="21"/>
        </w:rPr>
        <w:t>。对于不熟悉政府投资项目运行逻辑的团队来说，这种约束容易被误解为保守；实际上，它反映的是公共项目必须承担更高透明度与更高责任密度的制度要求。</w:t>
      </w:r>
    </w:p>
    <w:p w14:paraId="3F0B43D3">
      <w:pPr>
        <w:pStyle w:val="11"/>
        <w:rPr>
          <w:rFonts w:ascii="Times New Roman" w:hAnsi="Calibri" w:eastAsia="宋体" w:cs="Times New Roman"/>
          <w:sz w:val="21"/>
        </w:rPr>
      </w:pPr>
      <w:r>
        <w:rPr>
          <w:rFonts w:ascii="Times New Roman" w:hAnsi="Calibri" w:eastAsia="宋体" w:cs="Times New Roman"/>
          <w:sz w:val="21"/>
        </w:rPr>
        <w:t>更深一层看，程序约束还会改变项目组织的关注重点。一般项目的管理者往往更敏感于工期是否紧、资源是否足、成本是否超，而政府投资项目的管理者还必须同时关注手续是否完备、授权是否明确、文件是否同步。换句话说，项目团队需要在技术合理、经济可行与程序合规之间保持平衡。数字化系统若只服务施工效率，而不把程序状态纳入同一视野，项目就很容易在局部提速的同时，把风险转移到后端审核和财政评审环节。真正适配政府投资项目的数字化管理，不是绕开程序，而是在程序约束下提高执行清晰度和协同效率，使合规与实施不再形成长期对立。</w:t>
      </w:r>
    </w:p>
    <w:p w14:paraId="018BD46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程序化管理与数字化融合</w:t>
      </w:r>
    </w:p>
    <w:p w14:paraId="633AF471">
      <w:pPr>
        <w:pStyle w:val="11"/>
        <w:rPr>
          <w:rFonts w:ascii="Times New Roman" w:hAnsi="Calibri" w:eastAsia="宋体" w:cs="Times New Roman"/>
          <w:sz w:val="21"/>
        </w:rPr>
      </w:pPr>
      <w:r>
        <w:rPr>
          <w:rFonts w:ascii="Times New Roman" w:hAnsi="Calibri" w:eastAsia="宋体" w:cs="Times New Roman"/>
          <w:sz w:val="21"/>
        </w:rPr>
        <w:t>程序化管理并不天然排斥数字化，恰恰相反，政府投资项目越强调程序严密，越需要借助数字化手段把程序运行从纸面链条转化为可视链条。过去程序管理中最常见的问题，不是没有制度，而是节点分散、状态不明、责任漂移。资料可能在不同部门之间反复传递，审批意见可能停留在某个中间环节，现场执行又未必知道程序条件是否已经满足。数字化与程序管理的融合，关键不在把线下表单简单搬到线上，而在于让每个程序节点具备可识别的对象、可核验的条件、可跟踪的状态和可追溯的责任。</w:t>
      </w:r>
    </w:p>
    <w:p w14:paraId="101D9993">
      <w:pPr>
        <w:pStyle w:val="11"/>
        <w:rPr>
          <w:rFonts w:ascii="Times New Roman" w:hAnsi="Calibri" w:eastAsia="宋体" w:cs="Times New Roman"/>
          <w:sz w:val="21"/>
        </w:rPr>
      </w:pPr>
      <w:r>
        <w:rPr>
          <w:rFonts w:ascii="Times New Roman" w:hAnsi="Calibri" w:eastAsia="宋体" w:cs="Times New Roman"/>
          <w:sz w:val="21"/>
        </w:rPr>
        <w:t>更有效的做法，是把程序节点表达为一组连续运行的管理单元。某一事项何时发起，依据什么文件进入审批，在哪个层级形成意见，是否满足实施前提，实施后又是否完成反馈，这些都应在同一链条中被看见。这样一来，项目管理者不再只是凭印象知道</w:t>
      </w:r>
      <w:r>
        <w:rPr>
          <w:rFonts w:hint="eastAsia" w:ascii="Times New Roman" w:hAnsi="Times New Roman" w:eastAsia="宋体" w:cs="Times New Roman"/>
          <w:sz w:val="21"/>
          <w:lang w:eastAsia="zh-CN"/>
        </w:rPr>
        <w:t>“</w:t>
      </w:r>
      <w:r>
        <w:rPr>
          <w:rFonts w:ascii="Times New Roman" w:hAnsi="Calibri" w:eastAsia="宋体" w:cs="Times New Roman"/>
          <w:sz w:val="21"/>
        </w:rPr>
        <w:t>这件事大概在走</w:t>
      </w:r>
      <w:r>
        <w:rPr>
          <w:rFonts w:hint="eastAsia" w:ascii="Times New Roman" w:hAnsi="Times New Roman" w:eastAsia="宋体" w:cs="Times New Roman"/>
          <w:sz w:val="21"/>
          <w:lang w:eastAsia="zh-CN"/>
        </w:rPr>
        <w:t>”</w:t>
      </w:r>
      <w:r>
        <w:rPr>
          <w:rFonts w:ascii="Times New Roman" w:hAnsi="Calibri" w:eastAsia="宋体" w:cs="Times New Roman"/>
          <w:sz w:val="21"/>
        </w:rPr>
        <w:t>，而能够清楚判断</w:t>
      </w:r>
      <w:r>
        <w:rPr>
          <w:rFonts w:hint="eastAsia" w:ascii="Times New Roman" w:hAnsi="Times New Roman" w:eastAsia="宋体" w:cs="Times New Roman"/>
          <w:sz w:val="21"/>
          <w:lang w:eastAsia="zh-CN"/>
        </w:rPr>
        <w:t>“</w:t>
      </w:r>
      <w:r>
        <w:rPr>
          <w:rFonts w:ascii="Times New Roman" w:hAnsi="Calibri" w:eastAsia="宋体" w:cs="Times New Roman"/>
          <w:sz w:val="21"/>
        </w:rPr>
        <w:t>它走到哪一步了、为什么卡住、卡住后会影响什么</w:t>
      </w:r>
      <w:r>
        <w:rPr>
          <w:rFonts w:hint="eastAsia" w:ascii="Times New Roman" w:hAnsi="Times New Roman" w:eastAsia="宋体" w:cs="Times New Roman"/>
          <w:sz w:val="21"/>
          <w:lang w:eastAsia="zh-CN"/>
        </w:rPr>
        <w:t>”</w:t>
      </w:r>
      <w:r>
        <w:rPr>
          <w:rFonts w:ascii="Times New Roman" w:hAnsi="Calibri" w:eastAsia="宋体" w:cs="Times New Roman"/>
          <w:sz w:val="21"/>
        </w:rPr>
        <w:t>。程序化管理因此从以文件传递为主，逐步转向以状态跟踪和节点闭合为主，制度的执行力也会随之增强。</w:t>
      </w:r>
    </w:p>
    <w:p w14:paraId="5C775819">
      <w:pPr>
        <w:pStyle w:val="11"/>
        <w:rPr>
          <w:rFonts w:ascii="Times New Roman" w:hAnsi="Calibri" w:eastAsia="宋体" w:cs="Times New Roman"/>
          <w:sz w:val="21"/>
        </w:rPr>
      </w:pPr>
      <w:r>
        <w:rPr>
          <w:rFonts w:hint="eastAsia" w:ascii="Times New Roman" w:hAnsi="Calibri" w:eastAsia="宋体" w:cs="Times New Roman"/>
          <w:sz w:val="21"/>
        </w:rPr>
        <w:t>更值得强调的是</w:t>
      </w:r>
      <w:r>
        <w:rPr>
          <w:rFonts w:ascii="Times New Roman" w:hAnsi="Calibri" w:eastAsia="宋体" w:cs="Times New Roman"/>
          <w:sz w:val="21"/>
        </w:rPr>
        <w:t>一种审慎而实用的数字化理解：政府投资项目中的数字化，不是为了减少程序，而是为了减少程序运行中的不必要损耗。它不能替代合法审批，也不能削弱制度边界，但可以显著降低资料反复搬运、信息重复解释和责任无法定位的成本。程序一旦在数字环境下被清楚表达，项目各方就更容易围绕同一事实展开协同，很多过去只能在结算、评审阶段集中暴露的问题，也就有机会在实施阶段被更早发现和更快修正。</w:t>
      </w:r>
    </w:p>
    <w:p w14:paraId="6A113A16">
      <w:pPr>
        <w:pStyle w:val="4"/>
        <w:numPr>
          <w:ilvl w:val="0"/>
          <w:numId w:val="0"/>
        </w:numPr>
        <w:topLinePunct w:val="0"/>
        <w:ind w:left="0" w:leftChars="0" w:firstLine="422" w:firstLineChars="0"/>
        <w:rPr>
          <w:b/>
        </w:rPr>
      </w:pPr>
      <w:r>
        <w:rPr>
          <w:rFonts w:hint="eastAsia" w:ascii="黑体" w:hAnsi="黑体" w:eastAsia="黑体" w:cs="黑体"/>
          <w:b/>
          <w:sz w:val="21"/>
        </w:rPr>
        <w:t>二、</w:t>
      </w:r>
      <w:r>
        <w:t>多主体协同下的信息治理难点</w:t>
      </w:r>
    </w:p>
    <w:p w14:paraId="64F27D4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主体多元带来的信息断裂</w:t>
      </w:r>
    </w:p>
    <w:p w14:paraId="320C4991">
      <w:pPr>
        <w:pStyle w:val="11"/>
        <w:rPr>
          <w:rFonts w:ascii="Times New Roman" w:hAnsi="Calibri" w:eastAsia="宋体" w:cs="Times New Roman"/>
          <w:sz w:val="21"/>
        </w:rPr>
      </w:pPr>
      <w:r>
        <w:rPr>
          <w:rFonts w:ascii="Times New Roman" w:hAnsi="Calibri" w:eastAsia="宋体" w:cs="Times New Roman"/>
          <w:sz w:val="21"/>
        </w:rPr>
        <w:t>政府投资项目通常具有比一般工程更复杂的主体结构。建设单位之外，往往还叠加代建机构、使用单位、设计咨询、全过程工程咨询、监理单位、总承包单位、多家专业分包、材料设备供应单位，以及财政评审、行业主管和审计监督等不同角色。参与主体越多，信息接口就越多，项目管理越容易从线性链条演变为网状关系。表面上看，这是</w:t>
      </w:r>
      <w:r>
        <w:rPr>
          <w:rFonts w:hint="eastAsia" w:ascii="Times New Roman" w:hAnsi="Times New Roman" w:eastAsia="宋体" w:cs="Times New Roman"/>
          <w:sz w:val="21"/>
          <w:lang w:eastAsia="zh-CN"/>
        </w:rPr>
        <w:t>“</w:t>
      </w:r>
      <w:r>
        <w:rPr>
          <w:rFonts w:ascii="Times New Roman" w:hAnsi="Calibri" w:eastAsia="宋体" w:cs="Times New Roman"/>
          <w:sz w:val="21"/>
        </w:rPr>
        <w:t>大家都在参与</w:t>
      </w:r>
      <w:r>
        <w:rPr>
          <w:rFonts w:hint="eastAsia" w:ascii="Times New Roman" w:hAnsi="Times New Roman" w:eastAsia="宋体" w:cs="Times New Roman"/>
          <w:sz w:val="21"/>
          <w:lang w:eastAsia="zh-CN"/>
        </w:rPr>
        <w:t>”</w:t>
      </w:r>
      <w:r>
        <w:rPr>
          <w:rFonts w:ascii="Times New Roman" w:hAnsi="Calibri" w:eastAsia="宋体" w:cs="Times New Roman"/>
          <w:sz w:val="21"/>
        </w:rPr>
        <w:t>；实际上，越是在多主体共同介入的项目中，越容易出现信息断裂。一个现场事实可能在施工单位掌握得最清楚，却未必能完整传到建设单位；一个审批意见可能已在上层形成，却未必被及时、准确地理解为现场执行条件。</w:t>
      </w:r>
    </w:p>
    <w:p w14:paraId="33167A93">
      <w:pPr>
        <w:pStyle w:val="11"/>
        <w:rPr>
          <w:rFonts w:ascii="Times New Roman" w:hAnsi="Calibri" w:eastAsia="宋体" w:cs="Times New Roman"/>
          <w:sz w:val="21"/>
        </w:rPr>
      </w:pPr>
      <w:r>
        <w:rPr>
          <w:rFonts w:ascii="Times New Roman" w:hAnsi="Calibri" w:eastAsia="宋体" w:cs="Times New Roman"/>
          <w:sz w:val="21"/>
        </w:rPr>
        <w:t>这种断裂并不总表现为信息缺失，更常表现为信息无法连续。某一事项的技术意见、管理意见和资金意见各自成立，但三者之间没有被组织成同一链条，于是不同主体都认为自己掌握了关键事实，最终却没人真正掌握全貌。比如，设计单位关注技术调整是否合理，施工单位关注是否具备实施条件，建设单位关心是否需要程序重启，财政评审则追问资金边界是否变化。每一方的关注点都合理，但如果缺少统一的信息表达和统一的数据坐标，同一事项就会在多方理解中不断分叉，最终增加解释成本，拖慢项目决策速度。</w:t>
      </w:r>
    </w:p>
    <w:p w14:paraId="6ABBEB3C">
      <w:pPr>
        <w:pStyle w:val="11"/>
        <w:rPr>
          <w:rFonts w:ascii="Times New Roman" w:hAnsi="Calibri" w:eastAsia="宋体" w:cs="Times New Roman"/>
          <w:sz w:val="21"/>
        </w:rPr>
      </w:pPr>
      <w:r>
        <w:rPr>
          <w:rFonts w:ascii="Times New Roman" w:hAnsi="Calibri" w:eastAsia="宋体" w:cs="Times New Roman"/>
          <w:sz w:val="21"/>
        </w:rPr>
        <w:t>从信息治理的角度看，主体多元本身不是问题，真正的问题在于多元主体没有围绕同一对象、同一状态和同一规则展开工作。很多项目的协调压力，并不是因为沟通不够，而是因为沟通建立在不同事实版本之上。也正因为如此，政府投资项目的信息治理不能只停留在</w:t>
      </w:r>
      <w:r>
        <w:rPr>
          <w:rFonts w:hint="eastAsia" w:ascii="Times New Roman" w:hAnsi="Times New Roman" w:eastAsia="宋体" w:cs="Times New Roman"/>
          <w:sz w:val="21"/>
          <w:lang w:eastAsia="zh-CN"/>
        </w:rPr>
        <w:t>“</w:t>
      </w:r>
      <w:r>
        <w:rPr>
          <w:rFonts w:ascii="Times New Roman" w:hAnsi="Calibri" w:eastAsia="宋体" w:cs="Times New Roman"/>
          <w:sz w:val="21"/>
        </w:rPr>
        <w:t>加强沟通</w:t>
      </w:r>
      <w:r>
        <w:rPr>
          <w:rFonts w:hint="eastAsia" w:ascii="Times New Roman" w:hAnsi="Times New Roman" w:eastAsia="宋体" w:cs="Times New Roman"/>
          <w:sz w:val="21"/>
          <w:lang w:eastAsia="zh-CN"/>
        </w:rPr>
        <w:t>”</w:t>
      </w:r>
      <w:r>
        <w:rPr>
          <w:rFonts w:ascii="Times New Roman" w:hAnsi="Calibri" w:eastAsia="宋体" w:cs="Times New Roman"/>
          <w:sz w:val="21"/>
        </w:rPr>
        <w:t>层面，而应当通过统一编号、统一节点、统一流转状态和统一留痕规则，尽量为多方建立共同事实基础。没有这一层基础，多主体协同只会把复杂度继续放大。</w:t>
      </w:r>
    </w:p>
    <w:p w14:paraId="26A9AE7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协同边界不清的问题表现</w:t>
      </w:r>
    </w:p>
    <w:p w14:paraId="234E16DD">
      <w:pPr>
        <w:pStyle w:val="11"/>
        <w:rPr>
          <w:rFonts w:ascii="Times New Roman" w:hAnsi="Calibri" w:eastAsia="宋体" w:cs="Times New Roman"/>
          <w:sz w:val="21"/>
        </w:rPr>
      </w:pPr>
      <w:r>
        <w:rPr>
          <w:rFonts w:ascii="Times New Roman" w:hAnsi="Calibri" w:eastAsia="宋体" w:cs="Times New Roman"/>
          <w:sz w:val="21"/>
        </w:rPr>
        <w:t>信息治理难的另一层原因，在于许多政府投资项目虽然参与主体众多，但边界划分并不真正清晰。表面上的职责分工往往写在合同和制度文件里，到了项目运行中，却常因事项交叉而出现责任模糊。某些问题是设计牵头还是施工先行判断，某些资料由监理把关还是建设单位最终确认，某些偏差由项目现场先纠正还是应先进入程序审批，不同团队的理解未必一致。边界一旦不清，最典型的后果不是没人做事，而是大家都做了一部分，却没有任何一方真正把事情闭合。</w:t>
      </w:r>
    </w:p>
    <w:p w14:paraId="08CFD201">
      <w:pPr>
        <w:pStyle w:val="11"/>
        <w:rPr>
          <w:rFonts w:ascii="Times New Roman" w:hAnsi="Calibri" w:eastAsia="宋体" w:cs="Times New Roman"/>
          <w:sz w:val="21"/>
        </w:rPr>
      </w:pPr>
      <w:r>
        <w:rPr>
          <w:rFonts w:ascii="Times New Roman" w:hAnsi="Calibri" w:eastAsia="宋体" w:cs="Times New Roman"/>
          <w:sz w:val="21"/>
        </w:rPr>
        <w:t>这种边界不清在信息层面会表现为三类问题。其一是同一事项被多次记录，却没有统一版本，最终谁都很忙，系统里却没有稳定结论。其二是问题被频繁上推，本应在现场解决的事项迟迟不能在现场闭环，项目组织因此越来越依赖会议协调。其三是资料与事实脱节，技术事实、现场事实和经济事实分别存在于不同体系中，后续一旦进入支付、评审或审计环节，就会发现各条线难以相互印证。换句话说，边界不清本质上不是职责文件写得不够细，而是数字化环境中没有为不同主体建立稳定的接口规则。</w:t>
      </w:r>
    </w:p>
    <w:p w14:paraId="67871664">
      <w:pPr>
        <w:pStyle w:val="11"/>
        <w:rPr>
          <w:rFonts w:ascii="Times New Roman" w:hAnsi="Calibri" w:eastAsia="宋体" w:cs="Times New Roman"/>
          <w:sz w:val="21"/>
        </w:rPr>
      </w:pPr>
      <w:r>
        <w:rPr>
          <w:rFonts w:ascii="Times New Roman" w:hAnsi="Calibri" w:eastAsia="宋体" w:cs="Times New Roman"/>
          <w:sz w:val="21"/>
        </w:rPr>
        <w:t>在政府投资项目研究中越来越明显地感受到，协同边界不清最消耗的不是时间本身，而是项目团队对信息的信任感。一个系统如果总是无法准确说明</w:t>
      </w:r>
      <w:r>
        <w:rPr>
          <w:rFonts w:hint="eastAsia" w:ascii="Times New Roman" w:hAnsi="Times New Roman" w:eastAsia="宋体" w:cs="Times New Roman"/>
          <w:sz w:val="21"/>
          <w:lang w:eastAsia="zh-CN"/>
        </w:rPr>
        <w:t>“</w:t>
      </w:r>
      <w:r>
        <w:rPr>
          <w:rFonts w:ascii="Times New Roman" w:hAnsi="Calibri" w:eastAsia="宋体" w:cs="Times New Roman"/>
          <w:sz w:val="21"/>
        </w:rPr>
        <w:t>现在该谁处理</w:t>
      </w:r>
      <w:r>
        <w:rPr>
          <w:rFonts w:hint="eastAsia" w:ascii="Times New Roman" w:hAnsi="Times New Roman" w:eastAsia="宋体" w:cs="Times New Roman"/>
          <w:sz w:val="21"/>
          <w:lang w:eastAsia="zh-CN"/>
        </w:rPr>
        <w:t>”“</w:t>
      </w:r>
      <w:r>
        <w:rPr>
          <w:rFonts w:ascii="Times New Roman" w:hAnsi="Calibri" w:eastAsia="宋体" w:cs="Times New Roman"/>
          <w:sz w:val="21"/>
        </w:rPr>
        <w:t>为什么还不能往下走</w:t>
      </w:r>
      <w:r>
        <w:rPr>
          <w:rFonts w:hint="eastAsia" w:ascii="Times New Roman" w:hAnsi="Times New Roman" w:eastAsia="宋体" w:cs="Times New Roman"/>
          <w:sz w:val="21"/>
          <w:lang w:eastAsia="zh-CN"/>
        </w:rPr>
        <w:t>”“</w:t>
      </w:r>
      <w:r>
        <w:rPr>
          <w:rFonts w:ascii="Times New Roman" w:hAnsi="Calibri" w:eastAsia="宋体" w:cs="Times New Roman"/>
          <w:sz w:val="21"/>
        </w:rPr>
        <w:t>缺的究竟是哪一类条件</w:t>
      </w:r>
      <w:r>
        <w:rPr>
          <w:rFonts w:hint="eastAsia" w:ascii="Times New Roman" w:hAnsi="Times New Roman" w:eastAsia="宋体" w:cs="Times New Roman"/>
          <w:sz w:val="21"/>
          <w:lang w:eastAsia="zh-CN"/>
        </w:rPr>
        <w:t>”</w:t>
      </w:r>
      <w:r>
        <w:rPr>
          <w:rFonts w:ascii="Times New Roman" w:hAnsi="Calibri" w:eastAsia="宋体" w:cs="Times New Roman"/>
          <w:sz w:val="21"/>
        </w:rPr>
        <w:t>，使用者很快就会重新回到线下经验协调。数字化建设之所以容易在多主体项目中被边缘化，原因往往不是技术能力不足，而是边界治理没有先走到前面。只有把事项归属、流转权限和结果确认机制明确下来，平台上的信息才不会成为新的混乱来源。</w:t>
      </w:r>
    </w:p>
    <w:p w14:paraId="02C9DDB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信息治理机制重构方向</w:t>
      </w:r>
    </w:p>
    <w:p w14:paraId="0ED40414">
      <w:pPr>
        <w:pStyle w:val="11"/>
        <w:rPr>
          <w:rFonts w:ascii="Times New Roman" w:hAnsi="Calibri" w:eastAsia="宋体" w:cs="Times New Roman"/>
          <w:sz w:val="21"/>
        </w:rPr>
      </w:pPr>
      <w:r>
        <w:rPr>
          <w:rFonts w:ascii="Times New Roman" w:hAnsi="Calibri" w:eastAsia="宋体" w:cs="Times New Roman"/>
          <w:sz w:val="21"/>
        </w:rPr>
        <w:t>面对多主体协同下的信息断裂和边界模糊，信息治理的重构方向应当非常明确，那就是从分散管理转向统一规则下的协同管理。所谓统一，不是把所有主体的权力和职责简单集中，而是围绕项目核心事项建立统一的数据规则、统一的状态表达、统一的流转逻辑和统一的责任留痕。只有这样，不同主体才可能在保留各自职责边界的前提下，围绕同一事实展开工作。数字化平台在这里不应只是数据汇集工具，而应成为治理规则的承载体。</w:t>
      </w:r>
    </w:p>
    <w:p w14:paraId="2AD647F4">
      <w:pPr>
        <w:pStyle w:val="11"/>
        <w:rPr>
          <w:rFonts w:ascii="Times New Roman" w:hAnsi="Calibri" w:eastAsia="宋体" w:cs="Times New Roman"/>
          <w:sz w:val="21"/>
        </w:rPr>
      </w:pPr>
      <w:r>
        <w:rPr>
          <w:rFonts w:ascii="Times New Roman" w:hAnsi="Calibri" w:eastAsia="宋体" w:cs="Times New Roman"/>
          <w:sz w:val="21"/>
        </w:rPr>
        <w:t>更稳妥的重构路径，通常包括三个层面。第一个层面是对象统一。项目中的工程部位、合同单元、审批事项、变更事件、支付节点等关键对象必须拥有一致身份，防止同一事项在不同系统中反复变形。第二个层面是状态统一。一个事项处于拟发起、审批中、已确认、实施中、已闭合还是待复核，应有相对稳定的表达方式，避免不同部门使用不同状态语言。第三个层面是责任统一。谁负责发起、谁负责审核、谁负责实施、谁负责复核，都应沿着同一条数字链条被记录下来，使责任不再只存在于制度文字中，而存在于项目运行事实上。</w:t>
      </w:r>
    </w:p>
    <w:p w14:paraId="11F6AD93">
      <w:pPr>
        <w:pStyle w:val="11"/>
        <w:rPr>
          <w:rFonts w:ascii="Times New Roman" w:hAnsi="Calibri" w:eastAsia="宋体" w:cs="Times New Roman"/>
          <w:sz w:val="21"/>
        </w:rPr>
      </w:pPr>
      <w:r>
        <w:rPr>
          <w:rFonts w:ascii="Times New Roman" w:hAnsi="Calibri" w:eastAsia="宋体" w:cs="Times New Roman"/>
          <w:sz w:val="21"/>
        </w:rPr>
        <w:t>这种重构还有一个重要前提，就是数字化治理必须承认多主体项目的现实复杂性，而不是试图用一个系统吞没所有差异。真正成熟的信息治理，并不是追求所有主体都按同样方式工作，而是让不同主体在不同职责下使用同一组底层规则。这样一来，协同并不会因为主体多而失控，反而可能因为规则清楚而更有秩序。对政府投资项目来说，这一点尤为重要，因为它决定了数字化建设究竟是在增加管理层级，还是在减少信息损耗。</w:t>
      </w:r>
    </w:p>
    <w:p w14:paraId="2C0F3A36">
      <w:pPr>
        <w:pStyle w:val="4"/>
        <w:numPr>
          <w:ilvl w:val="0"/>
          <w:numId w:val="0"/>
        </w:numPr>
        <w:topLinePunct w:val="0"/>
        <w:ind w:left="0" w:leftChars="0" w:firstLine="422" w:firstLineChars="0"/>
        <w:rPr>
          <w:b/>
        </w:rPr>
      </w:pPr>
      <w:r>
        <w:rPr>
          <w:rFonts w:hint="eastAsia" w:ascii="黑体" w:hAnsi="黑体" w:eastAsia="黑体" w:cs="黑体"/>
          <w:b/>
          <w:sz w:val="21"/>
        </w:rPr>
        <w:t>三、</w:t>
      </w:r>
      <w:r>
        <w:t>公共资金约束下的数字化管理重点</w:t>
      </w:r>
    </w:p>
    <w:p w14:paraId="2605781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资金监管透明化要求</w:t>
      </w:r>
    </w:p>
    <w:p w14:paraId="79F6EDD7">
      <w:pPr>
        <w:pStyle w:val="11"/>
        <w:rPr>
          <w:rFonts w:ascii="Times New Roman" w:hAnsi="Calibri" w:eastAsia="宋体" w:cs="Times New Roman"/>
          <w:sz w:val="21"/>
        </w:rPr>
      </w:pPr>
      <w:r>
        <w:rPr>
          <w:rFonts w:ascii="Times New Roman" w:hAnsi="Calibri" w:eastAsia="宋体" w:cs="Times New Roman"/>
          <w:sz w:val="21"/>
        </w:rPr>
        <w:t>公共资金项目的数字化管理，首先必须回应透明化要求。企业投资项目当然也重视成本和合规，但公共资金项目面对的是更高强度的社会监督、财政约束和责任审视。项目中的每一笔支出，不仅要说明</w:t>
      </w:r>
      <w:r>
        <w:rPr>
          <w:rFonts w:hint="eastAsia" w:ascii="Times New Roman" w:hAnsi="Times New Roman" w:eastAsia="宋体" w:cs="Times New Roman"/>
          <w:sz w:val="21"/>
          <w:lang w:eastAsia="zh-CN"/>
        </w:rPr>
        <w:t>“</w:t>
      </w:r>
      <w:r>
        <w:rPr>
          <w:rFonts w:ascii="Times New Roman" w:hAnsi="Calibri" w:eastAsia="宋体" w:cs="Times New Roman"/>
          <w:sz w:val="21"/>
        </w:rPr>
        <w:t>花了多少钱</w:t>
      </w:r>
      <w:r>
        <w:rPr>
          <w:rFonts w:hint="eastAsia" w:ascii="Times New Roman" w:hAnsi="Times New Roman" w:eastAsia="宋体" w:cs="Times New Roman"/>
          <w:sz w:val="21"/>
          <w:lang w:eastAsia="zh-CN"/>
        </w:rPr>
        <w:t>”</w:t>
      </w:r>
      <w:r>
        <w:rPr>
          <w:rFonts w:ascii="Times New Roman" w:hAnsi="Calibri" w:eastAsia="宋体" w:cs="Times New Roman"/>
          <w:sz w:val="21"/>
        </w:rPr>
        <w:t>，更要说明</w:t>
      </w:r>
      <w:r>
        <w:rPr>
          <w:rFonts w:hint="eastAsia" w:ascii="Times New Roman" w:hAnsi="Times New Roman" w:eastAsia="宋体" w:cs="Times New Roman"/>
          <w:sz w:val="21"/>
          <w:lang w:eastAsia="zh-CN"/>
        </w:rPr>
        <w:t>“</w:t>
      </w:r>
      <w:r>
        <w:rPr>
          <w:rFonts w:ascii="Times New Roman" w:hAnsi="Calibri" w:eastAsia="宋体" w:cs="Times New Roman"/>
          <w:sz w:val="21"/>
        </w:rPr>
        <w:t>为什么花、依据是什么、程序是否完备、对应事实在哪里</w:t>
      </w:r>
      <w:r>
        <w:rPr>
          <w:rFonts w:hint="eastAsia" w:ascii="Times New Roman" w:hAnsi="Times New Roman" w:eastAsia="宋体" w:cs="Times New Roman"/>
          <w:sz w:val="21"/>
          <w:lang w:eastAsia="zh-CN"/>
        </w:rPr>
        <w:t>”</w:t>
      </w:r>
      <w:r>
        <w:rPr>
          <w:rFonts w:ascii="Times New Roman" w:hAnsi="Calibri" w:eastAsia="宋体" w:cs="Times New Roman"/>
          <w:sz w:val="21"/>
        </w:rPr>
        <w:t>。这意味着数字化管理的重点不能只放在现场展示和组织提效上，而要把资金流转所需要的透明度作为核心目标之一。没有透明度，数据再多也很难进入财政评审、审计监督和责任倒查链条。</w:t>
      </w:r>
    </w:p>
    <w:p w14:paraId="294165F3">
      <w:pPr>
        <w:pStyle w:val="11"/>
        <w:rPr>
          <w:rFonts w:ascii="Times New Roman" w:hAnsi="Calibri" w:eastAsia="宋体" w:cs="Times New Roman"/>
          <w:sz w:val="21"/>
        </w:rPr>
      </w:pPr>
      <w:r>
        <w:rPr>
          <w:rFonts w:ascii="Times New Roman" w:hAnsi="Calibri" w:eastAsia="宋体" w:cs="Times New Roman"/>
          <w:sz w:val="21"/>
        </w:rPr>
        <w:t>这里的透明并不是简单公开，而是能够让关键事实被准确复原。投资边界是否被突破，变更支出是否具备依据，月度产值与支付申请是否一致，结算结果能否追溯到过程资料，这些都需要数字化系统提供稳定、连续的支撑。公共资金项目最忌讳的是结果看似清楚，过程却无法说明。因为一旦过程不清，任何金额结论都可能在评审阶段被重新打开。数字化管理若能把工程事实、合同边界、审批状态和支付节点同步组织起来，项目资金运行就会从</w:t>
      </w:r>
      <w:r>
        <w:rPr>
          <w:rFonts w:hint="eastAsia" w:ascii="Times New Roman" w:hAnsi="Times New Roman" w:eastAsia="宋体" w:cs="Times New Roman"/>
          <w:sz w:val="21"/>
          <w:lang w:eastAsia="zh-CN"/>
        </w:rPr>
        <w:t>“</w:t>
      </w:r>
      <w:r>
        <w:rPr>
          <w:rFonts w:ascii="Times New Roman" w:hAnsi="Calibri" w:eastAsia="宋体" w:cs="Times New Roman"/>
          <w:sz w:val="21"/>
        </w:rPr>
        <w:t>靠事后说明</w:t>
      </w:r>
      <w:r>
        <w:rPr>
          <w:rFonts w:hint="eastAsia" w:ascii="Times New Roman" w:hAnsi="Times New Roman" w:eastAsia="宋体" w:cs="Times New Roman"/>
          <w:sz w:val="21"/>
          <w:lang w:eastAsia="zh-CN"/>
        </w:rPr>
        <w:t>”</w:t>
      </w:r>
      <w:r>
        <w:rPr>
          <w:rFonts w:ascii="Times New Roman" w:hAnsi="Calibri" w:eastAsia="宋体" w:cs="Times New Roman"/>
          <w:sz w:val="21"/>
        </w:rPr>
        <w:t>转向</w:t>
      </w:r>
      <w:r>
        <w:rPr>
          <w:rFonts w:hint="eastAsia" w:ascii="Times New Roman" w:hAnsi="Times New Roman" w:eastAsia="宋体" w:cs="Times New Roman"/>
          <w:sz w:val="21"/>
          <w:lang w:eastAsia="zh-CN"/>
        </w:rPr>
        <w:t>“</w:t>
      </w:r>
      <w:r>
        <w:rPr>
          <w:rFonts w:ascii="Times New Roman" w:hAnsi="Calibri" w:eastAsia="宋体" w:cs="Times New Roman"/>
          <w:sz w:val="21"/>
        </w:rPr>
        <w:t>靠过程证明</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2769A549">
      <w:pPr>
        <w:pStyle w:val="11"/>
        <w:rPr>
          <w:rFonts w:ascii="Times New Roman" w:hAnsi="Calibri" w:eastAsia="宋体" w:cs="Times New Roman"/>
          <w:sz w:val="21"/>
        </w:rPr>
      </w:pPr>
      <w:r>
        <w:rPr>
          <w:rFonts w:ascii="Times New Roman" w:hAnsi="Calibri" w:eastAsia="宋体" w:cs="Times New Roman"/>
          <w:sz w:val="21"/>
        </w:rPr>
        <w:t>更值得强调的是，透明化要求还会改变项目团队的工作习惯。很多现场管理动作过去更重结果，现在则必须同时重视过程证据。对于政府投资项目而言，做了什么固然重要，如何留痕、由谁确认、在什么规则下进入资金链条同样重要。数字化正是在这一转变中体现价值。它不只是帮助项目把账算清，更是在帮助项目把钱花得说得清、查得到、问得明。</w:t>
      </w:r>
    </w:p>
    <w:p w14:paraId="080586DE">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过程留痕强化责任约束</w:t>
      </w:r>
    </w:p>
    <w:p w14:paraId="677EC7E8">
      <w:pPr>
        <w:pStyle w:val="11"/>
        <w:rPr>
          <w:rFonts w:ascii="Times New Roman" w:hAnsi="Calibri" w:eastAsia="宋体" w:cs="Times New Roman"/>
          <w:sz w:val="21"/>
        </w:rPr>
      </w:pPr>
      <w:r>
        <w:rPr>
          <w:rFonts w:ascii="Times New Roman" w:hAnsi="Calibri" w:eastAsia="宋体" w:cs="Times New Roman"/>
          <w:sz w:val="21"/>
        </w:rPr>
        <w:t>在公共资金约束下，过程留痕不是可有可无的管理附属，而是责任成立的重要前提。政府投资项目中的许多责任，并不是在竣工时才突然出现，而是在施工全过程中逐步形成。某项变更是谁提出的，某次签证为何发生，某笔支付依据哪一批资料审核通过，某一节点迟延究竟是因为现场原因还是程序原因，这些问题若没有连续留痕，后续责任认定就很容易陷入各执一词。数字化管理最适合强化的，恰恰是这一条责任链。</w:t>
      </w:r>
    </w:p>
    <w:p w14:paraId="1B9964FC">
      <w:pPr>
        <w:pStyle w:val="11"/>
        <w:rPr>
          <w:rFonts w:ascii="Times New Roman" w:hAnsi="Calibri" w:eastAsia="宋体" w:cs="Times New Roman"/>
          <w:sz w:val="21"/>
        </w:rPr>
      </w:pPr>
      <w:r>
        <w:rPr>
          <w:rFonts w:ascii="Times New Roman" w:hAnsi="Calibri" w:eastAsia="宋体" w:cs="Times New Roman"/>
          <w:sz w:val="21"/>
        </w:rPr>
        <w:t>过程留痕的真正价值，并不在资料数量，而在链条完整。一个成熟的留痕体系，至少应回答事项是什么、何时发生、谁参与、谁确认、依据什么文件推进、结果怎样进入下一步。若能做到这一点，项目中的许多责任判断就不再依赖事后解释，而建立在持续形成的数字证据上。对公共资金项目来说，这种留痕尤其关键，因为财政评审和审计监督关注的往往不是某一单点事实，而是事实与程序、程序与支出之间是否构成完整闭环。</w:t>
      </w:r>
    </w:p>
    <w:p w14:paraId="00D54F6A">
      <w:pPr>
        <w:pStyle w:val="11"/>
        <w:rPr>
          <w:rFonts w:ascii="Times New Roman" w:hAnsi="Calibri" w:eastAsia="宋体" w:cs="Times New Roman"/>
          <w:sz w:val="21"/>
        </w:rPr>
      </w:pPr>
      <w:r>
        <w:rPr>
          <w:rFonts w:ascii="Times New Roman" w:hAnsi="Calibri" w:eastAsia="宋体" w:cs="Times New Roman"/>
          <w:sz w:val="21"/>
        </w:rPr>
        <w:t>公共项目数字化建设的核心，不是让系统更聪明，而是让责任更清楚。责任清楚并不只是为了追责，它更能倒逼前端管理更加规范。现场一旦知道每一个关键动作都会在后续链条中留下可回看痕迹，很多原本容易被简化或跳过的程序就会自然被重视。数字化留痕因此既是后端监督工具，也是前端行为约束工具。它把公共资金项目中最容易模糊的责任边界，逐步转化为可核验、可回溯的过程事实。</w:t>
      </w:r>
    </w:p>
    <w:p w14:paraId="4846815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数字化提升监管效能</w:t>
      </w:r>
    </w:p>
    <w:p w14:paraId="1B67A25F">
      <w:pPr>
        <w:pStyle w:val="11"/>
        <w:rPr>
          <w:rFonts w:ascii="Times New Roman" w:hAnsi="Calibri" w:eastAsia="宋体" w:cs="Times New Roman"/>
          <w:sz w:val="21"/>
        </w:rPr>
      </w:pPr>
      <w:r>
        <w:rPr>
          <w:rFonts w:ascii="Times New Roman" w:hAnsi="Calibri" w:eastAsia="宋体" w:cs="Times New Roman"/>
          <w:sz w:val="21"/>
        </w:rPr>
        <w:t>在公共资金项目中，数字化管理的最终价值还体现在监管效能提升上。监管并不只意味着更频繁地检查，而是意味着用更低的信息成本看到更接近真实的项目运行状态。传统监管模式下，主管部门、财政评审和审计监督往往依赖报表、阶段资料和专项检查掌握情况，这种方式并非无效，但它对项目的动态变化反应较慢，也容易受材料完整性和汇总口径影响。数字化工具进入之后，监管方式开始从节点式、报送式监督，逐步转向过程式、穿透式监督。</w:t>
      </w:r>
    </w:p>
    <w:p w14:paraId="3DD8DC21">
      <w:pPr>
        <w:pStyle w:val="11"/>
        <w:rPr>
          <w:rFonts w:ascii="Times New Roman" w:hAnsi="Calibri" w:eastAsia="宋体" w:cs="Times New Roman"/>
          <w:sz w:val="21"/>
        </w:rPr>
      </w:pPr>
      <w:r>
        <w:rPr>
          <w:rFonts w:ascii="Times New Roman" w:hAnsi="Calibri" w:eastAsia="宋体" w:cs="Times New Roman"/>
          <w:sz w:val="21"/>
        </w:rPr>
        <w:t>这种提升主要体现在三个方面。其一，监管对象更清晰。项目的关键节点、主要风险、资金状态和程序状态不再只是零散文件，而开始具有统一表达。其二，监管时效更靠前。很多偏差不必等到结算和评审阶段才被集中识别，而可以在过程运行中及时暴露。其三，监管重点更聚焦。监管者不必在大量资料中平均用力，而能够把精力放到最容易引发资金风险、履约争议和责任不清的关键事项上。这样形成的监管，不仅效率更高，也更容易形成对项目治理的正向牵引。</w:t>
      </w:r>
    </w:p>
    <w:p w14:paraId="31405EEA">
      <w:pPr>
        <w:pStyle w:val="11"/>
        <w:rPr>
          <w:rFonts w:ascii="Times New Roman" w:hAnsi="Calibri" w:eastAsia="宋体" w:cs="Times New Roman"/>
          <w:sz w:val="21"/>
        </w:rPr>
      </w:pPr>
      <w:r>
        <w:rPr>
          <w:rFonts w:ascii="Times New Roman" w:hAnsi="Calibri" w:eastAsia="宋体" w:cs="Times New Roman"/>
          <w:sz w:val="21"/>
        </w:rPr>
        <w:t>需要看到的是，数字化提升监管效能，并不意味着监管可以脱离工程专业判断。政府投资项目仍然需要建设、设计、施工、造价和评审等多专业共同支撑，数字化所做的是把这些判断建立在更完整、更连续、更可验证的事实基础之上。</w:t>
      </w:r>
    </w:p>
    <w:p w14:paraId="67A0263E">
      <w:pPr>
        <w:pStyle w:val="3"/>
        <w:numPr>
          <w:ilvl w:val="0"/>
          <w:numId w:val="0"/>
        </w:numPr>
        <w:ind w:left="0" w:leftChars="0" w:firstLine="0" w:firstLineChars="0"/>
        <w:rPr>
          <w:b/>
        </w:rPr>
      </w:pPr>
      <w:bookmarkStart w:id="34" w:name="_Toc23698"/>
      <w:r>
        <w:rPr>
          <w:rFonts w:hint="eastAsia" w:ascii="宋体" w:hAnsi="宋体" w:eastAsia="黑体" w:cs="宋体"/>
          <w:b/>
          <w:bCs/>
          <w:kern w:val="44"/>
          <w:sz w:val="30"/>
          <w:szCs w:val="30"/>
        </w:rPr>
        <w:t>第二节</w:t>
      </w:r>
      <w:r>
        <w:rPr>
          <w:rFonts w:hint="eastAsia" w:cs="宋体"/>
          <w:b/>
          <w:bCs/>
          <w:kern w:val="44"/>
          <w:sz w:val="30"/>
          <w:szCs w:val="30"/>
          <w:lang w:val="en-US" w:eastAsia="zh-CN"/>
        </w:rPr>
        <w:t xml:space="preserve"> </w:t>
      </w:r>
      <w:r>
        <w:t>公共建筑项目的数字化组织</w:t>
      </w:r>
      <w:bookmarkEnd w:id="34"/>
      <w:r>
        <w:t xml:space="preserve">  </w:t>
      </w:r>
    </w:p>
    <w:p w14:paraId="4F9911CF">
      <w:pPr>
        <w:pStyle w:val="4"/>
        <w:numPr>
          <w:ilvl w:val="0"/>
          <w:numId w:val="0"/>
        </w:numPr>
        <w:topLinePunct w:val="0"/>
        <w:ind w:left="0" w:leftChars="0" w:firstLine="422" w:firstLineChars="0"/>
        <w:rPr>
          <w:b/>
        </w:rPr>
      </w:pPr>
      <w:r>
        <w:rPr>
          <w:rFonts w:hint="eastAsia" w:ascii="黑体" w:hAnsi="黑体" w:eastAsia="黑体" w:cs="黑体"/>
          <w:b/>
          <w:sz w:val="21"/>
        </w:rPr>
        <w:t>一、</w:t>
      </w:r>
      <w:r>
        <w:t>教育与文体设施项目的实施特征</w:t>
      </w:r>
    </w:p>
    <w:p w14:paraId="1A409C1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功能复合带来的施工组织复杂性</w:t>
      </w:r>
    </w:p>
    <w:p w14:paraId="02287522">
      <w:pPr>
        <w:pStyle w:val="11"/>
        <w:rPr>
          <w:rFonts w:ascii="Times New Roman" w:hAnsi="Calibri" w:eastAsia="宋体" w:cs="Times New Roman"/>
          <w:sz w:val="21"/>
        </w:rPr>
      </w:pPr>
      <w:r>
        <w:rPr>
          <w:rFonts w:ascii="Times New Roman" w:hAnsi="Calibri" w:eastAsia="宋体" w:cs="Times New Roman"/>
          <w:sz w:val="21"/>
        </w:rPr>
        <w:t>教育与文体设施项目与一般房屋建筑相比，最突出的差别不在建筑体量本身，而在使用功能的复合程度更高、空间转换更频繁、专业系统耦合更紧。学校项目往往同时包含教学、办公、实验、食堂、报告、运动等多类功能，图书馆、文化馆、博物馆、体育馆等文体设施又叠加了阅览、展陈、演出、集会、设备运行和人流疏散等多重需求。施工组织因此不能只按土建、安装、装饰的传统线条推进，还要把功能空间成型顺序、设备系统安装条件、精装修收口关系以及后续调试界面统筹到同一计划链中。表面上看是专业更多，实质上是空间、功能和工序的对应关系更复杂。再加上建设单位、使用单位、运营准备团队和专项检测机构常常提前介入，组织关系比普通项目更早进入多主体并行状态。</w:t>
      </w:r>
    </w:p>
    <w:p w14:paraId="24FD876A">
      <w:pPr>
        <w:pStyle w:val="11"/>
        <w:rPr>
          <w:rFonts w:ascii="Times New Roman" w:hAnsi="Calibri" w:eastAsia="宋体" w:cs="Times New Roman"/>
          <w:sz w:val="21"/>
        </w:rPr>
      </w:pPr>
      <w:r>
        <w:rPr>
          <w:rFonts w:ascii="Times New Roman" w:hAnsi="Calibri" w:eastAsia="宋体" w:cs="Times New Roman"/>
          <w:sz w:val="21"/>
        </w:rPr>
        <w:t>这种复杂性首先表现为作业界面密集。公共建筑内部往往存在大开间、多中庭、多共享空间和大量机电末端点位，单个区域中常常同时出现结构补强、设备安装、智能化布线、装饰收边和专项系统调试。若仍沿用普通项目那种按楼层粗放排产、靠现场口头协调穿插的方式，极易造成工序冲突、返工叠加和成品破坏。数字化组织在这里承担的，不只是记录现场状态，而是将功能单元、施工单元和责任单元同步表达，使计划管理不再停留在平面排程，而进入到空间级、工序级和界面级控制。</w:t>
      </w:r>
    </w:p>
    <w:p w14:paraId="2595477D">
      <w:pPr>
        <w:pStyle w:val="11"/>
        <w:rPr>
          <w:rFonts w:ascii="Times New Roman" w:hAnsi="Calibri" w:eastAsia="宋体" w:cs="Times New Roman"/>
          <w:sz w:val="21"/>
        </w:rPr>
      </w:pPr>
      <w:r>
        <w:rPr>
          <w:rFonts w:ascii="Times New Roman" w:hAnsi="Calibri" w:eastAsia="宋体" w:cs="Times New Roman"/>
          <w:sz w:val="21"/>
        </w:rPr>
        <w:t>复杂性还来自使用标准的差异化。教育建筑强调教学秩序、采光通风、设备稳定和安全疏散，文体建筑则更关注人流组织、声光环境、结构净空、机电保障和运营体验。施工阶段若只追求主体完成，而忽视功能空间的形成节奏，后续常会在专项调试和竣工移交阶段集中暴露问题。</w:t>
      </w:r>
    </w:p>
    <w:p w14:paraId="55A8773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公共服务属性下的质量要求</w:t>
      </w:r>
    </w:p>
    <w:p w14:paraId="02C92A76">
      <w:pPr>
        <w:pStyle w:val="11"/>
        <w:rPr>
          <w:rFonts w:ascii="Times New Roman" w:hAnsi="Calibri" w:eastAsia="宋体" w:cs="Times New Roman"/>
          <w:sz w:val="21"/>
        </w:rPr>
      </w:pPr>
      <w:r>
        <w:rPr>
          <w:rFonts w:ascii="Times New Roman" w:hAnsi="Calibri" w:eastAsia="宋体" w:cs="Times New Roman"/>
          <w:sz w:val="21"/>
        </w:rPr>
        <w:t>公共建筑的质量要求明显高于一般意义上的实体成型要求。它不仅要求结构安全和使用可靠，还要求空间品质、设备协同和运行稳定在交付前基本成型。学校交付后面对的是高密度、规律性使用场景，图书馆、文化馆和体育设施面对的则是开放性更强、人员聚集度更高的公共服务场景。质量控制若只停留在分部分项验收合格，往往不足以支撑公共服务设施的实际使用要求。数字化组织的一个关键任务，就是把抽象的品质要求转化为过程控制对象，让功能性质量在施工阶段就能被跟踪和验证。</w:t>
      </w:r>
    </w:p>
    <w:p w14:paraId="55F03B9A">
      <w:pPr>
        <w:pStyle w:val="11"/>
        <w:rPr>
          <w:rFonts w:ascii="Times New Roman" w:hAnsi="Calibri" w:eastAsia="宋体" w:cs="Times New Roman"/>
          <w:sz w:val="21"/>
        </w:rPr>
      </w:pPr>
      <w:r>
        <w:rPr>
          <w:rFonts w:ascii="Times New Roman" w:hAnsi="Calibri" w:eastAsia="宋体" w:cs="Times New Roman"/>
          <w:sz w:val="21"/>
        </w:rPr>
        <w:t>这类项目的质量控制更强调系统协同。公共服务建筑中的暖通、消防、照明、弱电、安防、广播、舞台机械、阅览与展陈环境控制等系统，彼此并非独立安装、分别验收即可，而是需要在空间场景中实现联动运行。施工管理若只按专业切块，容易出现土建完成了、空间却不能用，设备装上了、系统却难协同的局面。数字化管理应把构件质量、安装位置、调试状态和场景需求关联起来，使质量不再只是静态合格，而逐步接近可使用、可联动、可运转的状态。</w:t>
      </w:r>
    </w:p>
    <w:p w14:paraId="5B452BF4">
      <w:pPr>
        <w:pStyle w:val="11"/>
        <w:rPr>
          <w:rFonts w:ascii="Times New Roman" w:hAnsi="Calibri" w:eastAsia="宋体" w:cs="Times New Roman"/>
          <w:sz w:val="21"/>
        </w:rPr>
      </w:pPr>
      <w:r>
        <w:rPr>
          <w:rFonts w:ascii="Times New Roman" w:hAnsi="Calibri" w:eastAsia="宋体" w:cs="Times New Roman"/>
          <w:sz w:val="21"/>
        </w:rPr>
        <w:t>公共服务属性还使质量问题的外部影响被显著放大。住宅项目中的局部缺陷往往在交付后分散暴露，公共建筑中的缺陷则可能在集中启用时同步显现，影响范围更广，社会关注度也更高。正因如此，这类项目更需要在施工阶段强化样板引路、工序留痕、关键部位复核和问题闭环，将隐性的质量偏差尽量消化在施工期。</w:t>
      </w:r>
    </w:p>
    <w:p w14:paraId="005ED673">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阶段衔接与交付要求</w:t>
      </w:r>
    </w:p>
    <w:p w14:paraId="3E203F34">
      <w:pPr>
        <w:pStyle w:val="11"/>
        <w:rPr>
          <w:rFonts w:ascii="Times New Roman" w:hAnsi="Calibri" w:eastAsia="宋体" w:cs="Times New Roman"/>
          <w:sz w:val="21"/>
        </w:rPr>
      </w:pPr>
      <w:r>
        <w:rPr>
          <w:rFonts w:ascii="Times New Roman" w:hAnsi="Calibri" w:eastAsia="宋体" w:cs="Times New Roman"/>
          <w:sz w:val="21"/>
        </w:rPr>
        <w:t>公共建筑项目的组织难点，还体现在阶段衔接比普通项目更紧。教育与文体设施往往受财政安排、学期节点、赛事活动、公共开放计划等因素约束，项目交付时间具有较强刚性。许多工程并不是建完即可，而是要求主体、机电、装饰、专项系统调试、家具设备进场和使用准备形成连续衔接。施工组织若只盯住主体封顶和装饰完成两个大节点，往往难以保证最终交付顺畅。</w:t>
      </w:r>
    </w:p>
    <w:p w14:paraId="266F8461">
      <w:pPr>
        <w:pStyle w:val="11"/>
        <w:rPr>
          <w:rFonts w:ascii="Times New Roman" w:hAnsi="Calibri" w:eastAsia="宋体" w:cs="Times New Roman"/>
          <w:sz w:val="21"/>
        </w:rPr>
      </w:pPr>
      <w:r>
        <w:rPr>
          <w:rFonts w:ascii="Times New Roman" w:hAnsi="Calibri" w:eastAsia="宋体" w:cs="Times New Roman"/>
          <w:sz w:val="21"/>
        </w:rPr>
        <w:t>数字化组织在这一阶段的价值，在于把交付要求前移到施工过程。哪些空间需要提前完成精装样板，哪些设备系统需要预留联调时间，哪些区域必须先完成静态验收再进入使用设备安装，哪些资料必须与实体同步形成，这些都应在进度体系中提前表达。公共建筑项目真正需要的不是单一总工期达标，而是各阶段衔接有序、交付条件完整、启用准备充分。</w:t>
      </w:r>
    </w:p>
    <w:p w14:paraId="2A3DAEF0">
      <w:pPr>
        <w:pStyle w:val="11"/>
        <w:rPr>
          <w:rFonts w:ascii="Times New Roman" w:hAnsi="Calibri" w:eastAsia="宋体" w:cs="Times New Roman"/>
          <w:sz w:val="21"/>
        </w:rPr>
      </w:pPr>
      <w:r>
        <w:rPr>
          <w:rFonts w:ascii="Times New Roman" w:hAnsi="Calibri" w:eastAsia="宋体" w:cs="Times New Roman"/>
          <w:sz w:val="21"/>
        </w:rPr>
        <w:t>与此相联系，交付管理也不能只理解为竣工节点控制。学校、图书馆、文化馆、体育设施在交付前往往还需经过专项检测、设备联调、场景测试和管理移交。数字化组织若能够把实体完成状态、系统调试状态和资料归集状态放在同一平台上同步观察，项目部就能更早判断哪些问题会影响最终启用。</w:t>
      </w:r>
    </w:p>
    <w:p w14:paraId="78EA9C88">
      <w:pPr>
        <w:pStyle w:val="4"/>
        <w:numPr>
          <w:ilvl w:val="0"/>
          <w:numId w:val="0"/>
        </w:numPr>
        <w:topLinePunct w:val="0"/>
        <w:ind w:left="0" w:leftChars="0" w:firstLine="422" w:firstLineChars="0"/>
        <w:rPr>
          <w:b/>
        </w:rPr>
      </w:pPr>
      <w:r>
        <w:rPr>
          <w:rFonts w:hint="eastAsia" w:ascii="黑体" w:hAnsi="黑体" w:eastAsia="黑体" w:cs="黑体"/>
          <w:b/>
          <w:sz w:val="21"/>
        </w:rPr>
        <w:t>二、</w:t>
      </w:r>
      <w:r>
        <w:t>地下与覆土式建筑的管理难点</w:t>
      </w:r>
    </w:p>
    <w:p w14:paraId="7B9D586E">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复杂空间条件下的组织难题</w:t>
      </w:r>
    </w:p>
    <w:p w14:paraId="7EFF2508">
      <w:pPr>
        <w:pStyle w:val="11"/>
        <w:rPr>
          <w:rFonts w:ascii="Times New Roman" w:hAnsi="Calibri" w:eastAsia="宋体" w:cs="Times New Roman"/>
          <w:sz w:val="21"/>
        </w:rPr>
      </w:pPr>
      <w:r>
        <w:rPr>
          <w:rFonts w:ascii="Times New Roman" w:hAnsi="Calibri" w:eastAsia="宋体" w:cs="Times New Roman"/>
          <w:sz w:val="21"/>
        </w:rPr>
        <w:t>地下与覆土式建筑是公共建筑项目中最容易低估组织难度的类型。这类空间表面上只是建筑体量的一部分，实际上却往往集中了最复杂的结构条件、最密集的设备布置和最严苛的防水防渗要求。地下室、下沉空间、覆土展厅、地下阅览空间、设备机房群、交通转换空间和人防兼用区域常常在一个项目中同时存在，土建施工、基坑支护、降排水、防水施工、机电安装和装饰收口彼此交错，任何一个环节失控，都会向后续多专业施工传导。</w:t>
      </w:r>
    </w:p>
    <w:p w14:paraId="734E0029">
      <w:pPr>
        <w:pStyle w:val="11"/>
        <w:rPr>
          <w:rFonts w:ascii="Times New Roman" w:hAnsi="Calibri" w:eastAsia="宋体" w:cs="Times New Roman"/>
          <w:sz w:val="21"/>
        </w:rPr>
      </w:pPr>
      <w:r>
        <w:rPr>
          <w:rFonts w:ascii="Times New Roman" w:hAnsi="Calibri" w:eastAsia="宋体" w:cs="Times New Roman"/>
          <w:sz w:val="21"/>
        </w:rPr>
        <w:t>复杂空间条件带来的第一个难点，是施工组织无法只按平面展开。地下和覆土式建筑往往受到净高限制、运输通道限制和作业面照明通风条件限制，材料进场、设备吊装、湿作业与精装穿插都受到空间约束。一般地上建筑可以通过楼层分段、专业错峰等方式进行较大幅度调整，而地下空间一旦被大型设备、支撑构件和临时设施占据，组织弹性会明显下降。数字化管理在此更需要强调三维空间表达和工序界面管理，使项目团队能够提前识别碰撞点、通道瓶颈和穿插风险。</w:t>
      </w:r>
    </w:p>
    <w:p w14:paraId="30017954">
      <w:pPr>
        <w:pStyle w:val="11"/>
        <w:rPr>
          <w:rFonts w:ascii="Times New Roman" w:hAnsi="Calibri" w:eastAsia="宋体" w:cs="Times New Roman"/>
          <w:sz w:val="21"/>
        </w:rPr>
      </w:pPr>
      <w:r>
        <w:rPr>
          <w:rFonts w:ascii="Times New Roman" w:hAnsi="Calibri" w:eastAsia="宋体" w:cs="Times New Roman"/>
          <w:sz w:val="21"/>
        </w:rPr>
        <w:t>第二个难点是环境敏感性更高。地下与覆土式公共建筑常位于建成区核心区域，周边道路、市政管线、既有建筑、公共活动空间和地下水环境对施工影响很大。桩基、支护、土方开挖、结构封闭和防水处理均可能对周边产生连锁影响，现场稍有失控，就可能引发沉降、渗漏、扰民或交通组织问题。因此，这类项目的数字化组织不能只围绕主体施工展开，还应把周边环境监测、变形观测、临时交通和施工扰动控制纳入统一管理框架。</w:t>
      </w:r>
    </w:p>
    <w:p w14:paraId="50B1885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隐蔽工程质量控制重点</w:t>
      </w:r>
    </w:p>
    <w:p w14:paraId="35A249BA">
      <w:pPr>
        <w:pStyle w:val="11"/>
        <w:rPr>
          <w:rFonts w:ascii="Times New Roman" w:hAnsi="Calibri" w:eastAsia="宋体" w:cs="Times New Roman"/>
          <w:sz w:val="21"/>
        </w:rPr>
      </w:pPr>
      <w:r>
        <w:rPr>
          <w:rFonts w:ascii="Times New Roman" w:hAnsi="Calibri" w:eastAsia="宋体" w:cs="Times New Roman"/>
          <w:sz w:val="21"/>
        </w:rPr>
        <w:t>地下与覆土式建筑的质量风险，很大一部分来自隐蔽工程。基坑支护节点、桩基成孔质量、地下防水层、后浇带、变形缝、穿墙套管、排水系统、覆土层构造和设备基础等内容，一旦被后续工序覆盖，复查难度极高，返修成本也远高于一般地上工程。对这类项目而言，质量控制的重点不是事后发现，而是事中固化。关键工序必须在覆盖前完成检查、取证、确认和归档，否则后期再补资料，往往只能补齐形式，难以补回事实。</w:t>
      </w:r>
    </w:p>
    <w:p w14:paraId="127F4E2A">
      <w:pPr>
        <w:pStyle w:val="11"/>
        <w:rPr>
          <w:rFonts w:ascii="Times New Roman" w:hAnsi="Calibri" w:eastAsia="宋体" w:cs="Times New Roman"/>
          <w:sz w:val="21"/>
        </w:rPr>
      </w:pPr>
      <w:r>
        <w:rPr>
          <w:rFonts w:ascii="Times New Roman" w:hAnsi="Calibri" w:eastAsia="宋体" w:cs="Times New Roman"/>
          <w:sz w:val="21"/>
        </w:rPr>
        <w:t>数字化手段在这里最有价值的，是把隐蔽部位从不可见对象转化为可回看的过程对象。影像记录、测量数据、施工参数、材料批次、责任班组和验收结论若能围绕同一部位形成稳定对应，后续无论是质量追溯还是运营维护，都会显著减少解释成本。尤其在防水、防渗和设备预埋方面，地下与覆土式建筑最怕的不是单点缺陷，而是缺陷来源无法定位。</w:t>
      </w:r>
    </w:p>
    <w:p w14:paraId="43400C1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风险控制与过程协同</w:t>
      </w:r>
    </w:p>
    <w:p w14:paraId="58703D90">
      <w:pPr>
        <w:pStyle w:val="11"/>
        <w:rPr>
          <w:rFonts w:ascii="Times New Roman" w:hAnsi="Calibri" w:eastAsia="宋体" w:cs="Times New Roman"/>
          <w:sz w:val="21"/>
        </w:rPr>
      </w:pPr>
      <w:r>
        <w:rPr>
          <w:rFonts w:ascii="Times New Roman" w:hAnsi="Calibri" w:eastAsia="宋体" w:cs="Times New Roman"/>
          <w:sz w:val="21"/>
        </w:rPr>
        <w:t>地下与覆土式建筑之所以难管，还因为它们的风险控制与过程协同高度耦合。地上建筑中，很多问题可以在局部区域内解决；地下与覆土式空间中的问题，则往往牵一发而动全局。支护变形会影响后续结构施工安排，防水缺陷会影响机电安装与装饰封闭，设备基础偏差会连带影响系统安装精度，覆土荷载控制不当又会反向制约结构安全。项目组织如果缺少实时数据支撑，往往只能在风险显性化后被动应对。</w:t>
      </w:r>
    </w:p>
    <w:p w14:paraId="2853ED01">
      <w:pPr>
        <w:pStyle w:val="11"/>
        <w:rPr>
          <w:rFonts w:ascii="Times New Roman" w:hAnsi="Calibri" w:eastAsia="宋体" w:cs="Times New Roman"/>
          <w:sz w:val="21"/>
        </w:rPr>
      </w:pPr>
      <w:r>
        <w:rPr>
          <w:rFonts w:ascii="Times New Roman" w:hAnsi="Calibri" w:eastAsia="宋体" w:cs="Times New Roman"/>
          <w:sz w:val="21"/>
        </w:rPr>
        <w:t>这类项目尤其需要把监测、施工、验收和整改组织成连续过程。监测数据不能停留在报表层，必须进入现场判断；施工进度不能只看完成量，还要看是否满足风险控制条件；验收也不能只是终点签字，而要成为下一工序启动的前置门槛。数字化组织的意义，正在于将风险点、责任点和协同点叠合起来，使项目部能够及时发现某一风险正在通过哪条路径影响组织秩序，并快速采取措施。</w:t>
      </w:r>
    </w:p>
    <w:p w14:paraId="1ADF3F1D">
      <w:pPr>
        <w:pStyle w:val="4"/>
        <w:numPr>
          <w:ilvl w:val="0"/>
          <w:numId w:val="0"/>
        </w:numPr>
        <w:topLinePunct w:val="0"/>
        <w:ind w:left="0" w:leftChars="0" w:firstLine="422" w:firstLineChars="0"/>
        <w:rPr>
          <w:b/>
        </w:rPr>
      </w:pPr>
      <w:r>
        <w:rPr>
          <w:rFonts w:hint="eastAsia" w:ascii="黑体" w:hAnsi="黑体" w:eastAsia="黑体" w:cs="黑体"/>
          <w:b/>
          <w:sz w:val="21"/>
        </w:rPr>
        <w:t>三、</w:t>
      </w:r>
      <w:r>
        <w:t>施工过程中的数据留痕要求</w:t>
      </w:r>
    </w:p>
    <w:p w14:paraId="756F49C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关键工序留痕内容</w:t>
      </w:r>
    </w:p>
    <w:p w14:paraId="20F6A90B">
      <w:pPr>
        <w:pStyle w:val="11"/>
        <w:rPr>
          <w:rFonts w:ascii="Times New Roman" w:hAnsi="Calibri" w:eastAsia="宋体" w:cs="Times New Roman"/>
          <w:sz w:val="21"/>
        </w:rPr>
      </w:pPr>
      <w:r>
        <w:rPr>
          <w:rFonts w:ascii="Times New Roman" w:hAnsi="Calibri" w:eastAsia="宋体" w:cs="Times New Roman"/>
          <w:sz w:val="21"/>
        </w:rPr>
        <w:t>公共建筑项目的数据留痕，重点不在数量多少，而在是否覆盖真正决定组织质量和交付质量的关键工序。教育与文体设施中，结构转换节点、大跨度空间施工、机电综合排布、精装样板确认、专项系统安装、防水隐蔽部位、设备联调准备和重要材料进场，都是必须重点留痕的对象。若留痕只停留在一般照片上传和例行表单填报，真正需要追溯的问题往往仍然说不清楚。</w:t>
      </w:r>
    </w:p>
    <w:p w14:paraId="0ED5302D">
      <w:pPr>
        <w:pStyle w:val="11"/>
        <w:rPr>
          <w:rFonts w:ascii="Times New Roman" w:hAnsi="Calibri" w:eastAsia="宋体" w:cs="Times New Roman"/>
          <w:sz w:val="21"/>
        </w:rPr>
      </w:pPr>
      <w:r>
        <w:rPr>
          <w:rFonts w:ascii="Times New Roman" w:hAnsi="Calibri" w:eastAsia="宋体" w:cs="Times New Roman"/>
          <w:sz w:val="21"/>
        </w:rPr>
        <w:t>关键工序留痕应至少包含四类信息。其一是实体信息，即施工部位、构件状态、完成程度和现场条件；其二是过程信息，即施工时间、工序顺序、参与班组和操作方式；其三是质量信息，即检查结果、偏差情况、整改要求和复核结论；其四是支撑信息，即材料批次、测量数据、影像记录和审批依据。只有把这几类信息关联起来，留痕才不是零散记录，而是可用于复核、验收和责任追溯的过程证据。</w:t>
      </w:r>
    </w:p>
    <w:p w14:paraId="543A660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留痕资料组织方法</w:t>
      </w:r>
    </w:p>
    <w:p w14:paraId="0E20C826">
      <w:pPr>
        <w:pStyle w:val="11"/>
        <w:rPr>
          <w:rFonts w:ascii="Times New Roman" w:hAnsi="Calibri" w:eastAsia="宋体" w:cs="Times New Roman"/>
          <w:sz w:val="21"/>
        </w:rPr>
      </w:pPr>
      <w:r>
        <w:rPr>
          <w:rFonts w:ascii="Times New Roman" w:hAnsi="Calibri" w:eastAsia="宋体" w:cs="Times New Roman"/>
          <w:sz w:val="21"/>
        </w:rPr>
        <w:t>施工过程中的数据留痕，若不能形成稳定资料链，后续价值会大幅下降。公共建筑项目更适合采用一事一链、一段一档、图实对应的组织方式。同一事项的文字记录、影像资料、责任信息和验收结论应围绕同一编号连续归集；资料按分区、楼层、施工段或功能单元组织，而不是把不同区域的同类材料混放；图实对应则要求留痕资料不仅描述发生了什么，还要明确对应到哪一个空间部位、哪一个模型对象或哪一项施工任务。</w:t>
      </w:r>
    </w:p>
    <w:p w14:paraId="026EB7A5">
      <w:pPr>
        <w:pStyle w:val="11"/>
        <w:rPr>
          <w:rFonts w:ascii="Times New Roman" w:hAnsi="Calibri" w:eastAsia="宋体" w:cs="Times New Roman"/>
          <w:sz w:val="21"/>
        </w:rPr>
      </w:pPr>
      <w:r>
        <w:rPr>
          <w:rFonts w:ascii="Times New Roman" w:hAnsi="Calibri" w:eastAsia="宋体" w:cs="Times New Roman"/>
          <w:sz w:val="21"/>
        </w:rPr>
        <w:t>这种组织方法的价值，在于减少后期整理成本。公共建筑项目资料体量大、专业多、阶段长，若前期没有统一规则，到了专项验收和竣工移交阶段，往往要耗费大量精力反复匹配影像、表单和现场事实。数字化组织的真正进步，是让资料在形成时就具备可检索、可对照、可追溯的属性。</w:t>
      </w:r>
    </w:p>
    <w:p w14:paraId="6F76AB2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留痕成果服务验收评审</w:t>
      </w:r>
    </w:p>
    <w:p w14:paraId="5C167D9D">
      <w:pPr>
        <w:pStyle w:val="11"/>
        <w:rPr>
          <w:rFonts w:ascii="Times New Roman" w:hAnsi="Calibri" w:eastAsia="宋体" w:cs="Times New Roman"/>
          <w:sz w:val="21"/>
        </w:rPr>
      </w:pPr>
      <w:r>
        <w:rPr>
          <w:rFonts w:ascii="Times New Roman" w:hAnsi="Calibri" w:eastAsia="宋体" w:cs="Times New Roman"/>
          <w:sz w:val="21"/>
        </w:rPr>
        <w:t>公共建筑项目的过程留痕，不应被理解为单纯过程管理动作，它还直接服务于分阶段验收、竣工验收、财政评审和运行移交。学校、图书馆、文化馆等项目在交付前通常存在较多专项检查和复核环节，若施工过程资料与实体状态不能对应，验收就容易退化为重复补证。数字化留痕的价值，正在于让验收更多建立在连续形成的事实链条上，而不是临时组织的结果性说明上。</w:t>
      </w:r>
    </w:p>
    <w:p w14:paraId="0B65220B">
      <w:pPr>
        <w:pStyle w:val="11"/>
        <w:rPr>
          <w:rFonts w:ascii="Times New Roman" w:hAnsi="Calibri" w:eastAsia="宋体" w:cs="Times New Roman"/>
          <w:sz w:val="21"/>
        </w:rPr>
      </w:pPr>
      <w:r>
        <w:rPr>
          <w:rFonts w:ascii="Times New Roman" w:hAnsi="Calibri" w:eastAsia="宋体" w:cs="Times New Roman"/>
          <w:sz w:val="21"/>
        </w:rPr>
        <w:t>对政府投资项目而言，留痕成果还有一层更重要的作用，就是强化公共资金支出的可解释性。某一做法为什么采用、某一工序如何完成、某一质量问题是否整改到位、某一隐蔽部位在覆盖前是否经过确认，这些问题既关系质量认定，也关系后续支出审核和责任核验。施工过程留痕越完整，后端验收评审的证据基础就越稳。</w:t>
      </w:r>
    </w:p>
    <w:p w14:paraId="306C8B0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（四）</w:t>
      </w:r>
      <w:r>
        <w:t>公共建筑组织样本</w:t>
      </w:r>
    </w:p>
    <w:p w14:paraId="19B1E264">
      <w:pPr>
        <w:pStyle w:val="11"/>
        <w:rPr>
          <w:rFonts w:ascii="Times New Roman" w:hAnsi="Calibri" w:eastAsia="宋体" w:cs="Times New Roman"/>
          <w:sz w:val="21"/>
        </w:rPr>
      </w:pPr>
      <w:r>
        <w:rPr>
          <w:rFonts w:ascii="Times New Roman" w:hAnsi="Calibri" w:eastAsia="宋体" w:cs="Times New Roman"/>
          <w:sz w:val="21"/>
        </w:rPr>
        <w:t>以上海图书馆东馆——工业互联网平台驱动的全生命周期组织与留痕、深圳市文化馆新馆——地质</w:t>
      </w:r>
      <w:r>
        <w:rPr>
          <w:rFonts w:ascii="Times New Roman" w:hAnsi="Times New Roman" w:eastAsia="宋体" w:cs="Times New Roman"/>
          <w:sz w:val="21"/>
        </w:rPr>
        <w:t>BIM</w:t>
      </w:r>
      <w:r>
        <w:rPr>
          <w:rFonts w:ascii="Times New Roman" w:hAnsi="Calibri" w:eastAsia="宋体" w:cs="Times New Roman"/>
          <w:sz w:val="21"/>
        </w:rPr>
        <w:t>建模与关键工序精准留痕为样本，公共建筑项目数字化组织的关键特征可以看得更清楚。上海图书馆东馆作为十三五时期上海文化设施建设重大项目，占地</w:t>
      </w:r>
      <w:r>
        <w:rPr>
          <w:rFonts w:ascii="Times New Roman" w:hAnsi="Times New Roman" w:eastAsia="宋体" w:cs="Times New Roman"/>
          <w:sz w:val="21"/>
        </w:rPr>
        <w:t>3</w:t>
      </w:r>
      <w:r>
        <w:rPr>
          <w:rFonts w:ascii="Times New Roman" w:hAnsi="Calibri" w:eastAsia="宋体" w:cs="Times New Roman"/>
          <w:sz w:val="21"/>
        </w:rPr>
        <w:t>.</w:t>
      </w:r>
      <w:r>
        <w:rPr>
          <w:rFonts w:ascii="Times New Roman" w:hAnsi="Times New Roman" w:eastAsia="宋体" w:cs="Times New Roman"/>
          <w:sz w:val="21"/>
        </w:rPr>
        <w:t>95</w:t>
      </w:r>
      <w:r>
        <w:rPr>
          <w:rFonts w:ascii="Times New Roman" w:hAnsi="Calibri" w:eastAsia="宋体" w:cs="Times New Roman"/>
          <w:sz w:val="21"/>
        </w:rPr>
        <w:t>万平方米，新建总建筑面积</w:t>
      </w:r>
      <w:r>
        <w:rPr>
          <w:rFonts w:ascii="Times New Roman" w:hAnsi="Times New Roman" w:eastAsia="宋体" w:cs="Times New Roman"/>
          <w:sz w:val="21"/>
        </w:rPr>
        <w:t>11</w:t>
      </w:r>
      <w:r>
        <w:rPr>
          <w:rFonts w:ascii="Times New Roman" w:hAnsi="Calibri" w:eastAsia="宋体" w:cs="Times New Roman"/>
          <w:sz w:val="21"/>
        </w:rPr>
        <w:t>.</w:t>
      </w:r>
      <w:r>
        <w:rPr>
          <w:rFonts w:ascii="Times New Roman" w:hAnsi="Times New Roman" w:eastAsia="宋体" w:cs="Times New Roman"/>
          <w:sz w:val="21"/>
        </w:rPr>
        <w:t>5</w:t>
      </w:r>
      <w:r>
        <w:rPr>
          <w:rFonts w:ascii="Times New Roman" w:hAnsi="Calibri" w:eastAsia="宋体" w:cs="Times New Roman"/>
          <w:sz w:val="21"/>
        </w:rPr>
        <w:t>万平方米，地上</w:t>
      </w:r>
      <w:r>
        <w:rPr>
          <w:rFonts w:ascii="Times New Roman" w:hAnsi="Times New Roman" w:eastAsia="宋体" w:cs="Times New Roman"/>
          <w:sz w:val="21"/>
        </w:rPr>
        <w:t>7</w:t>
      </w:r>
      <w:r>
        <w:rPr>
          <w:rFonts w:ascii="Times New Roman" w:hAnsi="Calibri" w:eastAsia="宋体" w:cs="Times New Roman"/>
          <w:sz w:val="21"/>
        </w:rPr>
        <w:t>层、地下</w:t>
      </w:r>
      <w:r>
        <w:rPr>
          <w:rFonts w:ascii="Times New Roman" w:hAnsi="Times New Roman" w:eastAsia="宋体" w:cs="Times New Roman"/>
          <w:sz w:val="21"/>
        </w:rPr>
        <w:t>2</w:t>
      </w:r>
      <w:r>
        <w:rPr>
          <w:rFonts w:ascii="Times New Roman" w:hAnsi="Calibri" w:eastAsia="宋体" w:cs="Times New Roman"/>
          <w:sz w:val="21"/>
        </w:rPr>
        <w:t>层，可提供近</w:t>
      </w:r>
      <w:r>
        <w:rPr>
          <w:rFonts w:ascii="Times New Roman" w:hAnsi="Times New Roman" w:eastAsia="宋体" w:cs="Times New Roman"/>
          <w:sz w:val="21"/>
        </w:rPr>
        <w:t>6000</w:t>
      </w:r>
      <w:r>
        <w:rPr>
          <w:rFonts w:ascii="Times New Roman" w:hAnsi="Calibri" w:eastAsia="宋体" w:cs="Times New Roman"/>
          <w:sz w:val="21"/>
        </w:rPr>
        <w:t>个座位，年读者接待能力可达</w:t>
      </w:r>
      <w:r>
        <w:rPr>
          <w:rFonts w:ascii="Times New Roman" w:hAnsi="Times New Roman" w:eastAsia="宋体" w:cs="Times New Roman"/>
          <w:sz w:val="21"/>
        </w:rPr>
        <w:t>400</w:t>
      </w:r>
      <w:r>
        <w:rPr>
          <w:rFonts w:ascii="Times New Roman" w:hAnsi="Calibri" w:eastAsia="宋体" w:cs="Times New Roman"/>
          <w:sz w:val="21"/>
        </w:rPr>
        <w:t>万人次，内部涵盖阅览、藏书、电子阅览、借还书、展览以及复杂机房空间，多专业交叉程度极高。深圳市文化馆新馆位于龙华区民治大道与民康路交汇处，地下</w:t>
      </w:r>
      <w:r>
        <w:rPr>
          <w:rFonts w:ascii="Times New Roman" w:hAnsi="Times New Roman" w:eastAsia="宋体" w:cs="Times New Roman"/>
          <w:sz w:val="21"/>
        </w:rPr>
        <w:t>2</w:t>
      </w:r>
      <w:r>
        <w:rPr>
          <w:rFonts w:ascii="Times New Roman" w:hAnsi="Calibri" w:eastAsia="宋体" w:cs="Times New Roman"/>
          <w:sz w:val="21"/>
        </w:rPr>
        <w:t>层、地上</w:t>
      </w:r>
      <w:r>
        <w:rPr>
          <w:rFonts w:ascii="Times New Roman" w:hAnsi="Times New Roman" w:eastAsia="宋体" w:cs="Times New Roman"/>
          <w:sz w:val="21"/>
        </w:rPr>
        <w:t>7</w:t>
      </w:r>
      <w:r>
        <w:rPr>
          <w:rFonts w:ascii="Times New Roman" w:hAnsi="Calibri" w:eastAsia="宋体" w:cs="Times New Roman"/>
          <w:sz w:val="21"/>
        </w:rPr>
        <w:t>层，主体结构总高度</w:t>
      </w:r>
      <w:r>
        <w:rPr>
          <w:rFonts w:ascii="Times New Roman" w:hAnsi="Times New Roman" w:eastAsia="宋体" w:cs="Times New Roman"/>
          <w:sz w:val="21"/>
        </w:rPr>
        <w:t>36</w:t>
      </w:r>
      <w:r>
        <w:rPr>
          <w:rFonts w:ascii="Times New Roman" w:hAnsi="Calibri" w:eastAsia="宋体" w:cs="Times New Roman"/>
          <w:sz w:val="21"/>
        </w:rPr>
        <w:t>米，处于高密度建成区，周边毗邻既有建筑和城市主干道，地下施工同时承受空间受限、地层复杂和环境敏感等多重压力，并依托贯穿全生命周期的</w:t>
      </w:r>
      <w:r>
        <w:rPr>
          <w:rFonts w:ascii="Times New Roman" w:hAnsi="Times New Roman" w:eastAsia="宋体" w:cs="Times New Roman"/>
          <w:sz w:val="21"/>
        </w:rPr>
        <w:t>BIM</w:t>
      </w:r>
      <w:r>
        <w:rPr>
          <w:rFonts w:ascii="Times New Roman" w:hAnsi="Calibri" w:eastAsia="宋体" w:cs="Times New Roman"/>
          <w:sz w:val="21"/>
        </w:rPr>
        <w:t>应用重塑地下空间施工组织，获得</w:t>
      </w:r>
      <w:r>
        <w:rPr>
          <w:rFonts w:ascii="Times New Roman" w:hAnsi="Times New Roman" w:eastAsia="宋体" w:cs="Times New Roman"/>
          <w:sz w:val="21"/>
        </w:rPr>
        <w:t>2025</w:t>
      </w:r>
      <w:r>
        <w:rPr>
          <w:rFonts w:ascii="Times New Roman" w:hAnsi="Calibri" w:eastAsia="宋体" w:cs="Times New Roman"/>
          <w:sz w:val="21"/>
        </w:rPr>
        <w:t>年第八届优路杯全国</w:t>
      </w:r>
      <w:r>
        <w:rPr>
          <w:rFonts w:ascii="Times New Roman" w:hAnsi="Times New Roman" w:eastAsia="宋体" w:cs="Times New Roman"/>
          <w:sz w:val="21"/>
        </w:rPr>
        <w:t>BIM</w:t>
      </w:r>
      <w:r>
        <w:rPr>
          <w:rFonts w:ascii="Times New Roman" w:hAnsi="Calibri" w:eastAsia="宋体" w:cs="Times New Roman"/>
          <w:sz w:val="21"/>
        </w:rPr>
        <w:t>技术大赛金奖。</w:t>
      </w:r>
    </w:p>
    <w:p w14:paraId="3FE61949">
      <w:pPr>
        <w:pStyle w:val="11"/>
        <w:rPr>
          <w:rFonts w:ascii="Times New Roman" w:hAnsi="Calibri" w:eastAsia="宋体" w:cs="Times New Roman"/>
          <w:sz w:val="21"/>
        </w:rPr>
      </w:pPr>
      <w:r>
        <w:rPr>
          <w:rFonts w:ascii="Times New Roman" w:hAnsi="Calibri" w:eastAsia="宋体" w:cs="Times New Roman"/>
          <w:sz w:val="21"/>
        </w:rPr>
        <w:t>从组织方式看，上海图书馆东馆更能体现大型公共服务建筑的全链条协同特征。项目并非只面对土建和安装并行的问题，而是需要把土建、二结构、机电安装、装饰和展呈等多类专业持续拉入同一组织平台，使空间成型、系统安装和功能交付同步推进。其组织难度说明，公共建筑项目若没有统一的数据底座和过程留痕机制，工序协调很容易在后期转化为调试冲突和交付延迟。深圳市文化馆新馆则更集中地展示了地下与覆土式公共建筑的管理重点，即必须把地质条件、周边环境、关键工序和空间模型一体化表达。当地下结构施工受地层变化和周边敏感条件影响时，单靠传统平面记录难以支撑高质量判断，模型化表达和关键节点留痕便成为组织稳定运行的基础。</w:t>
      </w:r>
    </w:p>
    <w:p w14:paraId="05316B2E">
      <w:pPr>
        <w:pStyle w:val="11"/>
        <w:rPr>
          <w:rFonts w:ascii="Times New Roman" w:hAnsi="Calibri" w:eastAsia="宋体" w:cs="Times New Roman"/>
          <w:sz w:val="21"/>
        </w:rPr>
      </w:pPr>
      <w:r>
        <w:rPr>
          <w:rFonts w:ascii="Times New Roman" w:hAnsi="Calibri" w:eastAsia="宋体" w:cs="Times New Roman"/>
          <w:sz w:val="21"/>
        </w:rPr>
        <w:t>从留痕成果看，这两个项目共同说明了一点：公共建筑的过程留痕不是附属记录，而是组织方法本身。上海图书馆东馆面对的是多功能空间下的全生命周期组织与留痕要求，深圳市文化馆新馆面对的是地下复杂条件下的关键工序精准留痕要求，二者路径不同，指向却一致，即把复杂施工过程转化为可回看、可核验、可用于后续验收评审的连续证据链。公共建筑项目只有做到组织过程与数据留痕同步设计、同步运行、同步归档，数字化组织才真正具备支撑公共服务交付的现实价值。</w:t>
      </w:r>
    </w:p>
    <w:p w14:paraId="526C3695">
      <w:pPr>
        <w:pStyle w:val="3"/>
        <w:numPr>
          <w:ilvl w:val="0"/>
          <w:numId w:val="0"/>
        </w:numPr>
        <w:ind w:left="0" w:leftChars="0" w:firstLine="0" w:firstLineChars="0"/>
        <w:rPr>
          <w:b/>
        </w:rPr>
      </w:pPr>
      <w:bookmarkStart w:id="35" w:name="_Toc163"/>
      <w:r>
        <w:rPr>
          <w:rFonts w:hint="eastAsia" w:ascii="宋体" w:hAnsi="宋体" w:eastAsia="黑体" w:cs="宋体"/>
          <w:b/>
          <w:bCs/>
          <w:kern w:val="44"/>
          <w:sz w:val="30"/>
          <w:szCs w:val="30"/>
        </w:rPr>
        <w:t>第三节</w:t>
      </w:r>
      <w:r>
        <w:rPr>
          <w:rFonts w:hint="eastAsia" w:cs="宋体"/>
          <w:b/>
          <w:bCs/>
          <w:kern w:val="44"/>
          <w:sz w:val="30"/>
          <w:szCs w:val="30"/>
          <w:lang w:val="en-US" w:eastAsia="zh-CN"/>
        </w:rPr>
        <w:t xml:space="preserve"> </w:t>
      </w:r>
      <w:r>
        <w:t>古建修复工程的数字化管理</w:t>
      </w:r>
      <w:bookmarkEnd w:id="35"/>
      <w:r>
        <w:t xml:space="preserve">  </w:t>
      </w:r>
    </w:p>
    <w:p w14:paraId="753AF3E2">
      <w:pPr>
        <w:pStyle w:val="4"/>
        <w:numPr>
          <w:ilvl w:val="0"/>
          <w:numId w:val="0"/>
        </w:numPr>
        <w:topLinePunct w:val="0"/>
        <w:ind w:left="0" w:leftChars="0" w:firstLine="422" w:firstLineChars="0"/>
        <w:rPr>
          <w:b/>
        </w:rPr>
      </w:pPr>
      <w:r>
        <w:rPr>
          <w:rFonts w:hint="eastAsia" w:ascii="黑体" w:hAnsi="黑体" w:eastAsia="黑体" w:cs="黑体"/>
          <w:b/>
          <w:sz w:val="21"/>
        </w:rPr>
        <w:t>一、</w:t>
      </w:r>
      <w:r>
        <w:t>古建修复对象的识别与资料建档</w:t>
      </w:r>
    </w:p>
    <w:p w14:paraId="6CF7D73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修复对象的分层识别</w:t>
      </w:r>
    </w:p>
    <w:p w14:paraId="6B72D11C">
      <w:pPr>
        <w:pStyle w:val="11"/>
        <w:rPr>
          <w:rFonts w:ascii="Times New Roman" w:hAnsi="Calibri" w:eastAsia="宋体" w:cs="Times New Roman"/>
          <w:sz w:val="21"/>
        </w:rPr>
      </w:pPr>
      <w:r>
        <w:rPr>
          <w:rFonts w:ascii="Times New Roman" w:hAnsi="Calibri" w:eastAsia="宋体" w:cs="Times New Roman"/>
          <w:sz w:val="21"/>
        </w:rPr>
        <w:t>古建修复面对的不是一般意义上的建筑实体，而是兼具历史信息、工艺价值、结构属性和环境记忆的复合对象。对象识别若只停留在房屋受损、构件老化、需要维修的粗线条判断上，后续修复就容易把古建当作普通旧房整修，最终留下形似而神失的结果。数字化管理首先要做的，是把修复对象分层识别清楚。第一层是整体层，重点把建筑所处环境、院落关系、轴线格局、空间序列和后期附加物区分出来，明确哪些属于历史格局的一部分，哪些属于近现代干扰。第二层是部位层，要把台基、墙体、屋面、木构架、装修、附属构件等对象分别建档，使后续处理能够精准对应。第三层是构件层，柱、梁、枋、椽、斗拱、门窗、雀替、瓦件、石作等应形成唯一编号，避免在施工过程中出现同名不同物或同物多称的混乱。第四层是病害层，应将裂隙、倾斜、糟朽、风化、渗漏、空鼓、脱落和虫蚀等现象与对应构件绑定，使病害不再是抽象描述，而成为可定位、可比较、可追溯的对象。</w:t>
      </w:r>
    </w:p>
    <w:p w14:paraId="16D6EB9C">
      <w:pPr>
        <w:pStyle w:val="11"/>
        <w:rPr>
          <w:rFonts w:ascii="Times New Roman" w:hAnsi="Calibri" w:eastAsia="宋体" w:cs="Times New Roman"/>
          <w:sz w:val="21"/>
        </w:rPr>
      </w:pPr>
      <w:r>
        <w:rPr>
          <w:rFonts w:ascii="Times New Roman" w:hAnsi="Calibri" w:eastAsia="宋体" w:cs="Times New Roman"/>
          <w:sz w:val="21"/>
        </w:rPr>
        <w:t>这种分层识别的意义，不仅是方便资料整理，更是为了守住修复判断的边界。古建中的同一种病害，在不同部位的处理方式并不相同；同一类构件，在不同历史阶段的价值也并不等值。只有对象识别足够细，后续修复才不会以统一工法覆盖复杂差异。数字化手段的作用，正在于把这种差异稳定保存下来，使设计、施工、监理和评审在同一底图上讨论问题，而不是各自依据现场印象作出判断。</w:t>
      </w:r>
    </w:p>
    <w:p w14:paraId="275A954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原状资料的系统建档</w:t>
      </w:r>
    </w:p>
    <w:p w14:paraId="239BEC2E">
      <w:pPr>
        <w:pStyle w:val="11"/>
        <w:rPr>
          <w:rFonts w:ascii="Times New Roman" w:hAnsi="Calibri" w:eastAsia="宋体" w:cs="Times New Roman"/>
          <w:sz w:val="21"/>
        </w:rPr>
      </w:pPr>
      <w:r>
        <w:rPr>
          <w:rFonts w:ascii="Times New Roman" w:hAnsi="Calibri" w:eastAsia="宋体" w:cs="Times New Roman"/>
          <w:sz w:val="21"/>
        </w:rPr>
        <w:t>古建修复中最重要的资料，往往不是修后成果，而是修前原状。原状一旦进入拆解、加固、修补和替换环节，许多历史信息就会不可逆地消失。因此，建档的核心不是留一套竣工资料，而是在施工介入前建立一套能够支撑全过程判断的原状档案。较为稳妥的建档方式，应当把图、表、像、述四类资料同步组织。图用于表达建筑整体关系、构件位置和病害分布；表用于形成构件编号、材料类别、保存状况、病害等级和建议措施清单；像用于固定整体外观、细部做法、病害部位和施工前状态；述则用于补充历史沿革、历次修缮痕迹、构造特征和判断依据。</w:t>
      </w:r>
    </w:p>
    <w:p w14:paraId="146408D5">
      <w:pPr>
        <w:pStyle w:val="11"/>
        <w:rPr>
          <w:rFonts w:ascii="Times New Roman" w:hAnsi="Calibri" w:eastAsia="宋体" w:cs="Times New Roman"/>
          <w:sz w:val="21"/>
        </w:rPr>
      </w:pPr>
      <w:r>
        <w:rPr>
          <w:rFonts w:ascii="Times New Roman" w:hAnsi="Calibri" w:eastAsia="宋体" w:cs="Times New Roman"/>
          <w:sz w:val="21"/>
        </w:rPr>
        <w:t>建档工作必须强调资料之间的对应关系。若图纸与照片不能互认，表格与现场位置不能对应，文字说明又无法落到具体构件上，档案越多，后续使用反而越困难。数字化管理的优势，在于可以把同一对象的图像、文字、坐标、编号和状态整合到统一条目中，使修复对象从一开始就拥有清楚身份。这样形成的档案不仅服务于修复方案编制，也服务于后续工艺记录、质量复核和责任追溯。对于政府投资项目而言，这种系统建档还具有程序意义，因为许多修复决策只有建立在原状资料充分的基础上，后续支出和评审才更容易获得认可。</w:t>
      </w:r>
    </w:p>
    <w:p w14:paraId="7051A15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价值信息与病害信息并行归集</w:t>
      </w:r>
    </w:p>
    <w:p w14:paraId="1259041E">
      <w:pPr>
        <w:pStyle w:val="11"/>
        <w:rPr>
          <w:rFonts w:ascii="Times New Roman" w:hAnsi="Calibri" w:eastAsia="宋体" w:cs="Times New Roman"/>
          <w:sz w:val="21"/>
        </w:rPr>
      </w:pPr>
      <w:r>
        <w:rPr>
          <w:rFonts w:ascii="Times New Roman" w:hAnsi="Calibri" w:eastAsia="宋体" w:cs="Times New Roman"/>
          <w:sz w:val="21"/>
        </w:rPr>
        <w:t>古建修复对象的资料建档，不能只围绕损坏程度展开。若档案中只有病害，没有价值判断，修复就容易滑向哪里坏了补哪里的技术性维修；若只有价值表述，没有病害信息，修复又会流于概念化保护，难以真正进入施工层面。数字化管理更适合采用价值信息与病害信息并行归集的方法，把真实性、完整性、时代特征、地方工艺和构件现状同时纳入同一资料链条。</w:t>
      </w:r>
    </w:p>
    <w:p w14:paraId="0FE06A40">
      <w:pPr>
        <w:pStyle w:val="11"/>
        <w:rPr>
          <w:rFonts w:ascii="Times New Roman" w:hAnsi="Calibri" w:eastAsia="宋体" w:cs="Times New Roman"/>
          <w:sz w:val="21"/>
        </w:rPr>
      </w:pPr>
      <w:r>
        <w:rPr>
          <w:rFonts w:ascii="Times New Roman" w:hAnsi="Calibri" w:eastAsia="宋体" w:cs="Times New Roman"/>
          <w:sz w:val="21"/>
        </w:rPr>
        <w:t>价值信息主要回答为什么值得保留和哪些不能轻易改变，病害信息则回答为什么必须干预和干预应控制到什么程度。两类信息并行之后，修复对象才不是被动等待处置的旧构件，而是具有保护等级和处理优先序的历史实体。例如，同样是木构件糟朽，位于受力关键部位且保留原作特征者，应优先考虑原材保留与局部补配；位于后期添配部位且已严重失效者，则可以在充分记录后作更换处理。没有价值与病害的并行归集，这类判断往往只能依靠个别专家经验，难以在项目层面形成可持续执行的依据。与此同时，价值信息还应与使用环境一并观察，因为潮湿、通风、荷载和游客活动等外部条件，往往会改变病害演化速度，也会影响修复尺度的选择。</w:t>
      </w:r>
    </w:p>
    <w:p w14:paraId="161327F0">
      <w:pPr>
        <w:pStyle w:val="4"/>
        <w:numPr>
          <w:ilvl w:val="0"/>
          <w:numId w:val="0"/>
        </w:numPr>
        <w:topLinePunct w:val="0"/>
        <w:ind w:left="0" w:leftChars="0" w:firstLine="422" w:firstLineChars="0"/>
        <w:rPr>
          <w:b/>
        </w:rPr>
      </w:pPr>
      <w:r>
        <w:rPr>
          <w:rFonts w:hint="eastAsia" w:ascii="黑体" w:hAnsi="黑体" w:eastAsia="黑体" w:cs="黑体"/>
          <w:b/>
          <w:sz w:val="21"/>
        </w:rPr>
        <w:t>二、</w:t>
      </w:r>
      <w:r>
        <w:t>传统工艺过程的数字记录方法</w:t>
      </w:r>
    </w:p>
    <w:p w14:paraId="33D032B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传统工艺的节点化拆解</w:t>
      </w:r>
    </w:p>
    <w:p w14:paraId="022C0EAC">
      <w:pPr>
        <w:pStyle w:val="11"/>
        <w:rPr>
          <w:rFonts w:ascii="Times New Roman" w:hAnsi="Calibri" w:eastAsia="宋体" w:cs="Times New Roman"/>
          <w:sz w:val="21"/>
        </w:rPr>
      </w:pPr>
      <w:r>
        <w:rPr>
          <w:rFonts w:ascii="Times New Roman" w:hAnsi="Calibri" w:eastAsia="宋体" w:cs="Times New Roman"/>
          <w:sz w:val="21"/>
        </w:rPr>
        <w:t>古建修复中的传统工艺，最难管理的地方不在名称，而在分寸。木构补配、榫卯整修、砖石归安、灰作收口、瓦作揭铺、彩画修复等工序，看似都有既定名称，真正决定质量的却是施工过程中的细部把握。若只在竣工资料中写明按传统工艺施工，后续既无法复核，也无法说明工艺为何合理。数字记录要进入古建修复现场，必须先把传统工艺拆解为若干可识别节点。拆解不是把工匠手艺机械切碎，而是把那些对真实性、结构安全和外观协调最关键的动作单独提取出来，如拆前编号、清理检测、保留判定、局部修补、补件试配、节点复位、表面处理、阶段复核等。</w:t>
      </w:r>
    </w:p>
    <w:p w14:paraId="0FE8B046">
      <w:pPr>
        <w:pStyle w:val="11"/>
        <w:rPr>
          <w:rFonts w:ascii="Times New Roman" w:hAnsi="Calibri" w:eastAsia="宋体" w:cs="Times New Roman"/>
          <w:sz w:val="21"/>
        </w:rPr>
      </w:pPr>
      <w:r>
        <w:rPr>
          <w:rFonts w:ascii="Times New Roman" w:hAnsi="Calibri" w:eastAsia="宋体" w:cs="Times New Roman"/>
          <w:sz w:val="21"/>
        </w:rPr>
        <w:t>工艺节点一旦被明确，施工过程就具备了可记录、可停留和可校核的条件。项目管理者不仅能知道这一道工序开始了，还能知道它当前停留在哪一步、前一步依据是什么、后一步应满足什么条件。这种节点化表达对古建修复尤其重要，因为很多工艺一旦越过关键节点，再回头修正的代价极高，甚至会损伤原构信息。数字化管理并不削弱师傅经验，恰恰相反，它把经验作用最强的节点保留下来，使工艺不再只是口耳相传，而开始具备项目级可追踪性。</w:t>
      </w:r>
    </w:p>
    <w:p w14:paraId="1E6FEED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工艺影像与文字同步记录</w:t>
      </w:r>
    </w:p>
    <w:p w14:paraId="32BBC018">
      <w:pPr>
        <w:pStyle w:val="11"/>
        <w:rPr>
          <w:rFonts w:ascii="Times New Roman" w:hAnsi="Calibri" w:eastAsia="宋体" w:cs="Times New Roman"/>
          <w:sz w:val="21"/>
        </w:rPr>
      </w:pPr>
      <w:r>
        <w:rPr>
          <w:rFonts w:ascii="Times New Roman" w:hAnsi="Calibri" w:eastAsia="宋体" w:cs="Times New Roman"/>
          <w:sz w:val="21"/>
        </w:rPr>
        <w:t>古建修复中的许多做法，仅靠文字很难说清，单靠照片也容易失真。比如旧木补配的保留尺度、灰缝处理的深浅关系、旧瓦筛选后的重新归位、砖石拆安中的编号逻辑和局部刀痕保留方式，都需要影像与文字共同说明。数字记录因此不宜把影像和说明分开保存，而应当围绕同一节点同步生成。影像负责还原现场状态和工艺手法，文字负责解释处理原因、施工依据和判断尺度，两者相互补足，才能形成可供复核的过程证据。</w:t>
      </w:r>
    </w:p>
    <w:p w14:paraId="16A5C6A4">
      <w:pPr>
        <w:pStyle w:val="11"/>
        <w:rPr>
          <w:rFonts w:ascii="Times New Roman" w:hAnsi="Calibri" w:eastAsia="宋体" w:cs="Times New Roman"/>
          <w:sz w:val="21"/>
        </w:rPr>
      </w:pPr>
      <w:r>
        <w:rPr>
          <w:rFonts w:ascii="Times New Roman" w:hAnsi="Calibri" w:eastAsia="宋体" w:cs="Times New Roman"/>
          <w:sz w:val="21"/>
        </w:rPr>
        <w:t>同步记录的关键不在拍得多，而在拍得准。修前状态、处理中状态和修后状态应形成连续对照，重点部位还应补充细部特写和必要的尺寸、材质说明。文字说明也不宜空泛，应明确对应构件、对应工序、对应责任人员和对应判断依据。这样形成的记录，既能支撑过程检查，也能为后续评审和专业讨论提供依据。古建修复最怕的是结果看得见、过程说不清，同步记录正是为了解决这一问题。</w:t>
      </w:r>
    </w:p>
    <w:p w14:paraId="7784AEC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工艺偏差的动态校正</w:t>
      </w:r>
    </w:p>
    <w:p w14:paraId="2AE02B53">
      <w:pPr>
        <w:pStyle w:val="11"/>
        <w:rPr>
          <w:rFonts w:ascii="Times New Roman" w:hAnsi="Calibri" w:eastAsia="宋体" w:cs="Times New Roman"/>
          <w:sz w:val="21"/>
        </w:rPr>
      </w:pPr>
      <w:r>
        <w:rPr>
          <w:rFonts w:ascii="Times New Roman" w:hAnsi="Calibri" w:eastAsia="宋体" w:cs="Times New Roman"/>
          <w:sz w:val="21"/>
        </w:rPr>
        <w:t>传统工艺并非天然正确，古建修复现场同样可能出现做法失当、尺度过重、材料不配或表面处理过新的偏差。与普通工程不同的是，这类偏差常常不能简单用尺寸误差来表达，而更多表现为与原构气质不符、与历史痕迹不协调、与构件受力逻辑不匹配。数字化管理对传统工艺的真正帮助，不是把工艺标准化为僵硬模板，而是在施工过程中建立动态校正机制。节点记录、影像对照、原状档案和过程签认一旦结合起来，项目团队便能够更早识别做法是否偏离原有特征，是否超过必要干预范围，是否对后续工序造成次生影响。</w:t>
      </w:r>
    </w:p>
    <w:p w14:paraId="192ECF60">
      <w:pPr>
        <w:pStyle w:val="11"/>
        <w:rPr>
          <w:rFonts w:ascii="Times New Roman" w:hAnsi="Calibri" w:eastAsia="宋体" w:cs="Times New Roman"/>
          <w:sz w:val="21"/>
        </w:rPr>
      </w:pPr>
      <w:r>
        <w:rPr>
          <w:rFonts w:ascii="Times New Roman" w:hAnsi="Calibri" w:eastAsia="宋体" w:cs="Times New Roman"/>
          <w:sz w:val="21"/>
        </w:rPr>
        <w:t>动态校正的重点在于及时回到过程。某一处偏差出现后，不应只在成品阶段讨论，而要回溯到其发生节点，判断是原状识别不足、交底不清、师傅理解偏差，还是现场赶工导致工艺简化。偏差若能在过程中被及时识别和修正，古建修复仍能保持工艺弹性；若等到全部完工后再评价，往往已经难以挽回。这说明传统工艺数字记录的核心价值，不只是保存资料，更是支撑现场持续校正。</w:t>
      </w:r>
    </w:p>
    <w:p w14:paraId="2BDCDDD5">
      <w:pPr>
        <w:pStyle w:val="4"/>
        <w:numPr>
          <w:ilvl w:val="0"/>
          <w:numId w:val="0"/>
        </w:numPr>
        <w:topLinePunct w:val="0"/>
        <w:ind w:left="0" w:leftChars="0" w:firstLine="422" w:firstLineChars="0"/>
        <w:rPr>
          <w:b/>
        </w:rPr>
      </w:pPr>
      <w:r>
        <w:rPr>
          <w:rFonts w:hint="eastAsia" w:ascii="黑体" w:hAnsi="黑体" w:eastAsia="黑体" w:cs="黑体"/>
          <w:b/>
          <w:sz w:val="21"/>
        </w:rPr>
        <w:t>三、</w:t>
      </w:r>
      <w:r>
        <w:t>修复质量评价的过程控制</w:t>
      </w:r>
    </w:p>
    <w:p w14:paraId="48C47EB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真实性与完整性的评价尺度</w:t>
      </w:r>
    </w:p>
    <w:p w14:paraId="08D4E96A">
      <w:pPr>
        <w:pStyle w:val="11"/>
        <w:rPr>
          <w:rFonts w:ascii="Times New Roman" w:hAnsi="Calibri" w:eastAsia="宋体" w:cs="Times New Roman"/>
          <w:sz w:val="21"/>
        </w:rPr>
      </w:pPr>
      <w:r>
        <w:rPr>
          <w:rFonts w:ascii="Times New Roman" w:hAnsi="Calibri" w:eastAsia="宋体" w:cs="Times New Roman"/>
          <w:sz w:val="21"/>
        </w:rPr>
        <w:t>古建修复质量评价不能照搬一般建设工程的合格思路。新建工程可以更强调几何精度、安装精度和外观完整，古建修复则必须把真实性和完整性放到更前位置。真实性关注原构、原材、原形制和历史痕迹是否被尊重，完整性则关注修复对象、工艺过程、资料链条和评价依据是否形成闭合。若只看修后整齐度，很多过度替换、过度翻新甚至过度仿作的结果反而容易被误判为质量较高。数字化过程控制的意义，正在于把真实性和完整性转换为可持续观察的评价尺度，使评价不再只依赖竣工当时的观感，而建立在连续证据基础上。</w:t>
      </w:r>
    </w:p>
    <w:p w14:paraId="447A74D7">
      <w:pPr>
        <w:pStyle w:val="11"/>
        <w:rPr>
          <w:rFonts w:ascii="Times New Roman" w:hAnsi="Calibri" w:eastAsia="宋体" w:cs="Times New Roman"/>
          <w:sz w:val="21"/>
        </w:rPr>
      </w:pPr>
      <w:r>
        <w:rPr>
          <w:rFonts w:ascii="Times New Roman" w:hAnsi="Calibri" w:eastAsia="宋体" w:cs="Times New Roman"/>
          <w:sz w:val="21"/>
        </w:rPr>
        <w:t>真实性评价需要贯穿修前、修中、修后三个阶段。修前看原状识别是否充分，修中看保留与替换是否有边界，修后看整体风貌是否保留历史特征。完整性评价则不只看建筑本体是否完整，还要看对象档案是否完整、工艺记录是否完整、问题整改是否完整。两类尺度合并使用，才能防止古建修复滑向单纯的外观整饰。</w:t>
      </w:r>
    </w:p>
    <w:p w14:paraId="7C79493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过程评价先于结果评价</w:t>
      </w:r>
    </w:p>
    <w:p w14:paraId="478CD96D">
      <w:pPr>
        <w:pStyle w:val="11"/>
        <w:rPr>
          <w:rFonts w:ascii="Times New Roman" w:hAnsi="Calibri" w:eastAsia="宋体" w:cs="Times New Roman"/>
          <w:sz w:val="21"/>
        </w:rPr>
      </w:pPr>
      <w:r>
        <w:rPr>
          <w:rFonts w:ascii="Times New Roman" w:hAnsi="Calibri" w:eastAsia="宋体" w:cs="Times New Roman"/>
          <w:sz w:val="21"/>
        </w:rPr>
        <w:t>古建修复的很多质量判断，一旦错过过程节点，后期就很难单凭结果复原。隐蔽加固、局部补配、原材保留比例、病害处理边界和工艺拿捏尺度，都不是竣工后看一眼就能说清的事项。因此，过程评价在古建修复中应当先于结果评价，并构成结果评价的前提。施工过程中的对象识别、工艺节点、材料使用、隐蔽处理、偏差修正和阶段复核，都应进入评价体系，而不是等到最终验收时再一次性判断。</w:t>
      </w:r>
    </w:p>
    <w:p w14:paraId="7D1A5815">
      <w:pPr>
        <w:pStyle w:val="11"/>
        <w:rPr>
          <w:rFonts w:ascii="Times New Roman" w:hAnsi="Calibri" w:eastAsia="宋体" w:cs="Times New Roman"/>
          <w:sz w:val="21"/>
        </w:rPr>
      </w:pPr>
      <w:r>
        <w:rPr>
          <w:rFonts w:ascii="Times New Roman" w:hAnsi="Calibri" w:eastAsia="宋体" w:cs="Times New Roman"/>
          <w:sz w:val="21"/>
        </w:rPr>
        <w:t>过程评价并不意味着削弱结果评价，而是使结果评价拥有可解释的基础。若过程链条完整，竣工后的评价就不仅能回答修得怎么样，还能够回答为什么可以这样评价。对于政府投资项目和文物保护工程而言，这种可解释性十分关键，因为它直接关系后续财政评审、质量复盘和社会监督。</w:t>
      </w:r>
    </w:p>
    <w:p w14:paraId="680F5C6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评价资料的证据链构成</w:t>
      </w:r>
    </w:p>
    <w:p w14:paraId="4ED3180B">
      <w:pPr>
        <w:pStyle w:val="11"/>
        <w:rPr>
          <w:rFonts w:ascii="Times New Roman" w:hAnsi="Calibri" w:eastAsia="宋体" w:cs="Times New Roman"/>
          <w:sz w:val="21"/>
        </w:rPr>
      </w:pPr>
      <w:r>
        <w:rPr>
          <w:rFonts w:ascii="Times New Roman" w:hAnsi="Calibri" w:eastAsia="宋体" w:cs="Times New Roman"/>
          <w:sz w:val="21"/>
        </w:rPr>
        <w:t>修复质量评价要成立，必须有完整资料支撑。这里的资料不是单一验收表，而是由原状档案、构件清单、工艺记录、影像资料、材料信息、检测结果、阶段签认和整改闭环共同构成的证据链。证据链越连续，评价越接近事实；证据链一旦断裂，评价便容易滑向经验判断。数字化管理的任务，不是让资料越多越好，而是让关键资料在形成时就具备评价属性，能够明确对应到对象、阶段和质量判断上。</w:t>
      </w:r>
    </w:p>
    <w:p w14:paraId="547D701C">
      <w:pPr>
        <w:pStyle w:val="11"/>
        <w:rPr>
          <w:rFonts w:ascii="Times New Roman" w:hAnsi="Calibri" w:eastAsia="宋体" w:cs="Times New Roman"/>
          <w:sz w:val="21"/>
        </w:rPr>
      </w:pPr>
      <w:r>
        <w:rPr>
          <w:rFonts w:ascii="Times New Roman" w:hAnsi="Calibri" w:eastAsia="宋体" w:cs="Times New Roman"/>
          <w:sz w:val="21"/>
        </w:rPr>
        <w:t>这种证据链还具有知识沉淀作用。古建修复的很多经验之所以难以复制，恰恰因为项目结束后只留下竣工成果，没有留下足够清楚的评价依据。评价资料一旦完整，同类工程便可以借此理解哪些做法值得延续，哪些偏差需要避免，修复质量控制也就从单项工程经验逐步转化为可积累的方法资产。同时，质量评价还应保留不同专业意见的比对痕迹，包括设计说明、施工判断、监理复核和文保专家意见，使评价结论不仅有数据支撑，也有专业讨论过程支撑。这样既利于验收，也利于复盘。</w:t>
      </w:r>
    </w:p>
    <w:p w14:paraId="7F6A2D2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（四）</w:t>
      </w:r>
      <w:r>
        <w:t>古建修复现场纪事</w:t>
      </w:r>
    </w:p>
    <w:p w14:paraId="020AB035">
      <w:pPr>
        <w:pStyle w:val="11"/>
        <w:rPr>
          <w:rFonts w:ascii="Times New Roman" w:hAnsi="Calibri" w:eastAsia="宋体" w:cs="Times New Roman"/>
          <w:sz w:val="21"/>
        </w:rPr>
      </w:pPr>
      <w:r>
        <w:rPr>
          <w:rFonts w:ascii="Times New Roman" w:hAnsi="Calibri" w:eastAsia="宋体" w:cs="Times New Roman"/>
          <w:sz w:val="21"/>
        </w:rPr>
        <w:t>浙江嵊州华堂王氏宗祠修缮工程——三维扫描、结构分析与工艺留痕的全过程联动，与山西应县木塔</w:t>
      </w:r>
      <w:r>
        <w:rPr>
          <w:rFonts w:ascii="Times New Roman" w:hAnsi="Times New Roman" w:eastAsia="宋体" w:cs="Times New Roman"/>
          <w:sz w:val="21"/>
        </w:rPr>
        <w:t>AI</w:t>
      </w:r>
      <w:r>
        <w:rPr>
          <w:rFonts w:ascii="Times New Roman" w:hAnsi="Calibri" w:eastAsia="宋体" w:cs="Times New Roman"/>
          <w:sz w:val="21"/>
        </w:rPr>
        <w:t>+数字文保项目——数字孪生、病害识别与预防性监测的系统集成，能够较为典型地呈现古建修复质量评价的过程控制逻辑。华堂王氏宗祠位于浙江省绍兴市嵊州金庭镇华堂村，为第七批全国重点文物保护单位，建筑群由大祠堂与新祠堂组成，始建于明代，后经清代重建和晚清改建，</w:t>
      </w:r>
      <w:r>
        <w:rPr>
          <w:rFonts w:ascii="Times New Roman" w:hAnsi="Times New Roman" w:eastAsia="宋体" w:cs="Times New Roman"/>
          <w:sz w:val="21"/>
        </w:rPr>
        <w:t>2021</w:t>
      </w:r>
      <w:r>
        <w:rPr>
          <w:rFonts w:ascii="Times New Roman" w:hAnsi="Calibri" w:eastAsia="宋体" w:cs="Times New Roman"/>
          <w:sz w:val="21"/>
        </w:rPr>
        <w:t>年初因连续恶劣天气导致局部坍塌和木构倾斜，修缮工程于</w:t>
      </w:r>
      <w:r>
        <w:rPr>
          <w:rFonts w:ascii="Times New Roman" w:hAnsi="Times New Roman" w:eastAsia="宋体" w:cs="Times New Roman"/>
          <w:sz w:val="21"/>
        </w:rPr>
        <w:t>2022</w:t>
      </w:r>
      <w:r>
        <w:rPr>
          <w:rFonts w:ascii="Times New Roman" w:hAnsi="Calibri" w:eastAsia="宋体" w:cs="Times New Roman"/>
          <w:sz w:val="21"/>
        </w:rPr>
        <w:t>年</w:t>
      </w:r>
      <w:r>
        <w:rPr>
          <w:rFonts w:ascii="Times New Roman" w:hAnsi="Times New Roman" w:eastAsia="宋体" w:cs="Times New Roman"/>
          <w:sz w:val="21"/>
        </w:rPr>
        <w:t>9</w:t>
      </w:r>
      <w:r>
        <w:rPr>
          <w:rFonts w:ascii="Times New Roman" w:hAnsi="Calibri" w:eastAsia="宋体" w:cs="Times New Roman"/>
          <w:sz w:val="21"/>
        </w:rPr>
        <w:t>月启动，</w:t>
      </w:r>
      <w:r>
        <w:rPr>
          <w:rFonts w:ascii="Times New Roman" w:hAnsi="Times New Roman" w:eastAsia="宋体" w:cs="Times New Roman"/>
          <w:sz w:val="21"/>
        </w:rPr>
        <w:t>2024</w:t>
      </w:r>
      <w:r>
        <w:rPr>
          <w:rFonts w:ascii="Times New Roman" w:hAnsi="Calibri" w:eastAsia="宋体" w:cs="Times New Roman"/>
          <w:sz w:val="21"/>
        </w:rPr>
        <w:t>年</w:t>
      </w:r>
      <w:r>
        <w:rPr>
          <w:rFonts w:ascii="Times New Roman" w:hAnsi="Times New Roman" w:eastAsia="宋体" w:cs="Times New Roman"/>
          <w:sz w:val="21"/>
        </w:rPr>
        <w:t>4</w:t>
      </w:r>
      <w:r>
        <w:rPr>
          <w:rFonts w:ascii="Times New Roman" w:hAnsi="Calibri" w:eastAsia="宋体" w:cs="Times New Roman"/>
          <w:sz w:val="21"/>
        </w:rPr>
        <w:t>月竣工验收，并获</w:t>
      </w:r>
      <w:r>
        <w:rPr>
          <w:rFonts w:ascii="Times New Roman" w:hAnsi="Times New Roman" w:eastAsia="宋体" w:cs="Times New Roman"/>
          <w:sz w:val="21"/>
        </w:rPr>
        <w:t>2024</w:t>
      </w:r>
      <w:r>
        <w:rPr>
          <w:rFonts w:ascii="Times New Roman" w:hAnsi="Calibri" w:eastAsia="宋体" w:cs="Times New Roman"/>
          <w:sz w:val="21"/>
        </w:rPr>
        <w:t>年浙江省文物保护工程匠心杯优秀案例。应县木塔位于山西省朔州市应县，始建于辽代，高</w:t>
      </w:r>
      <w:r>
        <w:rPr>
          <w:rFonts w:ascii="Times New Roman" w:hAnsi="Times New Roman" w:eastAsia="宋体" w:cs="Times New Roman"/>
          <w:sz w:val="21"/>
        </w:rPr>
        <w:t>67</w:t>
      </w:r>
      <w:r>
        <w:rPr>
          <w:rFonts w:ascii="Times New Roman" w:hAnsi="Calibri" w:eastAsia="宋体" w:cs="Times New Roman"/>
          <w:sz w:val="21"/>
        </w:rPr>
        <w:t>.</w:t>
      </w:r>
      <w:r>
        <w:rPr>
          <w:rFonts w:ascii="Times New Roman" w:hAnsi="Times New Roman" w:eastAsia="宋体" w:cs="Times New Roman"/>
          <w:sz w:val="21"/>
        </w:rPr>
        <w:t>31</w:t>
      </w:r>
      <w:r>
        <w:rPr>
          <w:rFonts w:ascii="Times New Roman" w:hAnsi="Calibri" w:eastAsia="宋体" w:cs="Times New Roman"/>
          <w:sz w:val="21"/>
        </w:rPr>
        <w:t>米，是现存最高大、最古老的纯木结构楼阁式建筑之一，相关数字文保项目由中国联通山西省分公司与清华大学建筑学院联合推进，已形成覆盖数据采集、数字存档、病害识别和预防性监测的连续方案，并于</w:t>
      </w:r>
      <w:r>
        <w:rPr>
          <w:rFonts w:ascii="Times New Roman" w:hAnsi="Times New Roman" w:eastAsia="宋体" w:cs="Times New Roman"/>
          <w:sz w:val="21"/>
        </w:rPr>
        <w:t>2025</w:t>
      </w:r>
      <w:r>
        <w:rPr>
          <w:rFonts w:ascii="Times New Roman" w:hAnsi="Calibri" w:eastAsia="宋体" w:cs="Times New Roman"/>
          <w:sz w:val="21"/>
        </w:rPr>
        <w:t>年入选世界互联网大会文化遗产数字化案例集，于</w:t>
      </w:r>
      <w:r>
        <w:rPr>
          <w:rFonts w:ascii="Times New Roman" w:hAnsi="Times New Roman" w:eastAsia="宋体" w:cs="Times New Roman"/>
          <w:sz w:val="21"/>
        </w:rPr>
        <w:t>2026</w:t>
      </w:r>
      <w:r>
        <w:rPr>
          <w:rFonts w:ascii="Times New Roman" w:hAnsi="Calibri" w:eastAsia="宋体" w:cs="Times New Roman"/>
          <w:sz w:val="21"/>
        </w:rPr>
        <w:t>年</w:t>
      </w:r>
      <w:r>
        <w:rPr>
          <w:rFonts w:ascii="Times New Roman" w:hAnsi="Times New Roman" w:eastAsia="宋体" w:cs="Times New Roman"/>
          <w:sz w:val="21"/>
        </w:rPr>
        <w:t>3</w:t>
      </w:r>
      <w:r>
        <w:rPr>
          <w:rFonts w:ascii="Times New Roman" w:hAnsi="Calibri" w:eastAsia="宋体" w:cs="Times New Roman"/>
          <w:sz w:val="21"/>
        </w:rPr>
        <w:t>月入选联合国教科文组织相关案例。</w:t>
      </w:r>
    </w:p>
    <w:p w14:paraId="69B2203C">
      <w:pPr>
        <w:pStyle w:val="11"/>
        <w:rPr>
          <w:rFonts w:ascii="Times New Roman" w:hAnsi="Calibri" w:eastAsia="宋体" w:cs="Times New Roman"/>
          <w:sz w:val="21"/>
        </w:rPr>
      </w:pPr>
      <w:r>
        <w:rPr>
          <w:rFonts w:ascii="Times New Roman" w:hAnsi="Calibri" w:eastAsia="宋体" w:cs="Times New Roman"/>
          <w:sz w:val="21"/>
        </w:rPr>
        <w:t>从华堂王氏宗祠修缮工程看，过程控制的关键不在修后效果展示，而在修前原状资料、修中工艺留痕和修后验收判断是否形成同一链条。三维扫描和结构分析将病害位置、构件状态和整体变形关系提前固定下来，使后续拆修、补配和复位都能对应到明确对象。这样形成的质量评价，不再只依赖竣工后的整体验看，而能够追溯每一处干预的原始依据和工艺路径。应县木塔项目则进一步说明，古建修复与数字保护的评价边界正在延展。对于具有长期监测需求的高等级木构遗产，质量评价不应只限于一次修缮是否完成，还要关注病害识别是否持续、监测体系是否稳定、预防性干预是否具备依据。两个案例共同表明，古建修复的质量控制真正可靠之处，不在于把结果做得多新，而在于对象识别是否准确、过程记录是否完整、评价证据是否经得起时间和后续审视。</w:t>
      </w:r>
    </w:p>
    <w:p w14:paraId="1DD626BC">
      <w:pPr>
        <w:pStyle w:val="3"/>
        <w:numPr>
          <w:ilvl w:val="0"/>
          <w:numId w:val="0"/>
        </w:numPr>
        <w:ind w:left="0" w:leftChars="0" w:firstLine="0" w:firstLineChars="0"/>
        <w:rPr>
          <w:b/>
        </w:rPr>
      </w:pPr>
      <w:bookmarkStart w:id="36" w:name="_Toc9457"/>
      <w:r>
        <w:rPr>
          <w:rFonts w:hint="eastAsia" w:ascii="宋体" w:hAnsi="宋体" w:eastAsia="黑体" w:cs="宋体"/>
          <w:b/>
          <w:bCs/>
          <w:kern w:val="44"/>
          <w:sz w:val="30"/>
          <w:szCs w:val="30"/>
        </w:rPr>
        <w:t>第四节</w:t>
      </w:r>
      <w:r>
        <w:rPr>
          <w:rFonts w:hint="eastAsia" w:cs="宋体"/>
          <w:b/>
          <w:bCs/>
          <w:kern w:val="44"/>
          <w:sz w:val="30"/>
          <w:szCs w:val="30"/>
          <w:lang w:val="en-US" w:eastAsia="zh-CN"/>
        </w:rPr>
        <w:t xml:space="preserve"> </w:t>
      </w:r>
      <w:r>
        <w:t>市政交通与水利配套工程应用</w:t>
      </w:r>
      <w:bookmarkEnd w:id="36"/>
    </w:p>
    <w:p w14:paraId="260C944A">
      <w:pPr>
        <w:pStyle w:val="4"/>
        <w:numPr>
          <w:ilvl w:val="0"/>
          <w:numId w:val="0"/>
        </w:numPr>
        <w:topLinePunct w:val="0"/>
        <w:ind w:left="0" w:leftChars="0" w:firstLine="422" w:firstLineChars="0"/>
        <w:rPr>
          <w:b/>
        </w:rPr>
      </w:pPr>
      <w:r>
        <w:rPr>
          <w:rFonts w:hint="eastAsia" w:ascii="黑体" w:hAnsi="黑体" w:eastAsia="黑体" w:cs="黑体"/>
          <w:b/>
          <w:sz w:val="21"/>
        </w:rPr>
        <w:t>一、</w:t>
      </w:r>
      <w:r>
        <w:t>线性工程现场管理的数据组织</w:t>
      </w:r>
    </w:p>
    <w:p w14:paraId="3C1C501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以区段单元重构数据底座</w:t>
      </w:r>
    </w:p>
    <w:p w14:paraId="71310828">
      <w:pPr>
        <w:pStyle w:val="11"/>
        <w:rPr>
          <w:rFonts w:ascii="Times New Roman" w:hAnsi="Calibri" w:eastAsia="宋体" w:cs="Times New Roman"/>
          <w:sz w:val="21"/>
        </w:rPr>
      </w:pPr>
      <w:r>
        <w:rPr>
          <w:rFonts w:ascii="Times New Roman" w:hAnsi="Calibri" w:eastAsia="宋体" w:cs="Times New Roman"/>
          <w:sz w:val="21"/>
        </w:rPr>
        <w:t>市政交通与水利配套工程最显著的特点，不在于专业门类更多，而在于施工对象沿线路、沿河道、沿管网持续展开，现场管理不再围绕单体建筑和固定楼层组织，而是围绕区段、工点、接口和作业窗口展开。传统房建项目常以楼栋、楼层、分区作为基本管理单元，到了道路、桥涵、综合管线、泵站联络管、河道整治和水工附属工程中，这种组织方式就不再适用。更有效的数据组织方式，应当把桩号区间、控制断面、节点工点、交叉口、检查井段、管段和施工便道区段作为最小识别单元，使每一条数据都能回答发生在什么位置、属于哪一段施工链、与哪一类接口相关。这样形成的数据底座，不是抽象的一张总图，而是可以支持分段推进、分段比较和分段预警的运行底图。</w:t>
      </w:r>
    </w:p>
    <w:p w14:paraId="574168E2">
      <w:pPr>
        <w:pStyle w:val="11"/>
        <w:rPr>
          <w:rFonts w:ascii="Times New Roman" w:hAnsi="Calibri" w:eastAsia="宋体" w:cs="Times New Roman"/>
          <w:sz w:val="21"/>
        </w:rPr>
      </w:pPr>
      <w:r>
        <w:rPr>
          <w:rFonts w:ascii="Times New Roman" w:hAnsi="Calibri" w:eastAsia="宋体" w:cs="Times New Roman"/>
          <w:sz w:val="21"/>
        </w:rPr>
        <w:t>线性工程的数据组织之所以必须重构，还因为其管理边界天然呈现移动状态。房建项目中，一个作业面形成后边界相对稳定，线性工程却常常随着开挖、铺设、回填、导改和恢复不断变化。今天是道路半幅封闭施工，明天可能转入另一侧；上午是沟槽开挖和支护，下午可能已经转到管节安装和接口处理。若数据仍按静态区域归集，现场状态就很容易失真。因此，市政交通与水利配套工程更适合建立区段编号、状态编号和时间编号共同作用的动态组织方式，使数据既知道</w:t>
      </w:r>
      <w:r>
        <w:rPr>
          <w:rFonts w:hint="eastAsia" w:ascii="Times New Roman" w:hAnsi="Times New Roman" w:eastAsia="宋体" w:cs="Times New Roman"/>
          <w:sz w:val="21"/>
          <w:lang w:eastAsia="zh-CN"/>
        </w:rPr>
        <w:t>“</w:t>
      </w:r>
      <w:r>
        <w:rPr>
          <w:rFonts w:ascii="Times New Roman" w:hAnsi="Calibri" w:eastAsia="宋体" w:cs="Times New Roman"/>
          <w:sz w:val="21"/>
        </w:rPr>
        <w:t>在哪儿</w:t>
      </w:r>
      <w:r>
        <w:rPr>
          <w:rFonts w:hint="eastAsia" w:ascii="Times New Roman" w:hAnsi="Times New Roman" w:eastAsia="宋体" w:cs="Times New Roman"/>
          <w:sz w:val="21"/>
          <w:lang w:eastAsia="zh-CN"/>
        </w:rPr>
        <w:t>”</w:t>
      </w:r>
      <w:r>
        <w:rPr>
          <w:rFonts w:ascii="Times New Roman" w:hAnsi="Calibri" w:eastAsia="宋体" w:cs="Times New Roman"/>
          <w:sz w:val="21"/>
        </w:rPr>
        <w:t>，也知道</w:t>
      </w:r>
      <w:r>
        <w:rPr>
          <w:rFonts w:hint="eastAsia" w:ascii="Times New Roman" w:hAnsi="Times New Roman" w:eastAsia="宋体" w:cs="Times New Roman"/>
          <w:sz w:val="21"/>
          <w:lang w:eastAsia="zh-CN"/>
        </w:rPr>
        <w:t>“</w:t>
      </w:r>
      <w:r>
        <w:rPr>
          <w:rFonts w:ascii="Times New Roman" w:hAnsi="Calibri" w:eastAsia="宋体" w:cs="Times New Roman"/>
          <w:sz w:val="21"/>
        </w:rPr>
        <w:t>现在做到什么程度</w:t>
      </w:r>
      <w:r>
        <w:rPr>
          <w:rFonts w:hint="eastAsia" w:ascii="Times New Roman" w:hAnsi="Times New Roman" w:eastAsia="宋体" w:cs="Times New Roman"/>
          <w:sz w:val="21"/>
          <w:lang w:eastAsia="zh-CN"/>
        </w:rPr>
        <w:t>”</w:t>
      </w:r>
      <w:r>
        <w:rPr>
          <w:rFonts w:ascii="Times New Roman" w:hAnsi="Calibri" w:eastAsia="宋体" w:cs="Times New Roman"/>
          <w:sz w:val="21"/>
        </w:rPr>
        <w:t>，还能判断</w:t>
      </w:r>
      <w:r>
        <w:rPr>
          <w:rFonts w:hint="eastAsia" w:ascii="Times New Roman" w:hAnsi="Times New Roman" w:eastAsia="宋体" w:cs="Times New Roman"/>
          <w:sz w:val="21"/>
          <w:lang w:eastAsia="zh-CN"/>
        </w:rPr>
        <w:t>“</w:t>
      </w:r>
      <w:r>
        <w:rPr>
          <w:rFonts w:ascii="Times New Roman" w:hAnsi="Calibri" w:eastAsia="宋体" w:cs="Times New Roman"/>
          <w:sz w:val="21"/>
        </w:rPr>
        <w:t>下一步会影响什么</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24FF494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人机料工序的链式映射</w:t>
      </w:r>
    </w:p>
    <w:p w14:paraId="70D344CD">
      <w:pPr>
        <w:pStyle w:val="11"/>
        <w:rPr>
          <w:rFonts w:ascii="Times New Roman" w:hAnsi="Calibri" w:eastAsia="宋体" w:cs="Times New Roman"/>
          <w:sz w:val="21"/>
        </w:rPr>
      </w:pPr>
      <w:r>
        <w:rPr>
          <w:rFonts w:ascii="Times New Roman" w:hAnsi="Calibri" w:eastAsia="宋体" w:cs="Times New Roman"/>
          <w:sz w:val="21"/>
        </w:rPr>
        <w:t>线性工程的数据组织不能只停留在空间定位上，还必须把人、机、料和工序绑到同一条作业链中。道路改造、管线迁改、河道护砌、箱涵施工、泵站配套和桥下附属整治等工程，常常表现为工点多、队伍散、机械流动快、材料批次分散，若没有链式映射，项目部虽然能看到局部进展，却难以判断整体节奏是否稳定。较为合理的方式，是围绕区段建立</w:t>
      </w:r>
      <w:r>
        <w:rPr>
          <w:rFonts w:hint="eastAsia" w:ascii="Times New Roman" w:hAnsi="Times New Roman" w:eastAsia="宋体" w:cs="Times New Roman"/>
          <w:sz w:val="21"/>
          <w:lang w:eastAsia="zh-CN"/>
        </w:rPr>
        <w:t>“</w:t>
      </w:r>
      <w:r>
        <w:rPr>
          <w:rFonts w:ascii="Times New Roman" w:hAnsi="Calibri" w:eastAsia="宋体" w:cs="Times New Roman"/>
          <w:sz w:val="21"/>
        </w:rPr>
        <w:t>班组—机械—材料—工序—质量状态</w:t>
      </w:r>
      <w:r>
        <w:rPr>
          <w:rFonts w:hint="eastAsia" w:ascii="Times New Roman" w:hAnsi="Times New Roman" w:eastAsia="宋体" w:cs="Times New Roman"/>
          <w:sz w:val="21"/>
          <w:lang w:eastAsia="zh-CN"/>
        </w:rPr>
        <w:t>”</w:t>
      </w:r>
      <w:r>
        <w:rPr>
          <w:rFonts w:ascii="Times New Roman" w:hAnsi="Calibri" w:eastAsia="宋体" w:cs="Times New Roman"/>
          <w:sz w:val="21"/>
        </w:rPr>
        <w:t>的连续关系。某一段沟槽开挖由哪支班组完成、使用了哪类机械、进场了哪一批材料、当前处于哪一道工序、是否完成对应验收，都应在同一条数据链中保持对应。</w:t>
      </w:r>
    </w:p>
    <w:p w14:paraId="06E1FB8C">
      <w:pPr>
        <w:pStyle w:val="11"/>
        <w:rPr>
          <w:rFonts w:ascii="Times New Roman" w:hAnsi="Calibri" w:eastAsia="宋体" w:cs="Times New Roman"/>
          <w:sz w:val="21"/>
        </w:rPr>
      </w:pPr>
      <w:r>
        <w:rPr>
          <w:rFonts w:ascii="Times New Roman" w:hAnsi="Calibri" w:eastAsia="宋体" w:cs="Times New Roman"/>
          <w:sz w:val="21"/>
        </w:rPr>
        <w:t>这种链式映射的价值，在市政和水利配套工程中尤其明显。因为这类工程的效率损失，很多并不是总量不足造成的，而是链条中局部脱节造成的。材料到了，机械没到；机械到了，作业面未清；作业面形成了，隐蔽验收未闭合；验收完成了，恢复施工又滞后。若数据只能分散记录某一环，管理者看到的永远是局部忙碌而非整体秩序。把人机料工序串成链之后，项目才能识别真正的堵点在何处，是前置条件不足，还是资源衔接失衡，抑或是工序转换过慢。</w:t>
      </w:r>
    </w:p>
    <w:p w14:paraId="7A71CEC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跨区域作业数据的连续归并</w:t>
      </w:r>
    </w:p>
    <w:p w14:paraId="1C6469E7">
      <w:pPr>
        <w:pStyle w:val="11"/>
        <w:rPr>
          <w:rFonts w:ascii="Times New Roman" w:hAnsi="Calibri" w:eastAsia="宋体" w:cs="Times New Roman"/>
          <w:sz w:val="21"/>
        </w:rPr>
      </w:pPr>
      <w:r>
        <w:rPr>
          <w:rFonts w:ascii="Times New Roman" w:hAnsi="Calibri" w:eastAsia="宋体" w:cs="Times New Roman"/>
          <w:sz w:val="21"/>
        </w:rPr>
        <w:t>市政交通与水利配套工程还有一个典型特征，即同类作业往往在多个区域同步展开。一个城区雨污分流项目，可能同时在主干道、支路、小区接口和泵站联络段施工；一项河道治理工程，也可能在清淤、护岸、桥头收口和沿线附属恢复之间并行推进。现场看上去热火朝天，后台如果没有连续归并机制，项目部便很难真正掌握总量、节奏和偏差。连续归并的关键，不是把所有信息堆到一张日报里，而是按统一区段口径、统一工序口径和统一状态口径，持续汇总不同工点的数据。</w:t>
      </w:r>
    </w:p>
    <w:p w14:paraId="76FB0BFE">
      <w:pPr>
        <w:pStyle w:val="11"/>
        <w:rPr>
          <w:rFonts w:ascii="Times New Roman" w:hAnsi="Calibri" w:eastAsia="宋体" w:cs="Times New Roman"/>
          <w:sz w:val="21"/>
        </w:rPr>
      </w:pPr>
      <w:r>
        <w:rPr>
          <w:rFonts w:ascii="Times New Roman" w:hAnsi="Calibri" w:eastAsia="宋体" w:cs="Times New Roman"/>
          <w:sz w:val="21"/>
        </w:rPr>
        <w:t>这种归并必须解决两个问题。一是同类数据的可比性。不同区段施工条件不同、难度不同、机械投入不同，简单按完成量横向比较往往会失真，因此归并时应同时保留区段属性和限制条件。二是跨区域数据的时间连续性。线性工程最怕的不是某一天做慢，而是某些区段连续多日推进受阻却没有被整体发现。若能够将各工点数据按时间连续归并，项目部就能更快看出哪些区段进入稳定推进状态，哪些区段反复停顿，哪些区段已经开始拖累整体路径。由此，数据组织就不再只是存档，而开始直接服务生产判断。</w:t>
      </w:r>
    </w:p>
    <w:p w14:paraId="22055FFA">
      <w:pPr>
        <w:pStyle w:val="4"/>
        <w:numPr>
          <w:ilvl w:val="0"/>
          <w:numId w:val="0"/>
        </w:numPr>
        <w:topLinePunct w:val="0"/>
        <w:ind w:left="0" w:leftChars="0" w:firstLine="422" w:firstLineChars="0"/>
        <w:rPr>
          <w:b/>
        </w:rPr>
      </w:pPr>
      <w:r>
        <w:rPr>
          <w:rFonts w:hint="eastAsia" w:ascii="黑体" w:hAnsi="黑体" w:eastAsia="黑体" w:cs="黑体"/>
          <w:b/>
          <w:sz w:val="21"/>
        </w:rPr>
        <w:t>二、</w:t>
      </w:r>
      <w:r>
        <w:t>交叉作业条件下的协同调度</w:t>
      </w:r>
    </w:p>
    <w:p w14:paraId="19BD256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多专业并行条件下的冲突识别</w:t>
      </w:r>
    </w:p>
    <w:p w14:paraId="7857A626">
      <w:pPr>
        <w:pStyle w:val="11"/>
        <w:rPr>
          <w:rFonts w:ascii="Times New Roman" w:hAnsi="Calibri" w:eastAsia="宋体" w:cs="Times New Roman"/>
          <w:sz w:val="21"/>
        </w:rPr>
      </w:pPr>
      <w:r>
        <w:rPr>
          <w:rFonts w:ascii="Times New Roman" w:hAnsi="Calibri" w:eastAsia="宋体" w:cs="Times New Roman"/>
          <w:sz w:val="21"/>
        </w:rPr>
        <w:t>市政交通与水利配套工程中的交叉作业，往往比房建项目更难协调。原因并不在于参与单位数量更多，而在于不同专业占用的是同一条通道、同一段路权、同一类导改资源和同一批外部接口。道路工程需要占道窗口，燃气、电力、通信、给排水和再生水迁改也需要窗口；河道整治中的围堰、导流、清淤、护砌和附属绿化恢复，同样会争夺施工时间和作业空间。若缺少有效调度，现场极易出现</w:t>
      </w:r>
      <w:r>
        <w:rPr>
          <w:rFonts w:hint="eastAsia" w:ascii="Times New Roman" w:hAnsi="Times New Roman" w:eastAsia="宋体" w:cs="Times New Roman"/>
          <w:sz w:val="21"/>
          <w:lang w:eastAsia="zh-CN"/>
        </w:rPr>
        <w:t>“</w:t>
      </w:r>
      <w:r>
        <w:rPr>
          <w:rFonts w:ascii="Times New Roman" w:hAnsi="Calibri" w:eastAsia="宋体" w:cs="Times New Roman"/>
          <w:sz w:val="21"/>
        </w:rPr>
        <w:t>谁都在干、谁都受影响</w:t>
      </w:r>
      <w:r>
        <w:rPr>
          <w:rFonts w:hint="eastAsia" w:ascii="Times New Roman" w:hAnsi="Times New Roman" w:eastAsia="宋体" w:cs="Times New Roman"/>
          <w:sz w:val="21"/>
          <w:lang w:eastAsia="zh-CN"/>
        </w:rPr>
        <w:t>”</w:t>
      </w:r>
      <w:r>
        <w:rPr>
          <w:rFonts w:ascii="Times New Roman" w:hAnsi="Calibri" w:eastAsia="宋体" w:cs="Times New Roman"/>
          <w:sz w:val="21"/>
        </w:rPr>
        <w:t>的状态。数字化协同调度的第一步，不是下达更多指令，而是先识别冲突发生在哪里、冲突影响哪些专业、冲突是否已经开始传导。</w:t>
      </w:r>
    </w:p>
    <w:p w14:paraId="09EDBB51">
      <w:pPr>
        <w:pStyle w:val="11"/>
        <w:rPr>
          <w:rFonts w:ascii="Times New Roman" w:hAnsi="Calibri" w:eastAsia="宋体" w:cs="Times New Roman"/>
          <w:sz w:val="21"/>
        </w:rPr>
      </w:pPr>
      <w:r>
        <w:rPr>
          <w:rFonts w:ascii="Times New Roman" w:hAnsi="Calibri" w:eastAsia="宋体" w:cs="Times New Roman"/>
          <w:sz w:val="21"/>
        </w:rPr>
        <w:t>冲突识别最有效的对象，不是单个任务，而是任务之间的界面。某一段道路半幅封闭后，哪些专业必须先做，哪些专业必须后做，哪些专业可以并行但必须错开机械使用窗口，哪些恢复性工序不能提前介入，这些都属于界面逻辑。把界面看清之后，调度才不会沦为简单排队。尤其在老城区改造和既有交通环境下施工时，真正制约进度的，往往不是施工能力，而是交叉界面处理能力。数字化系统若能把区段占用状态、专业进场条件和前后工序依赖关系同步显示，项目部就能更早识别看不见的冲突源。</w:t>
      </w:r>
    </w:p>
    <w:p w14:paraId="4BFFADD3">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交通导改与作业窗口协调</w:t>
      </w:r>
    </w:p>
    <w:p w14:paraId="6E6F1EF0">
      <w:pPr>
        <w:pStyle w:val="11"/>
        <w:rPr>
          <w:rFonts w:ascii="Times New Roman" w:hAnsi="Calibri" w:eastAsia="宋体" w:cs="Times New Roman"/>
          <w:sz w:val="21"/>
        </w:rPr>
      </w:pPr>
      <w:r>
        <w:rPr>
          <w:rFonts w:ascii="Times New Roman" w:hAnsi="Calibri" w:eastAsia="宋体" w:cs="Times New Roman"/>
          <w:sz w:val="21"/>
        </w:rPr>
        <w:t>市政交通工程与一般施工场景最大的不同，在于施工通常不能彻底脱离公众交通系统。车行、人行、公交绕行、沿街商铺出入、学校和医院周边时段限制，都可能对施工窗口形成强约束。水利配套工程虽然不一定直接面对城市交通，但也常常受河道行洪、农灌时段、取排水调度和周边道路组织影响。这意味着，协同调度不能只围绕施工内部资源展开，还必须把外部窗口条件纳入核心变量。数字化管理在这里的关键价值，是把原本靠经验掌握的窗口期、禁作期和高峰期转化为可提前规划、可动态调整的调度条件。</w:t>
      </w:r>
    </w:p>
    <w:p w14:paraId="4A50DBD6">
      <w:pPr>
        <w:pStyle w:val="11"/>
        <w:rPr>
          <w:rFonts w:ascii="Times New Roman" w:hAnsi="Calibri" w:eastAsia="宋体" w:cs="Times New Roman"/>
          <w:sz w:val="21"/>
        </w:rPr>
      </w:pPr>
      <w:r>
        <w:rPr>
          <w:rFonts w:ascii="Times New Roman" w:hAnsi="Calibri" w:eastAsia="宋体" w:cs="Times New Roman"/>
          <w:sz w:val="21"/>
        </w:rPr>
        <w:t>更有效的调度逻辑，是围绕</w:t>
      </w:r>
      <w:r>
        <w:rPr>
          <w:rFonts w:hint="eastAsia" w:ascii="Times New Roman" w:hAnsi="Times New Roman" w:eastAsia="宋体" w:cs="Times New Roman"/>
          <w:sz w:val="21"/>
          <w:lang w:eastAsia="zh-CN"/>
        </w:rPr>
        <w:t>“</w:t>
      </w:r>
      <w:r>
        <w:rPr>
          <w:rFonts w:ascii="Times New Roman" w:hAnsi="Calibri" w:eastAsia="宋体" w:cs="Times New Roman"/>
          <w:sz w:val="21"/>
        </w:rPr>
        <w:t>作业窗口</w:t>
      </w:r>
      <w:r>
        <w:rPr>
          <w:rFonts w:hint="eastAsia" w:ascii="Times New Roman" w:hAnsi="Times New Roman" w:eastAsia="宋体" w:cs="Times New Roman"/>
          <w:sz w:val="21"/>
          <w:lang w:eastAsia="zh-CN"/>
        </w:rPr>
        <w:t>”</w:t>
      </w:r>
      <w:r>
        <w:rPr>
          <w:rFonts w:ascii="Times New Roman" w:hAnsi="Calibri" w:eastAsia="宋体" w:cs="Times New Roman"/>
          <w:sz w:val="21"/>
        </w:rPr>
        <w:t>而不是单纯围绕</w:t>
      </w:r>
      <w:r>
        <w:rPr>
          <w:rFonts w:hint="eastAsia" w:ascii="Times New Roman" w:hAnsi="Times New Roman" w:eastAsia="宋体" w:cs="Times New Roman"/>
          <w:sz w:val="21"/>
          <w:lang w:eastAsia="zh-CN"/>
        </w:rPr>
        <w:t>“</w:t>
      </w:r>
      <w:r>
        <w:rPr>
          <w:rFonts w:ascii="Times New Roman" w:hAnsi="Calibri" w:eastAsia="宋体" w:cs="Times New Roman"/>
          <w:sz w:val="21"/>
        </w:rPr>
        <w:t>作业任务</w:t>
      </w:r>
      <w:r>
        <w:rPr>
          <w:rFonts w:hint="eastAsia" w:ascii="Times New Roman" w:hAnsi="Times New Roman" w:eastAsia="宋体" w:cs="Times New Roman"/>
          <w:sz w:val="21"/>
          <w:lang w:eastAsia="zh-CN"/>
        </w:rPr>
        <w:t>”</w:t>
      </w:r>
      <w:r>
        <w:rPr>
          <w:rFonts w:ascii="Times New Roman" w:hAnsi="Calibri" w:eastAsia="宋体" w:cs="Times New Roman"/>
          <w:sz w:val="21"/>
        </w:rPr>
        <w:t>组织施工。夜间适合机械吊装和道路横穿作业，白天可能更适合井室砌筑、附属恢复和不占道工序；汛期前要优先完成防冲刷和临水危险部位，旱季则可加快基础开挖和断面整修。窗口协调一旦做得细，现场就不会只是抢时间，而是更有针对性地利用时间。很多项目工期失控，不是因为总工期不够，而是因为关键窗口没有被识别和珍惜。数字化调度若能把窗口资源与任务优先级联动起来，项目组织质量就会明显提升。</w:t>
      </w:r>
    </w:p>
    <w:p w14:paraId="311BFD9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调度指令的闭环传递机制</w:t>
      </w:r>
    </w:p>
    <w:p w14:paraId="0E504ADD">
      <w:pPr>
        <w:pStyle w:val="11"/>
        <w:rPr>
          <w:rFonts w:ascii="Times New Roman" w:hAnsi="Calibri" w:eastAsia="宋体" w:cs="Times New Roman"/>
          <w:sz w:val="21"/>
        </w:rPr>
      </w:pPr>
      <w:r>
        <w:rPr>
          <w:rFonts w:ascii="Times New Roman" w:hAnsi="Calibri" w:eastAsia="宋体" w:cs="Times New Roman"/>
          <w:sz w:val="21"/>
        </w:rPr>
        <w:t>交叉作业环境下，调度是否有效，最终取决于指令能否闭环。市政与水利配套工程最常见的问题，并不是没有调度会议，而是会后信息传递层层衰减，到了现场执行层只剩模糊口头要求。谁先让路、谁后进场、哪一段暂停、哪一段抢通、哪一项恢复必须当天完成，这些调度指令若没有明确责任人、明确时限和明确反馈节点，很快就会在多单位并行中失去约束力。数字化闭环的意义，正在于让调度不再只是</w:t>
      </w:r>
      <w:r>
        <w:rPr>
          <w:rFonts w:hint="eastAsia" w:ascii="Times New Roman" w:hAnsi="Times New Roman" w:eastAsia="宋体" w:cs="Times New Roman"/>
          <w:sz w:val="21"/>
          <w:lang w:eastAsia="zh-CN"/>
        </w:rPr>
        <w:t>“</w:t>
      </w:r>
      <w:r>
        <w:rPr>
          <w:rFonts w:ascii="Times New Roman" w:hAnsi="Calibri" w:eastAsia="宋体" w:cs="Times New Roman"/>
          <w:sz w:val="21"/>
        </w:rPr>
        <w:t>说过了</w:t>
      </w:r>
      <w:r>
        <w:rPr>
          <w:rFonts w:hint="eastAsia" w:ascii="Times New Roman" w:hAnsi="Times New Roman" w:eastAsia="宋体" w:cs="Times New Roman"/>
          <w:sz w:val="21"/>
          <w:lang w:eastAsia="zh-CN"/>
        </w:rPr>
        <w:t>”</w:t>
      </w:r>
      <w:r>
        <w:rPr>
          <w:rFonts w:ascii="Times New Roman" w:hAnsi="Calibri" w:eastAsia="宋体" w:cs="Times New Roman"/>
          <w:sz w:val="21"/>
        </w:rPr>
        <w:t>，而是</w:t>
      </w:r>
      <w:r>
        <w:rPr>
          <w:rFonts w:hint="eastAsia" w:ascii="Times New Roman" w:hAnsi="Times New Roman" w:eastAsia="宋体" w:cs="Times New Roman"/>
          <w:sz w:val="21"/>
          <w:lang w:eastAsia="zh-CN"/>
        </w:rPr>
        <w:t>“</w:t>
      </w:r>
      <w:r>
        <w:rPr>
          <w:rFonts w:ascii="Times New Roman" w:hAnsi="Calibri" w:eastAsia="宋体" w:cs="Times New Roman"/>
          <w:sz w:val="21"/>
        </w:rPr>
        <w:t>发出了、接收了、执行了、反馈了、复核了</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1895C393">
      <w:pPr>
        <w:pStyle w:val="11"/>
        <w:rPr>
          <w:rFonts w:ascii="Times New Roman" w:hAnsi="Calibri" w:eastAsia="宋体" w:cs="Times New Roman"/>
          <w:sz w:val="21"/>
        </w:rPr>
      </w:pPr>
      <w:r>
        <w:rPr>
          <w:rFonts w:ascii="Times New Roman" w:hAnsi="Calibri" w:eastAsia="宋体" w:cs="Times New Roman"/>
          <w:sz w:val="21"/>
        </w:rPr>
        <w:t>这类机制尤其适合处理多专业短周期协调事项。例如某一路段要求先完成雨水支管接入，再恢复基层，最后才能组织沥青摊铺；又如某一河段要求先完成围堰加固，方可进入清淤机械作业。若指令只停留在会商纪要里，执行层很容易按自身理解安排。把调度指令转化为可跟踪事项后，现场便能逐步形成统一节奏。真正成熟的协同调度，并不是会议越来越多，而是会议之外的执行链越来越短、越来越清楚。</w:t>
      </w:r>
    </w:p>
    <w:p w14:paraId="3712ABCC">
      <w:pPr>
        <w:pStyle w:val="4"/>
        <w:numPr>
          <w:ilvl w:val="0"/>
          <w:numId w:val="0"/>
        </w:numPr>
        <w:topLinePunct w:val="0"/>
        <w:ind w:left="0" w:leftChars="0" w:firstLine="422" w:firstLineChars="0"/>
        <w:rPr>
          <w:b/>
        </w:rPr>
      </w:pPr>
      <w:r>
        <w:rPr>
          <w:rFonts w:hint="eastAsia" w:ascii="黑体" w:hAnsi="黑体" w:eastAsia="黑体" w:cs="黑体"/>
          <w:b/>
          <w:sz w:val="21"/>
        </w:rPr>
        <w:t>三、</w:t>
      </w:r>
      <w:r>
        <w:t>配套工程施工风险的动态监测</w:t>
      </w:r>
    </w:p>
    <w:p w14:paraId="1C72F39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地下管线与邻近环境的感知布设</w:t>
      </w:r>
    </w:p>
    <w:p w14:paraId="1E305A0F">
      <w:pPr>
        <w:pStyle w:val="11"/>
        <w:rPr>
          <w:rFonts w:ascii="Times New Roman" w:hAnsi="Calibri" w:eastAsia="宋体" w:cs="Times New Roman"/>
          <w:sz w:val="21"/>
        </w:rPr>
      </w:pPr>
      <w:r>
        <w:rPr>
          <w:rFonts w:ascii="Times New Roman" w:hAnsi="Calibri" w:eastAsia="宋体" w:cs="Times New Roman"/>
          <w:sz w:val="21"/>
        </w:rPr>
        <w:t>市政交通与水利配套工程的风险，往往不表现为单纯高空作业或大型吊装风险，而更多体现在地下隐蔽条件和邻近环境扰动上。道路下方的既有管线、交叉口下穿管廊、河道两侧驳岸、临近建筑基础、边坡和挡墙稳定，都可能因为施工扰动产生连锁问题。也正因如此，这类工程的动态监测首先要围绕地下与邻近环境展开，而不是只盯施工面本身。什么位置需要布设沉降点、位移点、管线保护监测点、基坑边坡监测点，哪些区域需要叠加视频观察、巡检签到和人工复测，必须根据工程影响圈来确定，而不能按平均原则简单布点。</w:t>
      </w:r>
    </w:p>
    <w:p w14:paraId="62C51659">
      <w:pPr>
        <w:pStyle w:val="11"/>
        <w:rPr>
          <w:rFonts w:ascii="Times New Roman" w:hAnsi="Calibri" w:eastAsia="宋体" w:cs="Times New Roman"/>
          <w:sz w:val="21"/>
        </w:rPr>
      </w:pPr>
      <w:r>
        <w:rPr>
          <w:rFonts w:ascii="Times New Roman" w:hAnsi="Calibri" w:eastAsia="宋体" w:cs="Times New Roman"/>
          <w:sz w:val="21"/>
        </w:rPr>
        <w:t>感知布设的重点在于</w:t>
      </w:r>
      <w:r>
        <w:rPr>
          <w:rFonts w:hint="eastAsia" w:ascii="Times New Roman" w:hAnsi="Times New Roman" w:eastAsia="宋体" w:cs="Times New Roman"/>
          <w:sz w:val="21"/>
          <w:lang w:eastAsia="zh-CN"/>
        </w:rPr>
        <w:t>“</w:t>
      </w:r>
      <w:r>
        <w:rPr>
          <w:rFonts w:ascii="Times New Roman" w:hAnsi="Calibri" w:eastAsia="宋体" w:cs="Times New Roman"/>
          <w:sz w:val="21"/>
        </w:rPr>
        <w:t>影响圈</w:t>
      </w:r>
      <w:r>
        <w:rPr>
          <w:rFonts w:hint="eastAsia" w:ascii="Times New Roman" w:hAnsi="Times New Roman" w:eastAsia="宋体" w:cs="Times New Roman"/>
          <w:sz w:val="21"/>
          <w:lang w:eastAsia="zh-CN"/>
        </w:rPr>
        <w:t>”</w:t>
      </w:r>
      <w:r>
        <w:rPr>
          <w:rFonts w:ascii="Times New Roman" w:hAnsi="Calibri" w:eastAsia="宋体" w:cs="Times New Roman"/>
          <w:sz w:val="21"/>
        </w:rPr>
        <w:t>概念。线性工程不是点状施工，一段沟槽、一处顶管、一条临时导流渠，其影响范围常常超出施工边界本身。若监测只盯施工红线以内，很多风险会在外围先行显现。比如沟槽开挖引起周边路面微沉降，河道整治引起邻近边坡局部失稳，顶管推进引起既有管线变形，这些都需要通过影响圈监测才能及时发现。数字化监测在此不是为了追求更多图表，而是为了让风险在传导初期就被看见。</w:t>
      </w:r>
    </w:p>
    <w:p w14:paraId="1D12948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水工与市政场景的预警逻辑</w:t>
      </w:r>
    </w:p>
    <w:p w14:paraId="583AD462">
      <w:pPr>
        <w:pStyle w:val="11"/>
        <w:rPr>
          <w:rFonts w:ascii="Times New Roman" w:hAnsi="Calibri" w:eastAsia="宋体" w:cs="Times New Roman"/>
          <w:sz w:val="21"/>
        </w:rPr>
      </w:pPr>
      <w:r>
        <w:rPr>
          <w:rFonts w:ascii="Times New Roman" w:hAnsi="Calibri" w:eastAsia="宋体" w:cs="Times New Roman"/>
          <w:sz w:val="21"/>
        </w:rPr>
        <w:t>市政交通工程与水利配套工程虽然都属于专项基础设施建设，但其预警逻辑并不完全一致。市政交通更强调管线碰撞、占道安全、沟槽坍塌、临时交通组织失衡和既有设施保护；水利配套则更强调边坡稳定、围堰安全、导流能力、渗漏、冲刷和水位变化。数字化预警若不区分场景，极易陷入所有项目都用同一阈值、同一提醒方式的机械状态。更合理的做法，是围绕具体风险链条建立差异化预警规则。对市政项目，预警重点应更多落在地下障碍、施工扰民、交叉口安全和恢复滞后上；对水利项目，则应更多关注临水施工、行洪影响、基础冲刷和结构变形。</w:t>
      </w:r>
    </w:p>
    <w:p w14:paraId="6BCDE5BC">
      <w:pPr>
        <w:pStyle w:val="11"/>
        <w:rPr>
          <w:rFonts w:ascii="Times New Roman" w:hAnsi="Calibri" w:eastAsia="宋体" w:cs="Times New Roman"/>
          <w:sz w:val="21"/>
        </w:rPr>
      </w:pPr>
      <w:r>
        <w:rPr>
          <w:rFonts w:ascii="Times New Roman" w:hAnsi="Calibri" w:eastAsia="宋体" w:cs="Times New Roman"/>
          <w:sz w:val="21"/>
        </w:rPr>
        <w:t>这种预警逻辑还应体现时间敏感性。市政工程的风险往往与早晚高峰、夜间施工和天气变化高度相关，水利工程则与汛期、水位波动和降雨过程紧密相关。也就是说，风险不是静止存在的，而是随着外部条件不断变化。动态监测真正有价值的地方，就在于能够把施工内部状态和外部环境状态叠合起来，帮助项目部识别</w:t>
      </w:r>
      <w:r>
        <w:rPr>
          <w:rFonts w:hint="eastAsia" w:ascii="Times New Roman" w:hAnsi="Times New Roman" w:eastAsia="宋体" w:cs="Times New Roman"/>
          <w:sz w:val="21"/>
          <w:lang w:eastAsia="zh-CN"/>
        </w:rPr>
        <w:t>“</w:t>
      </w:r>
      <w:r>
        <w:rPr>
          <w:rFonts w:ascii="Times New Roman" w:hAnsi="Calibri" w:eastAsia="宋体" w:cs="Times New Roman"/>
          <w:sz w:val="21"/>
        </w:rPr>
        <w:t>何时最危险、何地最敏感、何种组合最应优先处置</w:t>
      </w:r>
      <w:r>
        <w:rPr>
          <w:rFonts w:hint="eastAsia" w:ascii="Times New Roman" w:hAnsi="Times New Roman" w:eastAsia="宋体" w:cs="Times New Roman"/>
          <w:sz w:val="21"/>
          <w:lang w:eastAsia="zh-CN"/>
        </w:rPr>
        <w:t>”</w:t>
      </w:r>
      <w:r>
        <w:rPr>
          <w:rFonts w:ascii="Times New Roman" w:hAnsi="Calibri" w:eastAsia="宋体" w:cs="Times New Roman"/>
          <w:sz w:val="21"/>
        </w:rPr>
        <w:t>。一旦预警逻辑建立在真实场景之上，系统才不会成为噪声源，而会成为组织调度的重要依据。</w:t>
      </w:r>
    </w:p>
    <w:p w14:paraId="6DA7C74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风险处置与现场响应联动</w:t>
      </w:r>
    </w:p>
    <w:p w14:paraId="038C7100">
      <w:pPr>
        <w:pStyle w:val="11"/>
        <w:rPr>
          <w:rFonts w:ascii="Times New Roman" w:hAnsi="Calibri" w:eastAsia="宋体" w:cs="Times New Roman"/>
          <w:sz w:val="21"/>
        </w:rPr>
      </w:pPr>
      <w:r>
        <w:rPr>
          <w:rFonts w:ascii="Times New Roman" w:hAnsi="Calibri" w:eastAsia="宋体" w:cs="Times New Roman"/>
          <w:sz w:val="21"/>
        </w:rPr>
        <w:t>风险监测只有进入处置链条，才算真正形成管理能力。市政交通与水利配套工程中最怕的，不是偶尔出现一次异常，而是异常已经被发现，却没有迅速转化为现场响应。监测数据上来了，视频告警触发了，巡检也记录了，但究竟由谁到场核实、谁决定封控、谁组织机械停作、谁通知相关单位协同处理，若这些环节没有事先明晰，动态监测就只能停留在提示层。真正有效的风险处置，应把监测信号、责任岗位、应急动作和复核恢复串成一条链。</w:t>
      </w:r>
    </w:p>
    <w:p w14:paraId="13CDA95A">
      <w:pPr>
        <w:pStyle w:val="11"/>
        <w:rPr>
          <w:rFonts w:ascii="Times New Roman" w:hAnsi="Calibri" w:eastAsia="宋体" w:cs="Times New Roman"/>
          <w:sz w:val="21"/>
        </w:rPr>
      </w:pPr>
      <w:r>
        <w:rPr>
          <w:rFonts w:ascii="Times New Roman" w:hAnsi="Calibri" w:eastAsia="宋体" w:cs="Times New Roman"/>
          <w:sz w:val="21"/>
        </w:rPr>
        <w:t>这种联动尤其适用于多源风险叠加场景。比如城市道路下方既有燃气、电力和排水管线密集分布，一处异常位移不一定立即意味着险情，但若同时叠加开挖扰动、持续降雨和交通荷载，就应快速提升处置等级。河道整治中的边坡监测也是如此，单一裂缝未必危险，但若与水位变化、冲刷加剧和机械振动并行出现，便必须及时调整作业。数字化联动的价值，正是在于压缩发现与响应之间的时间差，使风险治理不再依赖个别人临场警觉，而逐步形成较为稳定的规则化反应。</w:t>
      </w:r>
    </w:p>
    <w:p w14:paraId="0137BCCE">
      <w:pPr>
        <w:pStyle w:val="4"/>
        <w:numPr>
          <w:ilvl w:val="0"/>
          <w:numId w:val="0"/>
        </w:numPr>
        <w:topLinePunct w:val="0"/>
        <w:ind w:left="0" w:leftChars="0" w:firstLine="422" w:firstLineChars="0"/>
        <w:rPr>
          <w:b/>
        </w:rPr>
      </w:pPr>
      <w:r>
        <w:rPr>
          <w:rFonts w:hint="eastAsia" w:ascii="黑体" w:hAnsi="黑体" w:eastAsia="黑体" w:cs="黑体"/>
          <w:b/>
          <w:sz w:val="21"/>
        </w:rPr>
        <w:t>四、</w:t>
      </w:r>
      <w:r>
        <w:t>专项工程实施经验的归纳提炼</w:t>
      </w:r>
    </w:p>
    <w:p w14:paraId="7372D9F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从点状治理转向线网治理</w:t>
      </w:r>
    </w:p>
    <w:p w14:paraId="1FA9FFF5">
      <w:pPr>
        <w:pStyle w:val="11"/>
        <w:rPr>
          <w:rFonts w:ascii="Times New Roman" w:hAnsi="Calibri" w:eastAsia="宋体" w:cs="Times New Roman"/>
          <w:sz w:val="21"/>
        </w:rPr>
      </w:pPr>
      <w:r>
        <w:rPr>
          <w:rFonts w:ascii="Times New Roman" w:hAnsi="Calibri" w:eastAsia="宋体" w:cs="Times New Roman"/>
          <w:sz w:val="21"/>
        </w:rPr>
        <w:t>市政交通与水利配套工程的实施经验表明，这类项目最不适合照搬单体建筑管理逻辑。单体建筑强调垂直空间和固定界面，专项基础设施工程则更接近线网治理。所谓线网治理，并不是只看一条线，而是同时看线路、节点、接口和影响圈构成的整体关系。一个路口的迁改、一个泵站的接入、一段河岸的加固，往往都会改变周边多段工点的组织条件。由此，专项工程的数字化实施经验首先应当归纳为一种治理视角的变化：管理重点从看住一个点，转向看住一条线、管好一张网、守住一片影响区。</w:t>
      </w:r>
    </w:p>
    <w:p w14:paraId="42D23869">
      <w:pPr>
        <w:pStyle w:val="11"/>
        <w:rPr>
          <w:rFonts w:ascii="Times New Roman" w:hAnsi="Calibri" w:eastAsia="宋体" w:cs="Times New Roman"/>
          <w:sz w:val="21"/>
        </w:rPr>
      </w:pPr>
      <w:r>
        <w:rPr>
          <w:rFonts w:ascii="Times New Roman" w:hAnsi="Calibri" w:eastAsia="宋体" w:cs="Times New Roman"/>
          <w:sz w:val="21"/>
        </w:rPr>
        <w:t>这一经验之所以重要，在于它决定后续系统怎么建、数据怎么采、组织怎么调。若仍按点状项目思维推进，系统会很快陷入局部精细、整体失衡。线网治理视角则要求从一开始就建立区段化、节点化和接口化组织方式，使现场数据能够支持整体判断。这样的提炼，既适用于道路、桥涵、综合管线，也适用于水系连通、河道整治、泵站配套和灌排设施完善等场景。</w:t>
      </w:r>
    </w:p>
    <w:p w14:paraId="1A0355F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从项目经验转向规则沉淀</w:t>
      </w:r>
    </w:p>
    <w:p w14:paraId="0536066D">
      <w:pPr>
        <w:pStyle w:val="11"/>
        <w:rPr>
          <w:rFonts w:ascii="Times New Roman" w:hAnsi="Calibri" w:eastAsia="宋体" w:cs="Times New Roman"/>
          <w:sz w:val="21"/>
        </w:rPr>
      </w:pPr>
      <w:r>
        <w:rPr>
          <w:rFonts w:ascii="Times New Roman" w:hAnsi="Calibri" w:eastAsia="宋体" w:cs="Times New Roman"/>
          <w:sz w:val="21"/>
        </w:rPr>
        <w:t>专项工程数字化实施的第二个重要经验，在于项目经验必须尽快转化为可复制规则。市政交通与水利配套工程往往具有项目差异大、环境条件复杂、外部干扰强的特点，若每一个项目都从零开始摸索，数字化建设很容易停留在展示成果而难以积累能力。更有效的做法，是把区段编码方式、交叉调度流程、风险监测布点逻辑、预警处置分级和资料留痕要求等内容沉淀为规则模板，再根据项目特征进行局部调整。这样形成的不是单个项目的</w:t>
      </w:r>
      <w:r>
        <w:rPr>
          <w:rFonts w:hint="eastAsia" w:ascii="Times New Roman" w:hAnsi="Times New Roman" w:eastAsia="宋体" w:cs="Times New Roman"/>
          <w:sz w:val="21"/>
          <w:lang w:eastAsia="zh-CN"/>
        </w:rPr>
        <w:t>“</w:t>
      </w:r>
      <w:r>
        <w:rPr>
          <w:rFonts w:ascii="Times New Roman" w:hAnsi="Calibri" w:eastAsia="宋体" w:cs="Times New Roman"/>
          <w:sz w:val="21"/>
        </w:rPr>
        <w:t>亮点做法</w:t>
      </w:r>
      <w:r>
        <w:rPr>
          <w:rFonts w:hint="eastAsia" w:ascii="Times New Roman" w:hAnsi="Times New Roman" w:eastAsia="宋体" w:cs="Times New Roman"/>
          <w:sz w:val="21"/>
          <w:lang w:eastAsia="zh-CN"/>
        </w:rPr>
        <w:t>”</w:t>
      </w:r>
      <w:r>
        <w:rPr>
          <w:rFonts w:ascii="Times New Roman" w:hAnsi="Calibri" w:eastAsia="宋体" w:cs="Times New Roman"/>
          <w:sz w:val="21"/>
        </w:rPr>
        <w:t>，而是可以不断复用的组织资产。</w:t>
      </w:r>
    </w:p>
    <w:p w14:paraId="56B42CFE">
      <w:pPr>
        <w:pStyle w:val="11"/>
        <w:rPr>
          <w:rFonts w:ascii="Times New Roman" w:hAnsi="Calibri" w:eastAsia="宋体" w:cs="Times New Roman"/>
          <w:sz w:val="21"/>
        </w:rPr>
      </w:pPr>
      <w:r>
        <w:rPr>
          <w:rFonts w:ascii="Times New Roman" w:hAnsi="Calibri" w:eastAsia="宋体" w:cs="Times New Roman"/>
          <w:sz w:val="21"/>
        </w:rPr>
        <w:t>规则沉淀还意味着要保留失败经验。哪些监测布点过于分散，哪些调度机制虽设计完整却执行困难，哪些恢复性工序总是被后置，哪些资料要求过细反而增加基层负担，这些内容同样值得进入经验库。真正成熟的专项工程数字化管理，并不只是不断增加功能，而是在一轮轮项目实施中把有效做法稳定下来，把无效做法及时剔除。</w:t>
      </w:r>
    </w:p>
    <w:p w14:paraId="1C071F6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从施工实施延伸到后续运营衔接</w:t>
      </w:r>
    </w:p>
    <w:p w14:paraId="0F819A9E">
      <w:pPr>
        <w:pStyle w:val="11"/>
        <w:rPr>
          <w:rFonts w:ascii="Times New Roman" w:hAnsi="Calibri" w:eastAsia="宋体" w:cs="Times New Roman"/>
          <w:sz w:val="21"/>
        </w:rPr>
      </w:pPr>
      <w:r>
        <w:rPr>
          <w:rFonts w:ascii="Times New Roman" w:hAnsi="Calibri" w:eastAsia="宋体" w:cs="Times New Roman"/>
          <w:sz w:val="21"/>
        </w:rPr>
        <w:t>市政交通与水利配套工程的数字化实施，不应在竣工节点戛然而止。与一般房建项目相比，这类工程更直接关系公共运行和后续维护。道路、桥涵、排水系统、泵站、闸阀井、河道护岸和管网接口，一旦进入运营阶段，仍然需要依赖施工期形成的准确资料和状态信息。专项工程实施经验中最值得强调的一点，正是施工数据应尽可能为后续运维留下可接续基础。区段信息、隐蔽部位资料、材料批次、节点影像和调试记录，都不应只是为了施工交账而存在，还应成为后续养护、检修和应急处置的基础资料。</w:t>
      </w:r>
    </w:p>
    <w:p w14:paraId="0CC0F803">
      <w:pPr>
        <w:pStyle w:val="11"/>
        <w:rPr>
          <w:rFonts w:ascii="Times New Roman" w:hAnsi="Calibri" w:eastAsia="宋体" w:cs="Times New Roman"/>
          <w:sz w:val="21"/>
        </w:rPr>
      </w:pPr>
      <w:r>
        <w:rPr>
          <w:rFonts w:ascii="Times New Roman" w:hAnsi="Calibri" w:eastAsia="宋体" w:cs="Times New Roman"/>
          <w:sz w:val="21"/>
        </w:rPr>
        <w:t>这类延伸改变了数字化实施的评价标准。项目不再只是看施工期间是否提高了效率、减少了风险，还要看交付后的设施是否更容易被管、被查、被维护。尤其在政府投资项目和公共基础设施场景中，施工期形成的数字资产如果能够顺畅进入运营端，数字化建设的价值才算真正被放大。也正因此，专项工程的经验提炼最终指向的不只是如何把工程建好，而是如何让工程在建成之后仍然保有清晰、可信和可延续的信息基础。</w:t>
      </w:r>
    </w:p>
    <w:p w14:paraId="0AC847AF">
      <w:pPr>
        <w:rPr>
          <w:rFonts w:hint="eastAsia"/>
        </w:rPr>
      </w:pPr>
    </w:p>
    <w:p w14:paraId="5347CC22">
      <w:pPr>
        <w:pStyle w:val="2"/>
        <w:numPr>
          <w:ilvl w:val="0"/>
          <w:numId w:val="0"/>
        </w:numPr>
        <w:ind w:left="0" w:leftChars="0" w:firstLine="0" w:firstLineChars="0"/>
        <w:rPr>
          <w:rFonts w:hint="eastAsia" w:ascii="宋体" w:hAnsi="宋体" w:eastAsia="黑体" w:cs="宋体"/>
          <w:b/>
          <w:bCs/>
          <w:kern w:val="44"/>
          <w:sz w:val="40"/>
          <w:szCs w:val="30"/>
        </w:rPr>
        <w:sectPr>
          <w:headerReference r:id="rId33" w:type="default"/>
          <w:footerReference r:id="rId35" w:type="default"/>
          <w:headerReference r:id="rId34" w:type="even"/>
          <w:footerReference r:id="rId36" w:type="even"/>
          <w:pgSz w:w="10431" w:h="14740"/>
          <w:pgMar w:top="1440" w:right="1800" w:bottom="1440" w:left="1800" w:header="851" w:footer="992" w:gutter="0"/>
          <w:pgNumType w:fmt="decimal"/>
          <w:cols w:space="425" w:num="1"/>
          <w:docGrid w:type="lines" w:linePitch="312" w:charSpace="0"/>
        </w:sectPr>
      </w:pPr>
    </w:p>
    <w:p w14:paraId="376BBE1D">
      <w:pPr>
        <w:bidi w:val="0"/>
        <w:rPr>
          <w:rFonts w:hint="eastAsia"/>
        </w:rPr>
      </w:pPr>
    </w:p>
    <w:p w14:paraId="1F6FE27E">
      <w:pPr>
        <w:bidi w:val="0"/>
        <w:rPr>
          <w:rFonts w:hint="eastAsia" w:ascii="Arial" w:hAnsi="Arial" w:eastAsia="黑体" w:cstheme="minorBidi"/>
          <w:kern w:val="2"/>
          <w:sz w:val="21"/>
          <w:szCs w:val="24"/>
          <w:lang w:val="en-US" w:eastAsia="zh-CN" w:bidi="ar-SA"/>
        </w:rPr>
      </w:pPr>
    </w:p>
    <w:p w14:paraId="5DC4C22D">
      <w:pPr>
        <w:bidi w:val="0"/>
        <w:rPr>
          <w:rFonts w:hint="eastAsia"/>
          <w:lang w:val="en-US" w:eastAsia="zh-CN"/>
        </w:rPr>
      </w:pPr>
    </w:p>
    <w:p w14:paraId="34ADCE0D">
      <w:pPr>
        <w:tabs>
          <w:tab w:val="left" w:pos="2746"/>
        </w:tabs>
        <w:bidi w:val="0"/>
        <w:jc w:val="left"/>
        <w:rPr>
          <w:rFonts w:hint="eastAsia"/>
          <w:lang w:val="en-US" w:eastAsia="zh-CN"/>
        </w:rPr>
        <w:sectPr>
          <w:pgSz w:w="10431" w:h="14740"/>
          <w:pgMar w:top="1440" w:right="1800" w:bottom="1440" w:left="1800" w:header="851" w:footer="992" w:gutter="0"/>
          <w:pgNumType w:fmt="decimal"/>
          <w:cols w:space="425" w:num="1"/>
          <w:docGrid w:type="lines" w:linePitch="312" w:charSpace="0"/>
        </w:sectPr>
      </w:pPr>
      <w:r>
        <w:rPr>
          <w:rFonts w:hint="eastAsia"/>
          <w:lang w:val="en-US" w:eastAsia="zh-CN"/>
        </w:rPr>
        <w:tab/>
      </w:r>
    </w:p>
    <w:p w14:paraId="6A7121B7">
      <w:pPr>
        <w:pStyle w:val="2"/>
        <w:numPr>
          <w:ilvl w:val="0"/>
          <w:numId w:val="0"/>
        </w:numPr>
        <w:ind w:left="0" w:leftChars="0" w:firstLine="0" w:firstLineChars="0"/>
        <w:rPr>
          <w:b/>
        </w:rPr>
      </w:pPr>
      <w:bookmarkStart w:id="37" w:name="_Toc17718"/>
      <w:r>
        <w:rPr>
          <w:rFonts w:hint="eastAsia" w:ascii="宋体" w:hAnsi="宋体" w:eastAsia="黑体" w:cs="宋体"/>
          <w:b/>
          <w:bCs/>
          <w:kern w:val="44"/>
          <w:sz w:val="40"/>
          <w:szCs w:val="30"/>
        </w:rPr>
        <w:t>第七章</w:t>
      </w:r>
      <w:r>
        <w:rPr>
          <w:rFonts w:hint="eastAsia" w:cs="宋体"/>
          <w:b/>
          <w:bCs/>
          <w:kern w:val="44"/>
          <w:sz w:val="40"/>
          <w:szCs w:val="30"/>
          <w:lang w:val="en-US" w:eastAsia="zh-CN"/>
        </w:rPr>
        <w:t xml:space="preserve"> </w:t>
      </w:r>
      <w:r>
        <w:t>工地空间感知与测绘联动应用</w:t>
      </w:r>
      <w:bookmarkEnd w:id="37"/>
    </w:p>
    <w:p w14:paraId="4968D2FF">
      <w:pPr>
        <w:pStyle w:val="3"/>
        <w:numPr>
          <w:ilvl w:val="0"/>
          <w:numId w:val="0"/>
        </w:numPr>
        <w:ind w:left="0" w:leftChars="0" w:firstLine="0" w:firstLineChars="0"/>
        <w:rPr>
          <w:b/>
        </w:rPr>
      </w:pPr>
      <w:bookmarkStart w:id="38" w:name="_Toc16585"/>
      <w:r>
        <w:rPr>
          <w:rFonts w:hint="eastAsia" w:ascii="宋体" w:hAnsi="宋体" w:eastAsia="黑体" w:cs="宋体"/>
          <w:b/>
          <w:bCs/>
          <w:kern w:val="44"/>
          <w:sz w:val="30"/>
          <w:szCs w:val="30"/>
        </w:rPr>
        <w:t>第一节</w:t>
      </w:r>
      <w:r>
        <w:rPr>
          <w:rFonts w:hint="eastAsia" w:cs="宋体"/>
          <w:b/>
          <w:bCs/>
          <w:kern w:val="44"/>
          <w:sz w:val="30"/>
          <w:szCs w:val="30"/>
          <w:lang w:val="en-US" w:eastAsia="zh-CN"/>
        </w:rPr>
        <w:t xml:space="preserve"> </w:t>
      </w:r>
      <w:r>
        <w:t>空间数据获取与测绘表达</w:t>
      </w:r>
      <w:bookmarkEnd w:id="38"/>
      <w:r>
        <w:t xml:space="preserve">   </w:t>
      </w:r>
    </w:p>
    <w:p w14:paraId="2A29C224">
      <w:pPr>
        <w:pStyle w:val="4"/>
        <w:numPr>
          <w:ilvl w:val="0"/>
          <w:numId w:val="0"/>
        </w:numPr>
        <w:topLinePunct w:val="0"/>
        <w:ind w:left="0" w:leftChars="0" w:firstLine="422" w:firstLineChars="0"/>
        <w:rPr>
          <w:b/>
        </w:rPr>
      </w:pPr>
      <w:r>
        <w:rPr>
          <w:rFonts w:hint="eastAsia" w:ascii="黑体" w:hAnsi="黑体" w:eastAsia="黑体" w:cs="黑体"/>
          <w:b/>
          <w:sz w:val="21"/>
        </w:rPr>
        <w:t>一、</w:t>
      </w:r>
      <w:r>
        <w:t>工程控制网与坐标基准建立</w:t>
      </w:r>
    </w:p>
    <w:p w14:paraId="793571A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控制网布设原则</w:t>
      </w:r>
    </w:p>
    <w:p w14:paraId="7EE905C4">
      <w:pPr>
        <w:pStyle w:val="11"/>
        <w:rPr>
          <w:rFonts w:ascii="Times New Roman" w:hAnsi="Calibri" w:eastAsia="宋体" w:cs="Times New Roman"/>
          <w:sz w:val="21"/>
        </w:rPr>
      </w:pPr>
      <w:r>
        <w:rPr>
          <w:rFonts w:ascii="Times New Roman" w:hAnsi="Calibri" w:eastAsia="宋体" w:cs="Times New Roman"/>
          <w:sz w:val="21"/>
        </w:rPr>
        <w:t>智慧工地中的空间感知，不是从无人机起飞或模型上屏开始，而是从控制点落地开始。控制网一旦布设失准，后续测量、放样、监测、航测和模型叠加都会出现系统性偏移，表面上看只是几厘米的误差，落到现场却可能变成构件定位不准、工序衔接失衡和成果无法互认。工程控制网的布设因此不能只满足开工初期放线需要，更要兼顾全过程测量复核、分阶段加密和多源数据接入的连续要求。准确性是基础，稳定性是前提，适用性则决定它能否真正进入施工组织。较为合理的做法，是把首级控制、施工加密控制和专业测量控制区分开来，根据场地范围、结构特征、遮挡条件和施工阶段分层设置，使控制体系既能覆盖整体，又能深入作业面。对高层建筑、超长结构、深基坑和线性延展场景，还应考虑沉降、遮挡和施工扰动对点位稳定性的影响，避免把理论上完备的控制网建成现场难以长期使用的静态成果。</w:t>
      </w:r>
    </w:p>
    <w:p w14:paraId="082D404D">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坐标基准统一要求</w:t>
      </w:r>
    </w:p>
    <w:p w14:paraId="6A5B2062">
      <w:pPr>
        <w:pStyle w:val="11"/>
        <w:rPr>
          <w:rFonts w:ascii="Times New Roman" w:hAnsi="Calibri" w:eastAsia="宋体" w:cs="Times New Roman"/>
          <w:sz w:val="21"/>
        </w:rPr>
      </w:pPr>
      <w:r>
        <w:rPr>
          <w:rFonts w:ascii="Times New Roman" w:hAnsi="Calibri" w:eastAsia="宋体" w:cs="Times New Roman"/>
          <w:sz w:val="21"/>
        </w:rPr>
        <w:t>坐标基准统一看似是测绘专业内部问题，实则决定智慧工地中各类空间成果能否互相对话。设计图纸使用一套坐标，现场测量采用另一套坐标，监测设备和无人机成果又来自第三套表达体系，这种情况在工程实践中并不少见。若没有统一基准，现场虽有大量空间数据，却很难形成真正可叠加、可比较、可追溯的空间底座。智慧工地强调全过程联动，恰恰要求坐标、高程、方向和投影等基础参数在项目启动阶段就尽可能统一，至少要形成清晰的转换规则和责任边界。更值得注意的是，基准统一不仅服务于测量人员，也服务于项目管理人员。因为管理判断越来越依赖空间位置表达，隐患在哪一层、偏差在哪一段、材料堆放侵占了哪一片区域，都必须建立在同一坐标语言之上。空间基准一旦统一，设计、测量、监测、航测和现场管理才不再是各说各话，而能围绕同一位置关系开展协同。</w:t>
      </w:r>
    </w:p>
    <w:p w14:paraId="311623EE">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控制成果在现场管理中的作用</w:t>
      </w:r>
    </w:p>
    <w:p w14:paraId="45713433">
      <w:pPr>
        <w:pStyle w:val="11"/>
        <w:rPr>
          <w:rFonts w:ascii="Times New Roman" w:hAnsi="Calibri" w:eastAsia="宋体" w:cs="Times New Roman"/>
          <w:sz w:val="21"/>
        </w:rPr>
      </w:pPr>
      <w:r>
        <w:rPr>
          <w:rFonts w:ascii="Times New Roman" w:hAnsi="Calibri" w:eastAsia="宋体" w:cs="Times New Roman"/>
          <w:sz w:val="21"/>
        </w:rPr>
        <w:t>工程控制成果若只停留在测量交底和技术档案中，其价值会被明显低估。智慧工地条件下，控制成果不只是放线定位的技术依据，更是现场管理的重要基础。施工道路怎么组织、塔吊和材料堆场如何布置、临设边界如何控制、重点风险区如何标识、监测点位如何与结构部位准确对应，都离不开控制成果的稳定支撑。换句话说，控制网并非测量工作的前置条件而已，它本身就是现场空间秩序的起点。空间管理混乱的工地，往往不是缺少制度，而是缺少可信的位置基准，很多判断只能凭经验指认，结果问题容易反复。把控制成果真正转化为管理基础，意味着它要进入施工总平面管理、测量复核、质量验收和监测分析之中，成为各类空间信息的共同参照。只有做到这一点，控制网才不再是开工时建一次、后续少人问津的技术设施，而成为贯穿项目全周期的空间底座。</w:t>
      </w:r>
    </w:p>
    <w:p w14:paraId="1F27417C">
      <w:pPr>
        <w:pStyle w:val="4"/>
        <w:numPr>
          <w:ilvl w:val="0"/>
          <w:numId w:val="0"/>
        </w:numPr>
        <w:topLinePunct w:val="0"/>
        <w:ind w:left="0" w:leftChars="0" w:firstLine="422" w:firstLineChars="0"/>
        <w:rPr>
          <w:b/>
        </w:rPr>
      </w:pPr>
      <w:r>
        <w:rPr>
          <w:rFonts w:hint="eastAsia" w:ascii="黑体" w:hAnsi="黑体" w:eastAsia="黑体" w:cs="黑体"/>
          <w:b/>
          <w:sz w:val="21"/>
        </w:rPr>
        <w:t>二、</w:t>
      </w:r>
      <w:r>
        <w:t>施工测量成果的数字化表达</w:t>
      </w:r>
    </w:p>
    <w:p w14:paraId="42071B4A">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测量成果整理方式</w:t>
      </w:r>
    </w:p>
    <w:p w14:paraId="6178777C">
      <w:pPr>
        <w:pStyle w:val="11"/>
        <w:rPr>
          <w:rFonts w:ascii="Times New Roman" w:hAnsi="Calibri" w:eastAsia="宋体" w:cs="Times New Roman"/>
          <w:sz w:val="21"/>
        </w:rPr>
      </w:pPr>
      <w:r>
        <w:rPr>
          <w:rFonts w:ascii="Times New Roman" w:hAnsi="Calibri" w:eastAsia="宋体" w:cs="Times New Roman"/>
          <w:sz w:val="21"/>
        </w:rPr>
        <w:t>施工测量成果的数字化表达，关键不在把纸质记录扫描成电子文件，而在于把成果从单次测量记录转化为可被持续调用的空间信息。传统测量资料通常以原始记录、本、表、图等形式保存，满足归档要求问题不大，但在现场动态管理中往往调用不便。一个楼层轴线偏差、一段管线埋深数据、一次结构复测成果，若只存在于零散表格中，很难迅速服务现场判断。更适合智慧工地场景的整理方式，应当把测量成果拆分为图形成果、数值成果和说明成果三类。图形成果用于表达位置关系和偏差分布，数值成果用于支撑比对计算和趋势判断，说明成果则补充测量时间、测点条件、仪器来源和责任信息。三类成果一旦保持对应，测量数据就不再只是技术部门的内部材料，而可以成为项目各岗位共享使用的空间证据。这样整理出来的成果既利于专业复核，也便于后续进入平台、模型和移动终端使用场景。</w:t>
      </w:r>
    </w:p>
    <w:p w14:paraId="0C2C3C1A">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成果数字化共享路径</w:t>
      </w:r>
    </w:p>
    <w:p w14:paraId="2097B98B">
      <w:pPr>
        <w:pStyle w:val="11"/>
        <w:rPr>
          <w:rFonts w:ascii="Times New Roman" w:hAnsi="Calibri" w:eastAsia="宋体" w:cs="Times New Roman"/>
          <w:sz w:val="21"/>
        </w:rPr>
      </w:pPr>
      <w:r>
        <w:rPr>
          <w:rFonts w:ascii="Times New Roman" w:hAnsi="Calibri" w:eastAsia="宋体" w:cs="Times New Roman"/>
          <w:sz w:val="21"/>
        </w:rPr>
        <w:t>测量成果真正进入智慧工地，核心在于共享路径是否顺畅。很多项目并不缺测量数据，缺的是成果从测量岗位流向生产、质量、安全和管理岗位的有效通道。测量人员完成复测后，若成果仍停留在个人电脑或纸面文件夹中，生产人员就无法及时根据实测情况调整作业，质量人员也难以及时识别偏差风险。数字化共享并不是要求所有原始数据全部公开，而是要按照使用目的形成分层共享。技术复核层需要完整数据链，现场执行层更需要清晰直观的定位结果和偏差提示，管理层则关注哪些区域存在超差、哪些部位需要复检、哪些成果已经形成闭环。共享路径设计得越符合岗位需求，测量成果越容易真正发挥作用。也因此，成果共享不应理解为简单上传，而应理解为围绕不同使用者重组表达方式，使同一份测量结果在不同层级上各有用处，而不是人人都面对一套难以消化的专业资料。</w:t>
      </w:r>
    </w:p>
    <w:p w14:paraId="08992E9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成果支撑施工管理应用</w:t>
      </w:r>
    </w:p>
    <w:p w14:paraId="1091B60B">
      <w:pPr>
        <w:pStyle w:val="11"/>
        <w:rPr>
          <w:rFonts w:ascii="Times New Roman" w:hAnsi="Calibri" w:eastAsia="宋体" w:cs="Times New Roman"/>
          <w:sz w:val="21"/>
        </w:rPr>
      </w:pPr>
      <w:r>
        <w:rPr>
          <w:rFonts w:ascii="Times New Roman" w:hAnsi="Calibri" w:eastAsia="宋体" w:cs="Times New Roman"/>
          <w:sz w:val="21"/>
        </w:rPr>
        <w:t>施工测量成果一旦实现数字化表达，其价值便会从测量控制扩展到施工管理。进度管理需要它判断实物完成边界，质量管理需要它识别位置偏差和高程误差，材料管理需要它校核堆场和通道占用，安全管理也需要它标识临边、洞口、支护和危险区域的准确范围。过去不少项目把测量看成一种技术服务，哪里需要就去测哪里，测完交一份成果即可。进入数字化阶段后，测量更像是现场状态的空间翻译器，它把肉眼难以稳定判断的位置关系转化为可比较、可追踪的管理依据。尤其在复杂结构、异形空间、地下工程和狭窄场地中，很多管理冲突表面上是组织问题，根源其实是空间边界认识不清。此时，数字化测量成果的价值就不仅在于给出结果，更在于帮助项目部把空间问题说清楚、比出来、管起来。测量成果能够进入管理应用，说明空间数据已经不再只是后台资料，而开始直接参与现场治理。</w:t>
      </w:r>
    </w:p>
    <w:p w14:paraId="7E93C052">
      <w:pPr>
        <w:pStyle w:val="4"/>
        <w:numPr>
          <w:ilvl w:val="0"/>
          <w:numId w:val="0"/>
        </w:numPr>
        <w:topLinePunct w:val="0"/>
        <w:ind w:left="0" w:leftChars="0" w:firstLine="422" w:firstLineChars="0"/>
        <w:rPr>
          <w:b/>
        </w:rPr>
      </w:pPr>
      <w:r>
        <w:rPr>
          <w:rFonts w:hint="eastAsia" w:ascii="黑体" w:hAnsi="黑体" w:eastAsia="黑体" w:cs="黑体"/>
          <w:b/>
          <w:sz w:val="21"/>
        </w:rPr>
        <w:t>三、</w:t>
      </w:r>
      <w:r>
        <w:t>无人机航测与倾斜摄影应用</w:t>
      </w:r>
    </w:p>
    <w:p w14:paraId="140A3E1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航测数据采集组织</w:t>
      </w:r>
    </w:p>
    <w:p w14:paraId="04CDE5A7">
      <w:pPr>
        <w:pStyle w:val="11"/>
        <w:rPr>
          <w:rFonts w:ascii="Times New Roman" w:hAnsi="Calibri" w:eastAsia="宋体" w:cs="Times New Roman"/>
          <w:sz w:val="21"/>
        </w:rPr>
      </w:pPr>
      <w:r>
        <w:rPr>
          <w:rFonts w:ascii="Times New Roman" w:hAnsi="Calibri" w:eastAsia="宋体" w:cs="Times New Roman"/>
          <w:sz w:val="21"/>
        </w:rPr>
        <w:t>无人机航测进入工地后，最容易被误解为一种展示手段，仿佛只要飞起来、拍下来，就完成了空间感知。实际上，航测是否真正有用，首先取决于采集组织是否围绕现场问题展开。工地航测不同于一般区域测绘，现场环境变化快，吊装、扬尘、脚手架、临设调整和车辆通行都会影响采集质量与安全条件。因此，采集组织必须把飞行窗口、场地净空、控制点布设、作业避让和成果用途一并考虑。为了看总平面布置而飞，与为了核查土方边界、临建设施占用、材料堆场变化和道路恢复情况而飞，采集方案显然不同。更稳妥的做法，是在采集前先明确用途，再反推航高、重叠度、航线组织和控制要求，使航测从一开始就服务于管理判断，而不是先形成大量影像再寻找应用场景。在一些现场调研中，真正发挥作用的航测都不是最频繁的，而是最贴近管理节奏的，比如关键节点前后飞、场地变化集中期飞、争议部位复核时飞，这种有针对性的采集比常规性的重复拍摄更有价值。</w:t>
      </w:r>
    </w:p>
    <w:p w14:paraId="70727DA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倾斜摄影成果表达</w:t>
      </w:r>
    </w:p>
    <w:p w14:paraId="7035A38A">
      <w:pPr>
        <w:pStyle w:val="11"/>
        <w:rPr>
          <w:rFonts w:ascii="Times New Roman" w:hAnsi="Calibri" w:eastAsia="宋体" w:cs="Times New Roman"/>
          <w:sz w:val="21"/>
        </w:rPr>
      </w:pPr>
      <w:r>
        <w:rPr>
          <w:rFonts w:ascii="Times New Roman" w:hAnsi="Calibri" w:eastAsia="宋体" w:cs="Times New Roman"/>
          <w:sz w:val="21"/>
        </w:rPr>
        <w:t>倾斜摄影的优势，不在于画面更漂亮，而在于它能够更完整地表达建筑物、场地和临时设施之间的立体关系。传统正射成果适合看平面分布，却不容易表达立面遮挡、堆载高度、临建冲突和场地占用边界。倾斜摄影补上了这一层，使管理者能够从更接近现场观察的角度理解空间状态。对智慧工地而言，倾斜摄影成果如果只是作为宣传图或汇报背景，其价值会被大幅压缩。更合理的表达方式，是让成果进入空间核查、场地比对、工点复盘和风险识别等管理场景。比如临时道路是否被材料侵占、围挡外扩是否影响交通、边坡保护是否到位、堆土是否超出控制范围、临设拆改是否与原布置一致，都可以借助倾斜成果进行更直观的判断。</w:t>
      </w:r>
    </w:p>
    <w:p w14:paraId="132B7623">
      <w:pPr>
        <w:pStyle w:val="11"/>
        <w:rPr>
          <w:rFonts w:ascii="Times New Roman" w:hAnsi="Calibri" w:eastAsia="宋体" w:cs="Times New Roman"/>
          <w:sz w:val="21"/>
        </w:rPr>
      </w:pPr>
      <w:r>
        <w:rPr>
          <w:rFonts w:ascii="Times New Roman" w:hAnsi="Calibri" w:eastAsia="宋体" w:cs="Times New Roman"/>
          <w:sz w:val="21"/>
        </w:rPr>
        <w:t>但要真正用好倾斜摄影，还需处理好精度与效率的关系。工地场景并不要求所有成果都达到极高建模精度，很多时候更重要的是更新及时、表达清楚、便于比较。成果表达如果过度追求精细建模，反而容易增加处理周期，使数据失去时效。更符合工程实际的路径，是根据使用场景选择表达深度：总平面管理强调更新频率和整体关系，重点工点复核则可适当提高精细程度。这样一来，倾斜摄影就不再是昂贵的视觉成果，而成为有层次、有节奏的空间表达工具。</w:t>
      </w:r>
    </w:p>
    <w:p w14:paraId="48114E6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航测成果服务现场决策</w:t>
      </w:r>
    </w:p>
    <w:p w14:paraId="4D73086C">
      <w:pPr>
        <w:pStyle w:val="11"/>
        <w:rPr>
          <w:rFonts w:ascii="Times New Roman" w:hAnsi="Calibri" w:eastAsia="宋体" w:cs="Times New Roman"/>
          <w:sz w:val="21"/>
        </w:rPr>
      </w:pPr>
      <w:r>
        <w:rPr>
          <w:rFonts w:ascii="Times New Roman" w:hAnsi="Calibri" w:eastAsia="宋体" w:cs="Times New Roman"/>
          <w:sz w:val="21"/>
        </w:rPr>
        <w:t>无人机航测与倾斜摄影能否真正进入智慧工地，最终要看它们是否服务现场决策。现场决策最需要的并不是更多图像，而是更清楚的空间证据。哪里变化最快，哪里堆载异常，哪里恢复滞后，哪里存在平面布置与实际不符的偏差，航测成果若能回答这些问题，才说明其完成了从采集到治理的转换。尤其在场地范围大、工点分散、人工巡查成本较高的项目中，航测成果能够显著提升管理者对全局状态的掌握能力。它让项目部不必等到层层汇报后才知道现场变化，而可以较快形成整体判断，再把注意力投向真正异常的区域。</w:t>
      </w:r>
    </w:p>
    <w:p w14:paraId="286942F4">
      <w:pPr>
        <w:pStyle w:val="11"/>
        <w:rPr>
          <w:rFonts w:ascii="Times New Roman" w:hAnsi="Calibri" w:eastAsia="宋体" w:cs="Times New Roman"/>
          <w:sz w:val="21"/>
        </w:rPr>
      </w:pPr>
      <w:r>
        <w:rPr>
          <w:rFonts w:hint="eastAsia" w:ascii="Times New Roman" w:hAnsi="Calibri" w:eastAsia="宋体" w:cs="Times New Roman"/>
          <w:sz w:val="21"/>
        </w:rPr>
        <w:t>更重要的是，航测成果还适合承担复盘功能。很多现场争议并不缺少口头解释，缺的是能够回看当时空间状态的客观依据。某一阶段材料为何转运困难、某一路段为何恢复滞后、某一片区域为何反复交叉冲突，若有连续航测成果支撑，问题便更容易被还原。更应重视航测在决策中的这一层作用。它不是替代现场管理，而是为现场管理提供俯视尺度的空间证据，使管理者既能看局部，也能看整体，既能看当下，也能看变化过程。空间感知真正成熟的标志，并不是设备越来越多，而是空间成果越来越能够帮助项目作出更稳、更快、更有依据的判断。</w:t>
      </w:r>
    </w:p>
    <w:p w14:paraId="741CD8D1">
      <w:pPr>
        <w:pStyle w:val="3"/>
        <w:numPr>
          <w:ilvl w:val="0"/>
          <w:numId w:val="0"/>
        </w:numPr>
        <w:ind w:left="0" w:leftChars="0" w:firstLine="0" w:firstLineChars="0"/>
        <w:rPr>
          <w:b/>
        </w:rPr>
      </w:pPr>
      <w:bookmarkStart w:id="39" w:name="_Toc27938"/>
      <w:r>
        <w:rPr>
          <w:rFonts w:hint="eastAsia" w:ascii="宋体" w:hAnsi="宋体" w:eastAsia="黑体" w:cs="宋体"/>
          <w:b/>
          <w:bCs/>
          <w:kern w:val="44"/>
          <w:sz w:val="30"/>
          <w:szCs w:val="30"/>
        </w:rPr>
        <w:t>第二节</w:t>
      </w:r>
      <w:r>
        <w:rPr>
          <w:rFonts w:hint="eastAsia" w:cs="宋体"/>
          <w:b/>
          <w:bCs/>
          <w:kern w:val="44"/>
          <w:sz w:val="30"/>
          <w:szCs w:val="30"/>
          <w:lang w:val="en-US" w:eastAsia="zh-CN"/>
        </w:rPr>
        <w:t xml:space="preserve"> </w:t>
      </w:r>
      <w:r>
        <w:t>现场三维感知与模型重构</w:t>
      </w:r>
      <w:bookmarkEnd w:id="39"/>
      <w:r>
        <w:t xml:space="preserve">   </w:t>
      </w:r>
    </w:p>
    <w:p w14:paraId="4AF913B9">
      <w:pPr>
        <w:pStyle w:val="4"/>
        <w:numPr>
          <w:ilvl w:val="0"/>
          <w:numId w:val="0"/>
        </w:numPr>
        <w:topLinePunct w:val="0"/>
        <w:ind w:left="0" w:leftChars="0" w:firstLine="422" w:firstLineChars="0"/>
        <w:rPr>
          <w:b/>
        </w:rPr>
      </w:pPr>
      <w:r>
        <w:rPr>
          <w:rFonts w:hint="eastAsia" w:ascii="黑体" w:hAnsi="黑体" w:eastAsia="黑体" w:cs="黑体"/>
          <w:b/>
          <w:sz w:val="21"/>
        </w:rPr>
        <w:t>一、</w:t>
      </w:r>
      <w:r>
        <w:t>激光扫描与实景建模技术</w:t>
      </w:r>
    </w:p>
    <w:p w14:paraId="0DC4C52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激光扫描数据获取流程</w:t>
      </w:r>
    </w:p>
    <w:p w14:paraId="1A5005B5">
      <w:pPr>
        <w:pStyle w:val="11"/>
        <w:rPr>
          <w:rFonts w:ascii="Times New Roman" w:hAnsi="Calibri" w:eastAsia="宋体" w:cs="Times New Roman"/>
          <w:sz w:val="21"/>
        </w:rPr>
      </w:pPr>
      <w:r>
        <w:rPr>
          <w:rFonts w:ascii="Times New Roman" w:hAnsi="Calibri" w:eastAsia="宋体" w:cs="Times New Roman"/>
          <w:sz w:val="21"/>
        </w:rPr>
        <w:t>现场三维感知真正进入工程管理，并不是从模型软件打开的那一刻开始，而是从数据获取阶段就决定了上限。激光扫描的优势，在于它能够较高密度地还原现场几何形态，把传统人工测量难以连续表达的立面起伏、构件偏移、设备安装关系和复杂空间轮廓稳定记录下来。对施工现场而言，这种能力最适合用于结构实测、机电安装复核、复杂节点留存、隐蔽空间复盘和竣工前状态比对。扫描流程看似属于技术操作，实则与现场组织密切相关。扫描前需要先判断作业时段、遮挡条件、光照环境、设备通行和作业安全边界，避免在吊装频繁、粉尘较重或人员密集的时段进行无序采集。到了布站阶段，还要围绕重点区域、视线通廊和控制点条件合理安排扫描位置，使点云覆盖既完整，又不过度重复。采集完成后，数据并不能直接用于管理判断，还必须经过配准、去噪、拼接、裁切和坐标统一处理，最终形成可以进入比对和分析环节的标准成果。</w:t>
      </w:r>
    </w:p>
    <w:p w14:paraId="3B7233FB">
      <w:pPr>
        <w:pStyle w:val="11"/>
        <w:rPr>
          <w:rFonts w:ascii="Times New Roman" w:hAnsi="Calibri" w:eastAsia="宋体" w:cs="Times New Roman"/>
          <w:sz w:val="21"/>
        </w:rPr>
      </w:pPr>
      <w:r>
        <w:rPr>
          <w:rFonts w:ascii="Times New Roman" w:hAnsi="Calibri" w:eastAsia="宋体" w:cs="Times New Roman"/>
          <w:sz w:val="21"/>
        </w:rPr>
        <w:t>这一流程最值得强调的，不是技术步骤本身，而是采集目标必须先于采集动作。为了看整体形态而扫描，与为了检查钢结构安装偏差、核验机电综合净高、判断幕墙龙骨安装位置是否准确而扫描，数据获取策略并不相同。若管理目标不清，现场很容易陷入采得很多、真正能用的不多的状态。比较成熟的做法，是把扫描对象分为整体空间、重点构件和关键节点三个层级。整体空间强调场景完整，重点构件强调定位精度，关键节点则更关注细部关系和后续复查的可比性。这样形成的数据获取流程，才不是孤立的测绘活动，而是围绕工程问题展开的空间证据生产过程。</w:t>
      </w:r>
    </w:p>
    <w:p w14:paraId="717633C3">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实景模型表达现场状态</w:t>
      </w:r>
    </w:p>
    <w:p w14:paraId="55716ADE">
      <w:pPr>
        <w:pStyle w:val="11"/>
        <w:rPr>
          <w:rFonts w:ascii="Times New Roman" w:hAnsi="Calibri" w:eastAsia="宋体" w:cs="Times New Roman"/>
          <w:sz w:val="21"/>
        </w:rPr>
      </w:pPr>
      <w:r>
        <w:rPr>
          <w:rFonts w:ascii="Times New Roman" w:hAnsi="Calibri" w:eastAsia="宋体" w:cs="Times New Roman"/>
          <w:sz w:val="21"/>
        </w:rPr>
        <w:t>激光扫描的管理价值，不能停留在点云文件本身，还要通过实景模型把现场状态表达出来。实景模型之所以适合工地场景，在于它能够把空间形态、构件关系和环境状态放到同一个可视界面中，使管理者不必反复在图纸、照片、表格和现场之间切换判断。一个异形大厅的钢梁安装是否到位，一段地下机房的管线是否与设计路径一致，一片外立面脚手架与成品保护之间是否存在冲突，若只看局部照片往往难以形成整体认识，实景模型则能把这些关系连成完整场景。也正因为如此，实景建模并不只是展示现场，而是在重建现场的空间语境。</w:t>
      </w:r>
    </w:p>
    <w:p w14:paraId="73EF8818">
      <w:pPr>
        <w:pStyle w:val="11"/>
        <w:rPr>
          <w:rFonts w:ascii="Times New Roman" w:hAnsi="Calibri" w:eastAsia="宋体" w:cs="Times New Roman"/>
          <w:sz w:val="21"/>
        </w:rPr>
      </w:pPr>
      <w:r>
        <w:rPr>
          <w:rFonts w:ascii="Times New Roman" w:hAnsi="Calibri" w:eastAsia="宋体" w:cs="Times New Roman"/>
          <w:sz w:val="21"/>
        </w:rPr>
        <w:t>对于智慧工地来说，实景模型最有意义的地方，在于它比普通影像更适合表达当时现场是什么样。传统照片能留下片段，视频能留下过程，但都容易受拍摄角度限制，后续复查时往往还需要熟悉现场的人解释位置关系。实景模型则提供了一种相对稳定的场景回看能力，管理人员可以围绕同一空间对象进行缩放、旋转、定位和对照，很多原本依赖经验判断的空间冲突会因此变得直观。这种表达方式对复杂工地尤其重要。高支模区域、综合管廊、地下车库机电密集区、幕墙转角节点和大跨度公共空间，都属于传统平面资料不易说清的地方。把这些区域做成可复查、可标注、可挂接信息的实景模型，现场沟通成本会明显下降，问题复盘也更有依据。</w:t>
      </w:r>
    </w:p>
    <w:p w14:paraId="15332C63">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建模成果支持质量校核</w:t>
      </w:r>
    </w:p>
    <w:p w14:paraId="56FCC464">
      <w:pPr>
        <w:pStyle w:val="11"/>
        <w:rPr>
          <w:rFonts w:ascii="Times New Roman" w:hAnsi="Calibri" w:eastAsia="宋体" w:cs="Times New Roman"/>
          <w:sz w:val="21"/>
        </w:rPr>
      </w:pPr>
      <w:r>
        <w:rPr>
          <w:rFonts w:ascii="Times New Roman" w:hAnsi="Calibri" w:eastAsia="宋体" w:cs="Times New Roman"/>
          <w:sz w:val="21"/>
        </w:rPr>
        <w:t>实景建模若只承担可视化功能，其价值仍然有限。真正使其进入工程管理深层的是质量校核。施工现场的质量偏差，很多并不是验收时突然出现，而是在安装和成型过程中逐步累积。柱网偏位、构件扭转、设备基础标高误差、管线碰撞、装修收边不顺和净高压缩等问题，若等到人工复核或专项验收阶段集中发现，往往已经进入返工成本较高的时点。建模成果与设计基准、控制点成果或实测标准一旦建立对照关系，就能较早识别偏差集中区域，把质量问题从结果追认前移到过程核验。</w:t>
      </w:r>
    </w:p>
    <w:p w14:paraId="76564635">
      <w:pPr>
        <w:pStyle w:val="11"/>
        <w:rPr>
          <w:rFonts w:ascii="Times New Roman" w:hAnsi="Calibri" w:eastAsia="宋体" w:cs="Times New Roman"/>
          <w:sz w:val="21"/>
        </w:rPr>
      </w:pPr>
      <w:r>
        <w:rPr>
          <w:rFonts w:ascii="Times New Roman" w:hAnsi="Calibri" w:eastAsia="宋体" w:cs="Times New Roman"/>
          <w:sz w:val="21"/>
        </w:rPr>
        <w:t>这种校核不应理解为简单比较两个模型谁更接近，而应围绕具体管理问题组织。对主体结构施工而言，建模成果更适合用于轴线、垂直度、平整度和关键净空复核；对机电安装而言，更适合用于设备就位、管线标高、支吊架位置和碰撞后净距判断；对装饰收口和复杂节点，则适合核验界面关系是否顺畅、基层条件是否满足后续工序要求。不同场景下，实景建模承担的质量校核任务并不一样。正因为如此，建模成果进入质量管理的关键，不在数据多精，而在比较基准、偏差阈值和责任指向是否清楚。只有当模型中的异常能够对应到具体部位、具体工序和具体责任单元，三维感知才真正转化为质量治理能力。在工程实践中，三维成果一旦能够和计划节点、验收节点、整改节点同步挂接，项目部对空间问题的反应速度会明显提高。过去要靠多人到场反复确认的位置冲突，现在往往在模型比对阶段就能初步识别；过去只能在专题会上解释的作业界面矛盾，也能借助空间化表达更快形成共识。这类前移并不意味着现场不用复核，而是意味着复核不再完全从零开始，管理判断因此更有针对性。</w:t>
      </w:r>
    </w:p>
    <w:p w14:paraId="743CF763">
      <w:pPr>
        <w:pStyle w:val="4"/>
        <w:numPr>
          <w:ilvl w:val="0"/>
          <w:numId w:val="0"/>
        </w:numPr>
        <w:topLinePunct w:val="0"/>
        <w:ind w:left="0" w:leftChars="0" w:firstLine="422" w:firstLineChars="0"/>
        <w:rPr>
          <w:b/>
        </w:rPr>
      </w:pPr>
      <w:r>
        <w:rPr>
          <w:rFonts w:hint="eastAsia" w:ascii="黑体" w:hAnsi="黑体" w:eastAsia="黑体" w:cs="黑体"/>
          <w:b/>
          <w:sz w:val="21"/>
        </w:rPr>
        <w:t>二、</w:t>
      </w:r>
      <w:r>
        <w:t>三维场景重构的方法路径</w:t>
      </w:r>
    </w:p>
    <w:p w14:paraId="49352C9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多源数据融合重构</w:t>
      </w:r>
    </w:p>
    <w:p w14:paraId="201C5EEE">
      <w:pPr>
        <w:pStyle w:val="11"/>
        <w:rPr>
          <w:rFonts w:ascii="Times New Roman" w:hAnsi="Calibri" w:eastAsia="宋体" w:cs="Times New Roman"/>
          <w:sz w:val="21"/>
        </w:rPr>
      </w:pPr>
      <w:r>
        <w:rPr>
          <w:rFonts w:ascii="Times New Roman" w:hAnsi="Calibri" w:eastAsia="宋体" w:cs="Times New Roman"/>
          <w:sz w:val="21"/>
        </w:rPr>
        <w:t>施工现场的三维场景重构，很少依靠单一数据来源完成。激光扫描擅长表达精细几何，航测更适合还原大范围场地关系，施工测量成果则在控制精度和坐标统一方面具有基础作用，若再叠加影像资料、构件信息和阶段性实测记录，三维场景才更接近真实工地。由此可见，场景重构的核心不是选一种最先进的技术，而是把不同数据的长处组织起来。多源融合并不是机械叠加。什么数据用于建立整体轮廓，什么数据用于补强细部，什么数据用于校正位置关系，什么数据只作为背景参考，都应在重构前明确。否则，看似信息丰富，实际却容易出现坐标不统一、精度不匹配、更新不同步等问题，最终使成果难以稳定使用。</w:t>
      </w:r>
    </w:p>
    <w:p w14:paraId="5E45084B">
      <w:pPr>
        <w:pStyle w:val="11"/>
        <w:rPr>
          <w:rFonts w:ascii="Times New Roman" w:hAnsi="Calibri" w:eastAsia="宋体" w:cs="Times New Roman"/>
          <w:sz w:val="21"/>
        </w:rPr>
      </w:pPr>
      <w:r>
        <w:rPr>
          <w:rFonts w:ascii="Times New Roman" w:hAnsi="Calibri" w:eastAsia="宋体" w:cs="Times New Roman"/>
          <w:sz w:val="21"/>
        </w:rPr>
        <w:t>多源融合更重要的意义，在于它使三维场景从静态几何表达走向综合空间表达。单一激光扫描可以还原一个时间点的结构和构件状态，却未必能完整覆盖大范围施工总平面变化；航测可以看清道路、堆场、临建和作业边界，却不一定擅长表现设备机房和复杂节点细节；测量成果能够提供可靠控制基础，但缺乏直观场景感。把这些来源放进同一重构逻辑后，场景既有整体性，又有局部解释力，管理人员既能看见现场的大轮廓，也能深入重点区域进行复核。重构工作因此不应被理解为后端制图，而应被理解为空间信息再组织过程。它要求项目团队在技术和管理之间建立明确接口，使数据融合的结果最终服务于工地真实问题。</w:t>
      </w:r>
    </w:p>
    <w:p w14:paraId="4A08401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场景重构精度控制</w:t>
      </w:r>
    </w:p>
    <w:p w14:paraId="093B96C6">
      <w:pPr>
        <w:pStyle w:val="11"/>
        <w:rPr>
          <w:rFonts w:ascii="Times New Roman" w:hAnsi="Calibri" w:eastAsia="宋体" w:cs="Times New Roman"/>
          <w:sz w:val="21"/>
        </w:rPr>
      </w:pPr>
      <w:r>
        <w:rPr>
          <w:rFonts w:ascii="Times New Roman" w:hAnsi="Calibri" w:eastAsia="宋体" w:cs="Times New Roman"/>
          <w:sz w:val="21"/>
        </w:rPr>
        <w:t>三维场景重构并不是精度越高越好。工程现场中，不同管理任务对精度的要求差别很大。用于施工总平面优化和临设布置判断的场景，不需要把每一处细小构件都建到极高精度；用于钢结构安装复核、设备基础校验或机电净高分析的场景，则必须把误差控制在较严范围内。若一律追求高精度，数据采集、处理和更新成本会迅速上升，很多成果尚未完成，现场条件已经发生变化。反过来看，若精度要求过低，重构场景又难以支撑关键判断，最后只能停留在展示层。精度控制真正要解决的，是让成果深度和使用场景相匹配。</w:t>
      </w:r>
    </w:p>
    <w:p w14:paraId="71B08DD7">
      <w:pPr>
        <w:pStyle w:val="11"/>
        <w:rPr>
          <w:rFonts w:ascii="Times New Roman" w:hAnsi="Calibri" w:eastAsia="宋体" w:cs="Times New Roman"/>
          <w:sz w:val="21"/>
        </w:rPr>
      </w:pPr>
      <w:r>
        <w:rPr>
          <w:rFonts w:ascii="Times New Roman" w:hAnsi="Calibri" w:eastAsia="宋体" w:cs="Times New Roman"/>
          <w:sz w:val="21"/>
        </w:rPr>
        <w:t>更合理的做法，是建立分用途的精度逻辑。管理展示类成果强调更新速度和整体可读性，过程复核类成果强调局部精度和对比能力，验收支撑类成果则更强调证据可靠性和可追溯性。这样的精度控制思路，能够避免三维重构陷入两个极端：一种是为了追求视觉效果而不断增加细节，另一种是为了节省处理成本而把成果做得过粗。前者会削弱时效，后者会削弱判断。现场空间数据真正有用的状态，应当是在够用精度、可控成本和可持续更新之间形成平衡。尤其在施工周期较长、环境变化频繁的项目中，重构成果能否及时更新，往往比一次性做到极致精细更重要。</w:t>
      </w:r>
    </w:p>
    <w:p w14:paraId="3323C54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重构成果服务管理分析</w:t>
      </w:r>
    </w:p>
    <w:p w14:paraId="7196D287">
      <w:pPr>
        <w:pStyle w:val="11"/>
        <w:rPr>
          <w:rFonts w:ascii="Times New Roman" w:hAnsi="Calibri" w:eastAsia="宋体" w:cs="Times New Roman"/>
          <w:sz w:val="21"/>
        </w:rPr>
      </w:pPr>
      <w:r>
        <w:rPr>
          <w:rFonts w:ascii="Times New Roman" w:hAnsi="Calibri" w:eastAsia="宋体" w:cs="Times New Roman"/>
          <w:sz w:val="21"/>
        </w:rPr>
        <w:t>三维场景重构的成效，最终要落到管理分析上。若成果只是用于会议展示或汇报截图，其技术价值虽有体现，管理价值却仍然有限。工地真正需要的，是借助重构成果识别问题、比较状态、解释偏差和支撑决策。场地布置是否与施工阶段相匹配，垂直运输路径是否被临时堆场侵占，机电安装是否压缩了关键通道净高，某一区域的作业冲突是否由空间组织不当引起，这些都属于三维场景更容易说清的问题。相较于文字描述和二维平面，重构成果更适合表达空间拥挤、界面交叉、视线遮挡和净空不足等典型现场矛盾。</w:t>
      </w:r>
    </w:p>
    <w:p w14:paraId="58380A34">
      <w:pPr>
        <w:pStyle w:val="11"/>
        <w:rPr>
          <w:rFonts w:ascii="Times New Roman" w:hAnsi="Calibri" w:eastAsia="宋体" w:cs="Times New Roman"/>
          <w:sz w:val="21"/>
        </w:rPr>
      </w:pPr>
      <w:r>
        <w:rPr>
          <w:rFonts w:ascii="Times New Roman" w:hAnsi="Calibri" w:eastAsia="宋体" w:cs="Times New Roman"/>
          <w:sz w:val="21"/>
        </w:rPr>
        <w:t>管理分析还有一个很重要的用途，就是阶段比较。工地是不断变化的，某一时间点的重构成果固然有价值，但真正能帮助管理的是多时点对照。通过不同阶段的场景比对，项目部可以更准确地判断临建拆改是否及时、材料堆放是否外扩、工序推进是否均衡、恢复区域是否滞后。也就是说，三维重构不只是还原现场，更是在建立一种面向变化的分析能力。管理者由此不再只看到此刻现场是什么样，还能看到它是如何变成现在这个样子的。这样的分析视角，对复杂项目尤其重要，因为许多风险并不是单点产生，而是在空间状态不断变化中积累出来的。</w:t>
      </w:r>
    </w:p>
    <w:p w14:paraId="12AF75E8">
      <w:pPr>
        <w:pStyle w:val="4"/>
        <w:numPr>
          <w:ilvl w:val="0"/>
          <w:numId w:val="0"/>
        </w:numPr>
        <w:topLinePunct w:val="0"/>
        <w:ind w:left="0" w:leftChars="0" w:firstLine="422" w:firstLineChars="0"/>
        <w:rPr>
          <w:b/>
        </w:rPr>
      </w:pPr>
      <w:r>
        <w:rPr>
          <w:rFonts w:hint="eastAsia" w:ascii="黑体" w:hAnsi="黑体" w:eastAsia="黑体" w:cs="黑体"/>
          <w:b/>
          <w:sz w:val="21"/>
        </w:rPr>
        <w:t>三、</w:t>
      </w:r>
      <w:r>
        <w:t>空间数据与业务数据的关联方式</w:t>
      </w:r>
    </w:p>
    <w:p w14:paraId="1CDE3C3E">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空间位置挂接业务对象</w:t>
      </w:r>
    </w:p>
    <w:p w14:paraId="27103FDD">
      <w:pPr>
        <w:pStyle w:val="11"/>
        <w:rPr>
          <w:rFonts w:ascii="Times New Roman" w:hAnsi="Calibri" w:eastAsia="宋体" w:cs="Times New Roman"/>
          <w:sz w:val="21"/>
        </w:rPr>
      </w:pPr>
      <w:r>
        <w:rPr>
          <w:rFonts w:ascii="Times New Roman" w:hAnsi="Calibri" w:eastAsia="宋体" w:cs="Times New Roman"/>
          <w:sz w:val="21"/>
        </w:rPr>
        <w:t>空间数据若不能挂接业务对象，最终仍会停留在测绘成果层。施工现场真正需要管理的，不是抽象空间，而是空间中的人、机、料、构件、工序、隐患和事件。空间位置挂接业务对象，实质上是在回答一个核心问题：现场哪一类业务活动发生在什么位置、影响了什么范围、对应哪个责任单元。只有回答清楚这一点，空间成果才能进入项目运行逻辑。比如一个质量问题出现在地下二层机电综合走廊的哪一段，一个安全隐患对应脚手架外侧哪一跨，一个材料堆场占用了哪一块临时运输通道，这些都不是单靠业务台账就能直观看清的。把位置与对象挂起来之后，业务问题就获得了空间坐标，空间成果也获得了管理含义。</w:t>
      </w:r>
    </w:p>
    <w:p w14:paraId="7F9871B8">
      <w:pPr>
        <w:pStyle w:val="11"/>
        <w:rPr>
          <w:rFonts w:ascii="Times New Roman" w:hAnsi="Calibri" w:eastAsia="宋体" w:cs="Times New Roman"/>
          <w:sz w:val="21"/>
        </w:rPr>
      </w:pPr>
      <w:r>
        <w:rPr>
          <w:rFonts w:ascii="Times New Roman" w:hAnsi="Calibri" w:eastAsia="宋体" w:cs="Times New Roman"/>
          <w:sz w:val="21"/>
        </w:rPr>
        <w:t>这种挂接不应只停留在单个点位标注，更应形成稳定的对象关系。人员轨迹要能够对应作业区域，设备位置要能够对应施工任务，构件信息要能够对应安装状态，隐患事件要能够对应风险区段。挂接关系一旦稳定，项目部就能从知道发生了什么进一步走向知道发生在哪里、影响到哪里。对施工管理而言，这种变化十分关键。很多协调困难并不是业务本身复杂，而是各方对空间位置理解不一致，导致同一个问题被反复解释。位置挂接一旦成为常态，现场讨论会从模糊指认转向清晰定位，协同效率自然提高。</w:t>
      </w:r>
    </w:p>
    <w:p w14:paraId="3BAAA9E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业务数据反映空间状态</w:t>
      </w:r>
    </w:p>
    <w:p w14:paraId="2CCBB439">
      <w:pPr>
        <w:pStyle w:val="11"/>
        <w:rPr>
          <w:rFonts w:ascii="Times New Roman" w:hAnsi="Calibri" w:eastAsia="宋体" w:cs="Times New Roman"/>
          <w:sz w:val="21"/>
        </w:rPr>
      </w:pPr>
      <w:r>
        <w:rPr>
          <w:rFonts w:ascii="Times New Roman" w:hAnsi="Calibri" w:eastAsia="宋体" w:cs="Times New Roman"/>
          <w:sz w:val="21"/>
        </w:rPr>
        <w:t>空间数据与业务数据的关联不是单向的。空间信息可以为业务对象提供位置基础，业务数据同样能够反过来表达空间状态。一个区域施工任务持续推进，意味着该空间的作业属性正在变化；某一片场地反复发生材料转运和设备聚集，说明其组织压力正在上升；某一楼层质量问题和整改事项密集出现，则表明该空间可能处在交叉冲突较强或管理失衡的阶段。也就是说，空间状态并不只来自测绘和模型本身，也来自业务活动在空间中的连续投影。把业务数据带回空间场景后，静态地图才会变成动态工地。</w:t>
      </w:r>
    </w:p>
    <w:p w14:paraId="5E3599D3">
      <w:pPr>
        <w:pStyle w:val="11"/>
        <w:rPr>
          <w:rFonts w:ascii="Times New Roman" w:hAnsi="Calibri" w:eastAsia="宋体" w:cs="Times New Roman"/>
          <w:sz w:val="21"/>
        </w:rPr>
      </w:pPr>
      <w:r>
        <w:rPr>
          <w:rFonts w:ascii="Times New Roman" w:hAnsi="Calibri" w:eastAsia="宋体" w:cs="Times New Roman"/>
          <w:sz w:val="21"/>
        </w:rPr>
        <w:t>这种表达方式对现场分析尤其有价值。传统项目管理中，进度、质量、安全和资源数据常常各自在表格中累积，管理者需要依靠经验把它们想象成空间关系。如今若能把这些业务变化直接映射到三维场景或空间分区上，很多潜在矛盾会更早显现。某一区域作业密度过高、某一段通道长期被占、某一楼层返工事项持续增加，都可以通过业务数据的空间表达被直观看到。由此，空间状态不再只是实景采集的结果，也成为业务运行状态的综合反映。这样的联动使管理者看到的不再是孤立的数据表，而是一张会随着业务变化不断更新的空间运行图。</w:t>
      </w:r>
    </w:p>
    <w:p w14:paraId="4F06EB2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空间业务联动提升分析能力</w:t>
      </w:r>
    </w:p>
    <w:p w14:paraId="09044A7C">
      <w:pPr>
        <w:pStyle w:val="11"/>
        <w:rPr>
          <w:rFonts w:ascii="Times New Roman" w:hAnsi="Calibri" w:eastAsia="宋体" w:cs="Times New Roman"/>
          <w:sz w:val="21"/>
        </w:rPr>
      </w:pPr>
      <w:r>
        <w:rPr>
          <w:rFonts w:ascii="Times New Roman" w:hAnsi="Calibri" w:eastAsia="宋体" w:cs="Times New Roman"/>
          <w:sz w:val="21"/>
        </w:rPr>
        <w:t>空间数据与业务数据真正联动起来后，工程管理的分析能力会出现明显提升。过去许多现场判断依赖分散信息拼接，进度问题看计划表，质量问题看整改单，安全问题看巡检记录，空间冲突再回到现场勘查。现在若能把这些信息放进统一空间框架，管理者就更容易识别跨业务、跨区域和跨阶段的关联。某一工序迟迟推进不动，究竟是资源不足、通道受限，还是前置质量问题未闭合；某一区域隐患反复出现，究竟是人员行为问题，还是空间组织本身存在缺陷；某一处设备安装滞后，究竟是到货偏晚，还是现场场景并不具备安装条件。空间与业务联动之后，这些问题不再只能依赖经验猜测，而能在更完整的证据链上进行分析。</w:t>
      </w:r>
    </w:p>
    <w:p w14:paraId="6FF42EBE">
      <w:pPr>
        <w:pStyle w:val="11"/>
        <w:rPr>
          <w:rFonts w:ascii="Times New Roman" w:hAnsi="Calibri" w:eastAsia="宋体" w:cs="Times New Roman"/>
          <w:sz w:val="21"/>
        </w:rPr>
      </w:pPr>
      <w:r>
        <w:rPr>
          <w:rFonts w:ascii="Times New Roman" w:hAnsi="Calibri" w:eastAsia="宋体" w:cs="Times New Roman"/>
          <w:sz w:val="21"/>
        </w:rPr>
        <w:t>更深一层看，空间业务联动还改变了项目复盘方式。过去复盘更多围绕事件顺序展开，重在追问哪一天发生了什么、谁做了什么。引入空间框架后，复盘会进一步追问这些事件发生在什么位置、为何集中在这一区域、是否与场地组织或界面安排有关。这样形成的复盘更接近工地真实运行逻辑，也更容易沉淀为可复用经验。对智慧工地而言，空间感知的成熟并不在于模型越来越复杂，而在于空间成果越来越能支撑业务判断。只有当三维场景既能表达现场形态，又能承载管理过程，现场三维感知与模型重构这一节所讨论的技术，才真正从工具层进入治理层。</w:t>
      </w:r>
    </w:p>
    <w:p w14:paraId="4543B572">
      <w:pPr>
        <w:pStyle w:val="3"/>
        <w:numPr>
          <w:ilvl w:val="0"/>
          <w:numId w:val="0"/>
        </w:numPr>
        <w:ind w:left="0" w:leftChars="0" w:firstLine="0" w:firstLineChars="0"/>
        <w:rPr>
          <w:b/>
        </w:rPr>
      </w:pPr>
      <w:bookmarkStart w:id="40" w:name="_Toc11856"/>
      <w:r>
        <w:rPr>
          <w:rFonts w:hint="eastAsia" w:ascii="宋体" w:hAnsi="宋体" w:eastAsia="黑体" w:cs="宋体"/>
          <w:b/>
          <w:bCs/>
          <w:kern w:val="44"/>
          <w:sz w:val="30"/>
          <w:szCs w:val="30"/>
        </w:rPr>
        <w:t>第三节</w:t>
      </w:r>
      <w:r>
        <w:rPr>
          <w:rFonts w:hint="eastAsia" w:cs="宋体"/>
          <w:b/>
          <w:bCs/>
          <w:kern w:val="44"/>
          <w:sz w:val="30"/>
          <w:szCs w:val="30"/>
          <w:lang w:val="en-US" w:eastAsia="zh-CN"/>
        </w:rPr>
        <w:t xml:space="preserve"> </w:t>
      </w:r>
      <w:r>
        <w:t>人员设备定位与环境监测</w:t>
      </w:r>
      <w:bookmarkEnd w:id="40"/>
    </w:p>
    <w:p w14:paraId="2696C60E">
      <w:pPr>
        <w:pStyle w:val="4"/>
        <w:numPr>
          <w:ilvl w:val="0"/>
          <w:numId w:val="0"/>
        </w:numPr>
        <w:topLinePunct w:val="0"/>
        <w:ind w:left="0" w:leftChars="0" w:firstLine="422" w:firstLineChars="0"/>
        <w:rPr>
          <w:b/>
        </w:rPr>
      </w:pPr>
      <w:r>
        <w:rPr>
          <w:rFonts w:hint="eastAsia" w:ascii="黑体" w:hAnsi="黑体" w:eastAsia="黑体" w:cs="黑体"/>
          <w:b/>
          <w:sz w:val="21"/>
        </w:rPr>
        <w:t>一、</w:t>
      </w:r>
      <w:r>
        <w:t>北斗定位的现场部署方式</w:t>
      </w:r>
    </w:p>
    <w:p w14:paraId="3A50D80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定位基准与部署分区</w:t>
      </w:r>
    </w:p>
    <w:p w14:paraId="2A5B707D">
      <w:pPr>
        <w:pStyle w:val="11"/>
        <w:rPr>
          <w:rFonts w:ascii="Times New Roman" w:hAnsi="Calibri" w:eastAsia="宋体" w:cs="Times New Roman"/>
          <w:sz w:val="21"/>
        </w:rPr>
      </w:pPr>
      <w:r>
        <w:rPr>
          <w:rFonts w:ascii="Times New Roman" w:hAnsi="Calibri" w:eastAsia="宋体" w:cs="Times New Roman"/>
          <w:sz w:val="21"/>
        </w:rPr>
        <w:t>北斗定位进入施工现场后，真正需要解决的并不是能不能看到点位，而是点位能否稳定进入项目管理语境。工地不是开放平原，塔吊、脚手架、钢构件、地下空间、临建设施和不断变化的作业面都会影响信号接收与位置解释。部署北斗定位时，必须先把控制网成果、施工总平面和管理分区统一起来，使定位坐标不只是地图上的抽象数字，而能准确对应楼栋、楼层、施工段、危险源区域和作业通道。只有先建立这种空间参照，后续的人员识别、设备调度和异常预警才不会停留在技术层面，而能直接服务现场组织。</w:t>
      </w:r>
    </w:p>
    <w:p w14:paraId="2D0281D1">
      <w:pPr>
        <w:pStyle w:val="11"/>
        <w:rPr>
          <w:rFonts w:ascii="Times New Roman" w:hAnsi="Calibri" w:eastAsia="宋体" w:cs="Times New Roman"/>
          <w:sz w:val="21"/>
        </w:rPr>
      </w:pPr>
      <w:r>
        <w:rPr>
          <w:rFonts w:ascii="Times New Roman" w:hAnsi="Calibri" w:eastAsia="宋体" w:cs="Times New Roman"/>
          <w:sz w:val="21"/>
        </w:rPr>
        <w:t>更合适的部署方式，是按现场空间特征划分定位分区。开阔区适合发挥北斗在室外连续定位中的优势，材料堆场、道路、塔吊覆盖区和大面积土方作业面宜优先采用卫星定位方式；遮挡明显、金属密集或地下半地下空间，则应同步考虑地面增强、蓝牙信标、</w:t>
      </w:r>
      <w:r>
        <w:rPr>
          <w:rFonts w:ascii="Times New Roman" w:hAnsi="Times New Roman" w:eastAsia="宋体" w:cs="Times New Roman"/>
          <w:sz w:val="21"/>
        </w:rPr>
        <w:t>UWB</w:t>
      </w:r>
      <w:r>
        <w:rPr>
          <w:rFonts w:ascii="Times New Roman" w:hAnsi="Calibri" w:eastAsia="宋体" w:cs="Times New Roman"/>
          <w:sz w:val="21"/>
        </w:rPr>
        <w:t>补点或移动终端辅助定位，形成分区部署、统一表达的混合体系。这样做的目的，不是追求每个角落都用同一种技术，而是让定位能力与现场空间条件相匹配，使北斗成为定位体系的主坐标，而不是孤立存在的单一设备。</w:t>
      </w:r>
    </w:p>
    <w:p w14:paraId="07BEFB9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终端配置与信号组织</w:t>
      </w:r>
    </w:p>
    <w:p w14:paraId="1F6A02D5">
      <w:pPr>
        <w:pStyle w:val="11"/>
        <w:rPr>
          <w:rFonts w:ascii="Times New Roman" w:hAnsi="Calibri" w:eastAsia="宋体" w:cs="Times New Roman"/>
          <w:sz w:val="21"/>
        </w:rPr>
      </w:pPr>
      <w:r>
        <w:rPr>
          <w:rFonts w:ascii="Times New Roman" w:hAnsi="Calibri" w:eastAsia="宋体" w:cs="Times New Roman"/>
          <w:sz w:val="21"/>
        </w:rPr>
        <w:t>北斗定位在工地落地时，终端配置不能只看硬件类型，更要看管理对象的差异。人员终端强调轻便、连续、低干扰，设备终端强调供电稳定、安装牢靠和抗振耐候，移动巡检终端则更看重与业务表单、现场拍照和事件上报的联动能力。若把所有对象都按同一终端逻辑处理，现场运行很快就会出现偏差。人员佩戴终端过重，会影响接受程度；设备终端固定不牢，容易造成漂移和误报；移动终端与业务流程脱节，又会让位置数据失去管理意义。终端配置真正要回答的问题，是谁在用、在什么环境下用、采来的位置数据最终要支撑什么动作。</w:t>
      </w:r>
    </w:p>
    <w:p w14:paraId="324B2007">
      <w:pPr>
        <w:pStyle w:val="11"/>
        <w:rPr>
          <w:rFonts w:ascii="Times New Roman" w:hAnsi="Calibri" w:eastAsia="宋体" w:cs="Times New Roman"/>
          <w:sz w:val="21"/>
        </w:rPr>
      </w:pPr>
      <w:r>
        <w:rPr>
          <w:rFonts w:ascii="Times New Roman" w:hAnsi="Calibri" w:eastAsia="宋体" w:cs="Times New Roman"/>
          <w:sz w:val="21"/>
        </w:rPr>
        <w:t>信号组织同样不能粗放推进。施工现场中，位置刷新频率、上传时段、离线缓存、异常补传和权限分发都直接影响使用效果。高风险作业区需要更高频率的位置更新，普通通行区则可适度降低，以避免无效数据过多堆积。夜间停工阶段不应照搬高频采集逻辑，而应根据值守、巡检和设备运行状态切换到低功耗或重点对象监测模式。位置数据若不区分时段和对象，只会形成大量看似完整、实则缺乏管理价值的轨迹点。施工现场真正需要的，不是永远最密集的数据，而是在关键状态发生时能够可靠获取位置变化。</w:t>
      </w:r>
    </w:p>
    <w:p w14:paraId="5F8875B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部署运行与维护要点</w:t>
      </w:r>
    </w:p>
    <w:p w14:paraId="26569906">
      <w:pPr>
        <w:pStyle w:val="11"/>
        <w:rPr>
          <w:rFonts w:ascii="Times New Roman" w:hAnsi="Calibri" w:eastAsia="宋体" w:cs="Times New Roman"/>
          <w:sz w:val="21"/>
        </w:rPr>
      </w:pPr>
      <w:r>
        <w:rPr>
          <w:rFonts w:ascii="Times New Roman" w:hAnsi="Calibri" w:eastAsia="宋体" w:cs="Times New Roman"/>
          <w:sz w:val="21"/>
        </w:rPr>
        <w:t>定位系统建成之后，难点往往才真正开始。工地环境变化快，基站位置可能受场地调整影响，临时围挡和堆场变化会改变信号条件，终端损坏、断电和人员替换也十分常见。若没有持续维护机制，再先进的定位方案也会很快衰减。较成熟的运行方式，应把校准、巡检、异常回看和责任维护纳入常态管理。定位偏差增大时，不应只怀疑设备本身，还要回到现场看是不是参照点被扰动、遮挡条件发生变化、终端佩戴方式不规范，或者人员已经脱离原有作业区。</w:t>
      </w:r>
    </w:p>
    <w:p w14:paraId="5D02B07A">
      <w:pPr>
        <w:pStyle w:val="11"/>
        <w:rPr>
          <w:rFonts w:ascii="Times New Roman" w:hAnsi="Calibri" w:eastAsia="宋体" w:cs="Times New Roman"/>
          <w:sz w:val="21"/>
        </w:rPr>
      </w:pPr>
      <w:r>
        <w:rPr>
          <w:rFonts w:ascii="Times New Roman" w:hAnsi="Calibri" w:eastAsia="宋体" w:cs="Times New Roman"/>
          <w:sz w:val="21"/>
        </w:rPr>
        <w:t>从管理角度看，北斗部署是否成功，不取决于上线当天的演示效果，而取决于一个月、三个月、一个施工阶段之后，位置数据是否仍然可信、仍然能被调用。项目部若只是把定位系统当作检查展示内容，后续维护通常会明显弱化；若把它纳入安全管理、劳务协同、设备调度和环境联动的日常链条，维护责任反而更容易稳定。定位系统一旦真正嵌入现场运行，它就不再是独立技术配置，而成为工地空间感知能力的一部分。</w:t>
      </w:r>
    </w:p>
    <w:p w14:paraId="0DA26C47">
      <w:pPr>
        <w:pStyle w:val="4"/>
        <w:numPr>
          <w:ilvl w:val="0"/>
          <w:numId w:val="0"/>
        </w:numPr>
        <w:topLinePunct w:val="0"/>
        <w:ind w:left="0" w:leftChars="0" w:firstLine="422" w:firstLineChars="0"/>
        <w:rPr>
          <w:b/>
        </w:rPr>
      </w:pPr>
      <w:r>
        <w:rPr>
          <w:rFonts w:hint="eastAsia" w:ascii="黑体" w:hAnsi="黑体" w:eastAsia="黑体" w:cs="黑体"/>
          <w:b/>
          <w:sz w:val="21"/>
        </w:rPr>
        <w:t>二、</w:t>
      </w:r>
      <w:r>
        <w:t>人员轨迹识别与区域管控</w:t>
      </w:r>
    </w:p>
    <w:p w14:paraId="05CF0EB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轨迹识别的基础规则</w:t>
      </w:r>
    </w:p>
    <w:p w14:paraId="181099E9">
      <w:pPr>
        <w:pStyle w:val="11"/>
        <w:rPr>
          <w:rFonts w:ascii="Times New Roman" w:hAnsi="Calibri" w:eastAsia="宋体" w:cs="Times New Roman"/>
          <w:sz w:val="21"/>
        </w:rPr>
      </w:pPr>
      <w:r>
        <w:rPr>
          <w:rFonts w:ascii="Times New Roman" w:hAnsi="Calibri" w:eastAsia="宋体" w:cs="Times New Roman"/>
          <w:sz w:val="21"/>
        </w:rPr>
        <w:t>人员轨迹识别的价值，不在于看到一条移动曲线，而在于从位置连续变化中读出作业逻辑。传统劳务管理更容易掌握人数变化，却不容易掌握人在现场如何流动、停留、聚集和离开。轨迹识别补上的，正是这一层动态信息。一个班组是否按计划进入指定作业面，特殊工种是否在授权区域活动，巡检人员是否真正到达关键点位，夜间值守人员是否按规定线路巡查，这些都可以通过轨迹规则进行更清楚的判断。也因此，轨迹识别不应只保留原始路径，而应围绕管理目的建立停留时长、进入顺序、越界行为和异常聚集等基础判定规则。</w:t>
      </w:r>
    </w:p>
    <w:p w14:paraId="384DDEFF">
      <w:pPr>
        <w:pStyle w:val="11"/>
        <w:rPr>
          <w:rFonts w:ascii="Times New Roman" w:hAnsi="Calibri" w:eastAsia="宋体" w:cs="Times New Roman"/>
          <w:sz w:val="21"/>
        </w:rPr>
      </w:pPr>
      <w:r>
        <w:rPr>
          <w:rFonts w:ascii="Times New Roman" w:hAnsi="Calibri" w:eastAsia="宋体" w:cs="Times New Roman"/>
          <w:sz w:val="21"/>
        </w:rPr>
        <w:t>更值得注意的是，轨迹识别不是对人员活动的简单放大，而是对施工组织状态的再解释。连续轨迹能够反映作业节奏是否顺畅，频繁折返往往意味着材料准备不足或任务交接不清，长时间停留则可能对应等待、会商、排障或风险暴露。若项目部只把轨迹看成人员监管工具，其价值会被明显压缩；若把轨迹视为组织运行的动态切片，就能从中看到现场协同是否顺畅、区域安排是否合理以及管理响应是否及时。工地真正需要的，不是对人员位置进行静态盯控，而是借助轨迹理解现场活动是如何展开的。</w:t>
      </w:r>
    </w:p>
    <w:p w14:paraId="2B0AFA3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重点区域电子围栏控制</w:t>
      </w:r>
    </w:p>
    <w:p w14:paraId="73A77DC1">
      <w:pPr>
        <w:pStyle w:val="11"/>
        <w:rPr>
          <w:rFonts w:ascii="Times New Roman" w:hAnsi="Calibri" w:eastAsia="宋体" w:cs="Times New Roman"/>
          <w:sz w:val="21"/>
        </w:rPr>
      </w:pPr>
      <w:r>
        <w:rPr>
          <w:rFonts w:ascii="Times New Roman" w:hAnsi="Calibri" w:eastAsia="宋体" w:cs="Times New Roman"/>
          <w:sz w:val="21"/>
        </w:rPr>
        <w:t>区域管控的核心，不是把整个工地切成若干禁止进入的网格，而是围绕真正高风险、高敏感和高约束区域设置清晰边界。深基坑临边、吊装回转半径、特种设备运行通道、临时配电区、危化品存放点、夜间封闭作业区和交叉施工密集区，都属于更适合设置电子围栏的典型空间。围栏一旦建立，项目部获得的并不仅是进入提醒，更重要的是获得了空间规则的可执行表达。过去很多区域边界依靠口头交底和警示牌维持，人员是否真正遵守，很大程度上取决于现场管理强度；现在边界被写入系统，越界行为、停留时间和重复进入都能被连续识别，区域控制因此更有抓手。</w:t>
      </w:r>
    </w:p>
    <w:p w14:paraId="5DA05D82">
      <w:pPr>
        <w:pStyle w:val="11"/>
        <w:rPr>
          <w:rFonts w:ascii="Times New Roman" w:hAnsi="Calibri" w:eastAsia="宋体" w:cs="Times New Roman"/>
          <w:sz w:val="21"/>
        </w:rPr>
      </w:pPr>
      <w:r>
        <w:rPr>
          <w:rFonts w:ascii="Times New Roman" w:hAnsi="Calibri" w:eastAsia="宋体" w:cs="Times New Roman"/>
          <w:sz w:val="21"/>
        </w:rPr>
        <w:t>但电子围栏也不能泛化。围栏设得过多、过碎，会造成预警疲劳，反而削弱真正重点区域的警示效果。更合理的做法，是把围栏分成禁止进入区、授权进入区和时段受限区三类。禁止进入区强调绝对边界，授权进入区要求岗位身份匹配，时段受限区则反映施工阶段变化和夜间管理要求。通过分级围栏，区域管控就不再是简单拦截，而成为与施工计划、岗位权限和风险状态相适应的动态机制。这样的设计，更符合工地边界不断变化、管理要求持续调整的实际。</w:t>
      </w:r>
    </w:p>
    <w:p w14:paraId="6BD9139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轨迹数据服务管理决策</w:t>
      </w:r>
    </w:p>
    <w:p w14:paraId="16C439DC">
      <w:pPr>
        <w:pStyle w:val="11"/>
        <w:rPr>
          <w:rFonts w:ascii="Times New Roman" w:hAnsi="Calibri" w:eastAsia="宋体" w:cs="Times New Roman"/>
          <w:sz w:val="21"/>
        </w:rPr>
      </w:pPr>
      <w:r>
        <w:rPr>
          <w:rFonts w:ascii="Times New Roman" w:hAnsi="Calibri" w:eastAsia="宋体" w:cs="Times New Roman"/>
          <w:sz w:val="21"/>
        </w:rPr>
        <w:t>轨迹数据真正有价值的时候，往往不是个体位置被看见的时候，而是群体流动被解释的时候。管理者更关心的，通常不是某一个人走到了哪里，而是某个区域为什么反复拥堵、某条路线为什么频繁交叉、某类岗位为什么在关键时段无法及时到位。把轨迹数据用于管理决策，关键在于从单点行为上升到群体规律识别。作业高峰时段人员聚集区域是否与计划作业区一致，疏散通道是否长期被无效停留占据，危险作业前后人员流动是否出现异常密集，这些都能为现场组织优化提供依据。</w:t>
      </w:r>
    </w:p>
    <w:p w14:paraId="16B7161B">
      <w:pPr>
        <w:pStyle w:val="11"/>
        <w:rPr>
          <w:rFonts w:ascii="Times New Roman" w:hAnsi="Calibri" w:eastAsia="宋体" w:cs="Times New Roman"/>
          <w:sz w:val="21"/>
        </w:rPr>
      </w:pPr>
      <w:r>
        <w:rPr>
          <w:rFonts w:ascii="Times New Roman" w:hAnsi="Calibri" w:eastAsia="宋体" w:cs="Times New Roman"/>
          <w:sz w:val="21"/>
        </w:rPr>
        <w:t>轨迹数据还有一个常被低估的用途，在于事后复盘。安全事件、质量争议和管理冲突发生后，仅凭口头回忆往往难以准确还原当时的人员分布和移动顺序。轨迹记录若与时间、区域和事件节点对应起来，很多问题就能更快回到真实现场状态中去分析。这样的数据并不是为了增加管理痕迹，而是为了减少模糊判断。施工现场的不少争议，并不是没有人负责，而是当时空间状态不清、过程证据不足，导致后续只能依赖经验解释。轨迹数据进入复盘链条之后，现场决策便更容易建立在连续事实之上。</w:t>
      </w:r>
    </w:p>
    <w:p w14:paraId="66B01BF2">
      <w:pPr>
        <w:pStyle w:val="4"/>
        <w:numPr>
          <w:ilvl w:val="0"/>
          <w:numId w:val="0"/>
        </w:numPr>
        <w:topLinePunct w:val="0"/>
        <w:ind w:left="0" w:leftChars="0" w:firstLine="422" w:firstLineChars="0"/>
        <w:rPr>
          <w:b/>
        </w:rPr>
      </w:pPr>
      <w:r>
        <w:rPr>
          <w:rFonts w:hint="eastAsia" w:ascii="黑体" w:hAnsi="黑体" w:eastAsia="黑体" w:cs="黑体"/>
          <w:b/>
          <w:sz w:val="21"/>
        </w:rPr>
        <w:t>三、</w:t>
      </w:r>
      <w:r>
        <w:t>设备位置数据的管理价值</w:t>
      </w:r>
    </w:p>
    <w:p w14:paraId="7836AF8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设备位置数据的对象建档</w:t>
      </w:r>
    </w:p>
    <w:p w14:paraId="413C51B6">
      <w:pPr>
        <w:pStyle w:val="11"/>
        <w:rPr>
          <w:rFonts w:ascii="Times New Roman" w:hAnsi="Calibri" w:eastAsia="宋体" w:cs="Times New Roman"/>
          <w:sz w:val="21"/>
        </w:rPr>
      </w:pPr>
      <w:r>
        <w:rPr>
          <w:rFonts w:ascii="Times New Roman" w:hAnsi="Calibri" w:eastAsia="宋体" w:cs="Times New Roman"/>
          <w:sz w:val="21"/>
        </w:rPr>
        <w:t>设备位置数据若不能与设备对象稳定对应，很快就会沦为地图上的移动点。塔吊、升降机、吊篮、泵车、挖机、装载机、运输车辆和移动发电设备在施工现场承担的任务各不相同，位置数据的管理价值也因此不同。固定设备更适合关联覆盖范围、服务作业面和风险边界，移动设备则更适合关联运行路线、停留区域和任务切换频率。只有先把设备台账、设备类别、责任单位、服务区域和作业状态统一起来，位置数据才会从孤立坐标变成可理解的管理信息。换句话说，设备位置建档不是附属工作，而是让位置进入组织判断的基础动作。</w:t>
      </w:r>
    </w:p>
    <w:p w14:paraId="680B723B">
      <w:pPr>
        <w:pStyle w:val="11"/>
        <w:rPr>
          <w:rFonts w:ascii="Times New Roman" w:hAnsi="Calibri" w:eastAsia="宋体" w:cs="Times New Roman"/>
          <w:sz w:val="21"/>
        </w:rPr>
      </w:pPr>
      <w:r>
        <w:rPr>
          <w:rFonts w:ascii="Times New Roman" w:hAnsi="Calibri" w:eastAsia="宋体" w:cs="Times New Roman"/>
          <w:sz w:val="21"/>
        </w:rPr>
        <w:t>在工程现场，设备位置最怕缺少身份映射。同一台移动设备若在不同系统中以不同名称出现，位置变化就难以与任务调度、油耗统计、台班管理和风险预警对应。更稳妥的做法，是让设备编号成为位置数据的唯一身份主键，使位置、状态、任务和责任单元围绕同一对象展开。这样一来，项目部看到的就不是</w:t>
      </w:r>
      <w:r>
        <w:rPr>
          <w:rFonts w:hint="eastAsia" w:ascii="Times New Roman" w:hAnsi="Times New Roman" w:eastAsia="宋体" w:cs="Times New Roman"/>
          <w:sz w:val="21"/>
          <w:lang w:eastAsia="zh-CN"/>
        </w:rPr>
        <w:t>“</w:t>
      </w:r>
      <w:r>
        <w:rPr>
          <w:rFonts w:ascii="Times New Roman" w:hAnsi="Calibri" w:eastAsia="宋体" w:cs="Times New Roman"/>
          <w:sz w:val="21"/>
        </w:rPr>
        <w:t>有一台车在移动</w:t>
      </w:r>
      <w:r>
        <w:rPr>
          <w:rFonts w:hint="eastAsia" w:ascii="Times New Roman" w:hAnsi="Times New Roman" w:eastAsia="宋体" w:cs="Times New Roman"/>
          <w:sz w:val="21"/>
          <w:lang w:eastAsia="zh-CN"/>
        </w:rPr>
        <w:t>”</w:t>
      </w:r>
      <w:r>
        <w:rPr>
          <w:rFonts w:ascii="Times New Roman" w:hAnsi="Calibri" w:eastAsia="宋体" w:cs="Times New Roman"/>
          <w:sz w:val="21"/>
        </w:rPr>
        <w:t>，而是</w:t>
      </w:r>
      <w:r>
        <w:rPr>
          <w:rFonts w:hint="eastAsia" w:ascii="Times New Roman" w:hAnsi="Times New Roman" w:eastAsia="宋体" w:cs="Times New Roman"/>
          <w:sz w:val="21"/>
          <w:lang w:eastAsia="zh-CN"/>
        </w:rPr>
        <w:t>“</w:t>
      </w:r>
      <w:r>
        <w:rPr>
          <w:rFonts w:ascii="Times New Roman" w:hAnsi="Calibri" w:eastAsia="宋体" w:cs="Times New Roman"/>
          <w:sz w:val="21"/>
        </w:rPr>
        <w:t>哪一台车、正在什么区域、承担什么任务、是否偏离预定路线</w:t>
      </w:r>
      <w:r>
        <w:rPr>
          <w:rFonts w:hint="eastAsia" w:ascii="Times New Roman" w:hAnsi="Times New Roman" w:eastAsia="宋体" w:cs="Times New Roman"/>
          <w:sz w:val="21"/>
          <w:lang w:eastAsia="zh-CN"/>
        </w:rPr>
        <w:t>”</w:t>
      </w:r>
      <w:r>
        <w:rPr>
          <w:rFonts w:ascii="Times New Roman" w:hAnsi="Calibri" w:eastAsia="宋体" w:cs="Times New Roman"/>
          <w:sz w:val="21"/>
        </w:rPr>
        <w:t>。设备位置一旦完成这样的对象化表达，其管理价值才真正开始显现。</w:t>
      </w:r>
    </w:p>
    <w:p w14:paraId="539B3F8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设备空间位置与施工组织匹配</w:t>
      </w:r>
    </w:p>
    <w:p w14:paraId="5E6EFF04">
      <w:pPr>
        <w:pStyle w:val="11"/>
        <w:rPr>
          <w:rFonts w:ascii="Times New Roman" w:hAnsi="Calibri" w:eastAsia="宋体" w:cs="Times New Roman"/>
          <w:sz w:val="21"/>
        </w:rPr>
      </w:pPr>
      <w:r>
        <w:rPr>
          <w:rFonts w:ascii="Times New Roman" w:hAnsi="Calibri" w:eastAsia="宋体" w:cs="Times New Roman"/>
          <w:sz w:val="21"/>
        </w:rPr>
        <w:t>施工现场中的设备并非静止资源，而是施工组织节奏的重要组成部分。位置数据的意义，首先体现在设备是否出现在该出现的地方。挖机是否及时转入下一开挖区段，泵车是否与浇筑面切换节奏匹配，运输车辆是否在指定时间窗口到达指定通道，升降设备是否与材料垂直运输高峰相适应，这些问题本质上都带有空间组织属性。过去项目部更多依靠对讲机、现场观察和人工计划掌握这类变化，反应往往滞后。设备位置连续可见后，调度判断就能更早发生。</w:t>
      </w:r>
    </w:p>
    <w:p w14:paraId="106C59DE">
      <w:pPr>
        <w:pStyle w:val="11"/>
        <w:rPr>
          <w:rFonts w:ascii="Times New Roman" w:hAnsi="Calibri" w:eastAsia="宋体" w:cs="Times New Roman"/>
          <w:sz w:val="21"/>
        </w:rPr>
      </w:pPr>
      <w:r>
        <w:rPr>
          <w:rFonts w:ascii="Times New Roman" w:hAnsi="Calibri" w:eastAsia="宋体" w:cs="Times New Roman"/>
          <w:sz w:val="21"/>
        </w:rPr>
        <w:t>这一价值并不只体现在大型设备上。许多项目的组织低效，恰恰来自中小型移动设备和转运车辆调度失衡。设备频繁空驶、长时间等待、重复折返，表面上是个别安排失误，实质上反映的是施工组织与空间路径没有真正匹配。位置数据若能与作业面状态、材料需求和通行路线一并分析，项目部便能更准确地识别堵点究竟出在通道组织、时段安排，还是任务切换逻辑本身。设备位置因此不只是后勤信息，而是现场生产节奏的空间表达。</w:t>
      </w:r>
    </w:p>
    <w:p w14:paraId="0A8B4A2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位置数据支撑风险预判</w:t>
      </w:r>
    </w:p>
    <w:p w14:paraId="1C3EFDA7">
      <w:pPr>
        <w:pStyle w:val="11"/>
        <w:rPr>
          <w:rFonts w:ascii="Times New Roman" w:hAnsi="Calibri" w:eastAsia="宋体" w:cs="Times New Roman"/>
          <w:sz w:val="21"/>
        </w:rPr>
      </w:pPr>
      <w:r>
        <w:rPr>
          <w:rFonts w:ascii="Times New Roman" w:hAnsi="Calibri" w:eastAsia="宋体" w:cs="Times New Roman"/>
          <w:sz w:val="21"/>
        </w:rPr>
        <w:t>设备位置数据还有一项更深层的价值，在于支撑风险预判。危险往往不是设备异常本身造成的，而是设备位置关系与现场边界条件发生冲突时逐步积累出来的。吊装设备进入交叉施工密集区，运输车辆频繁驶入人员高聚集通道，移动机具长时间停留在临边或软弱地基附近，这些都属于典型的位置风险。若没有连续位置数据，项目部通常只能在现场巡视中零散发现，难以形成前瞻控制；有了位置识别和区域规则之后，风险便能够在形成阶段被更早提示。</w:t>
      </w:r>
    </w:p>
    <w:p w14:paraId="365BF4B5">
      <w:pPr>
        <w:pStyle w:val="11"/>
        <w:rPr>
          <w:rFonts w:ascii="Times New Roman" w:hAnsi="Calibri" w:eastAsia="宋体" w:cs="Times New Roman"/>
          <w:sz w:val="21"/>
        </w:rPr>
      </w:pPr>
      <w:r>
        <w:rPr>
          <w:rFonts w:ascii="Times New Roman" w:hAnsi="Calibri" w:eastAsia="宋体" w:cs="Times New Roman"/>
          <w:sz w:val="21"/>
        </w:rPr>
        <w:t>从管理效果看，位置预判最重要的，不是系统发出多少告警，而是让告警真正贴近施工实际。只有当设备位置异常能够与作业时段、施工区域、人员分布和环境状态综合判断时，预警才有足够解释力。否则，单纯依赖几何越界提示，容易造成大量低价值报警。更合理的做法，是把设备位置预警与人员轨迹、电子围栏和环境参数联动起来，形成空间—对象—环境三位一体的判断逻辑。这样形成的风险识别，不再只是设备管理口的局部工具，而开始进入工地整体安全治理体系。</w:t>
      </w:r>
    </w:p>
    <w:p w14:paraId="2291A0A9">
      <w:pPr>
        <w:pStyle w:val="4"/>
        <w:numPr>
          <w:ilvl w:val="0"/>
          <w:numId w:val="0"/>
        </w:numPr>
        <w:topLinePunct w:val="0"/>
        <w:ind w:left="0" w:leftChars="0" w:firstLine="422" w:firstLineChars="0"/>
        <w:rPr>
          <w:b/>
        </w:rPr>
      </w:pPr>
      <w:r>
        <w:rPr>
          <w:rFonts w:hint="eastAsia" w:ascii="黑体" w:hAnsi="黑体" w:eastAsia="黑体" w:cs="黑体"/>
          <w:b/>
          <w:sz w:val="21"/>
        </w:rPr>
        <w:t>四、</w:t>
      </w:r>
      <w:r>
        <w:t>扬尘噪声与气象参数采集</w:t>
      </w:r>
    </w:p>
    <w:p w14:paraId="67289443">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环境参数采集点位布设</w:t>
      </w:r>
    </w:p>
    <w:p w14:paraId="63AAD44E">
      <w:pPr>
        <w:pStyle w:val="11"/>
        <w:rPr>
          <w:rFonts w:ascii="Times New Roman" w:hAnsi="Calibri" w:eastAsia="宋体" w:cs="Times New Roman"/>
          <w:sz w:val="21"/>
        </w:rPr>
      </w:pPr>
      <w:r>
        <w:rPr>
          <w:rFonts w:ascii="Times New Roman" w:hAnsi="Calibri" w:eastAsia="宋体" w:cs="Times New Roman"/>
          <w:sz w:val="21"/>
        </w:rPr>
        <w:t>施工现场的环境监测，不是把一台监测仪立在门口就算完成。扬尘、噪声和气象参数都具有明显的空间差异，风向一变、作业面一换、材料堆场一移，监测结果的解释就可能完全不同。点位布设因此必须贴着施工活动走。土方集中区、裸土覆盖薄弱区、车辆冲洗出入口、材料切割区、夜间连续施工区和临近居民敏感边界的区域，更适合作为重点采集点。若所有点位都按平均分布设置，监测虽然看起来完整，真正对管理最关键的热点区域却可能被稀释。环境参数采集的第一原则，是让点位跟着风险走，而不是跟着形式走。</w:t>
      </w:r>
    </w:p>
    <w:p w14:paraId="150D4663">
      <w:pPr>
        <w:pStyle w:val="11"/>
        <w:rPr>
          <w:rFonts w:ascii="Times New Roman" w:hAnsi="Calibri" w:eastAsia="宋体" w:cs="Times New Roman"/>
          <w:sz w:val="21"/>
        </w:rPr>
      </w:pPr>
      <w:r>
        <w:rPr>
          <w:rFonts w:ascii="Times New Roman" w:hAnsi="Calibri" w:eastAsia="宋体" w:cs="Times New Roman"/>
          <w:sz w:val="21"/>
        </w:rPr>
        <w:t>气象参数布设还需要兼顾现场尺度。风速、风向、温湿度和降水情况并不是辅助背景，而是影响扬尘扩散、噪声传播、喷淋效果和作业安排的重要条件。没有气象参照，单纯看某一时刻扬尘数值，很容易误判责任来源和扩散范围。较成熟的布设方式，是将环境监测点与作业分区、道路组织和周边敏感界面对应起来，使监测结果能够说明污染来自哪一类活动、受什么外部条件影响、应优先控制哪一个区段。这样形成的监测网络，才具有管理上的解释力。</w:t>
      </w:r>
    </w:p>
    <w:p w14:paraId="5BD40BC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监测数据的时序判读</w:t>
      </w:r>
    </w:p>
    <w:p w14:paraId="5002E755">
      <w:pPr>
        <w:pStyle w:val="11"/>
        <w:rPr>
          <w:rFonts w:ascii="Times New Roman" w:hAnsi="Calibri" w:eastAsia="宋体" w:cs="Times New Roman"/>
          <w:sz w:val="21"/>
        </w:rPr>
      </w:pPr>
      <w:r>
        <w:rPr>
          <w:rFonts w:ascii="Times New Roman" w:hAnsi="Calibri" w:eastAsia="宋体" w:cs="Times New Roman"/>
          <w:sz w:val="21"/>
        </w:rPr>
        <w:t>环境参数进入系统之后，真正关键的并不是数值是否超限，而是如何判读其变化过程。施工现场的扬尘与噪声大多具有阶段性和情境性，短时上冲可能来自车辆集中进出，也可能来自切割、回填、拆模或突发大风。若只看单个时点，就容易把环境监测做成静态通报；若把数据放在时序中观察，很多变化就能被解释。比如扬尘持续抬升而风速同步加大，说明外扩风险正在增强；噪声在特定时段规律性升高，则可能与机械集中作业和工序切换有关；温湿度和风向变化若与喷淋效果不匹配，现场控制策略就需要及时调整。</w:t>
      </w:r>
    </w:p>
    <w:p w14:paraId="60B24E59">
      <w:pPr>
        <w:pStyle w:val="11"/>
        <w:rPr>
          <w:rFonts w:ascii="Times New Roman" w:hAnsi="Calibri" w:eastAsia="宋体" w:cs="Times New Roman"/>
          <w:sz w:val="21"/>
        </w:rPr>
      </w:pPr>
      <w:r>
        <w:rPr>
          <w:rFonts w:ascii="Times New Roman" w:hAnsi="Calibri" w:eastAsia="宋体" w:cs="Times New Roman"/>
          <w:sz w:val="21"/>
        </w:rPr>
        <w:t>时序判读的意义，还在于帮助项目部区分偶发扰动和持续问题。偶发超阈值更需要快速处置，持续高位则意味着现场控制措施本身可能存在缺口。若没有这一层判断，环境监测很容易陷入逢高就报、报完就过的被动状态。真正有效的监测，应当能回答三个问题：数值为什么升高，升高持续了多久，是否已经开始影响周边敏感区域。只有把这三层关系看清，环境数据才不只是考核材料，而成为施工组织调整的依据。</w:t>
      </w:r>
    </w:p>
    <w:p w14:paraId="1D6328F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环境感知与现场联动控制</w:t>
      </w:r>
    </w:p>
    <w:p w14:paraId="6C87F582">
      <w:pPr>
        <w:pStyle w:val="11"/>
        <w:rPr>
          <w:rFonts w:ascii="Times New Roman" w:hAnsi="Calibri" w:eastAsia="宋体" w:cs="Times New Roman"/>
          <w:sz w:val="21"/>
        </w:rPr>
      </w:pPr>
      <w:r>
        <w:rPr>
          <w:rFonts w:ascii="Times New Roman" w:hAnsi="Calibri" w:eastAsia="宋体" w:cs="Times New Roman"/>
          <w:sz w:val="21"/>
        </w:rPr>
        <w:t>环境监测若不能联动作业控制，其价值会明显受限。工地最需要的不是一块不断刷新数字的屏幕，而是数值变化能够触发相应动作。扬尘升高后，喷淋、雾炮、道路保洁、裸土覆盖和车辆清洗应如何调整；噪声持续走高后，机械作业时段、切割工序安排和临边防护措施是否需要优化；高温、大风或突发降雨出现后，现场作业边界、吊装节奏和高空作业安排是否需要重新评估，这些都属于环境感知向现场控制转化的关键环节。监测与控制之间若没有明确联动逻辑，数据再丰富，也难以形成治理闭环。</w:t>
      </w:r>
    </w:p>
    <w:p w14:paraId="4CE505FC">
      <w:pPr>
        <w:pStyle w:val="11"/>
        <w:rPr>
          <w:rFonts w:ascii="Times New Roman" w:hAnsi="Calibri" w:eastAsia="宋体" w:cs="Times New Roman"/>
          <w:sz w:val="21"/>
        </w:rPr>
      </w:pPr>
      <w:r>
        <w:rPr>
          <w:rFonts w:ascii="Times New Roman" w:hAnsi="Calibri" w:eastAsia="宋体" w:cs="Times New Roman"/>
          <w:sz w:val="21"/>
        </w:rPr>
        <w:t>联动控制更适合采用分级响应方式。轻度异常提示现场复核和局部调整，中度异常触发设备联动和人员提醒，持续异常则应上升到区域管控和作业重新组织。这样的分级，不仅减少了简单粗暴的一刀切停工，也能提高现场对监测系统的接受度。因为一线管理人员真正需要的，不是被动接受抽象预警，而是知道当某类环境信号出现时，现场应采取什么动作、由谁执行、多久见效。环境感知只有进入这种明确的响应链条，才会从监管工具转化为现场管理工具。</w:t>
      </w:r>
    </w:p>
    <w:p w14:paraId="006807D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（四）</w:t>
      </w:r>
      <w:r>
        <w:t>定位监测联动记录</w:t>
      </w:r>
    </w:p>
    <w:p w14:paraId="73E134E8">
      <w:pPr>
        <w:pStyle w:val="11"/>
        <w:rPr>
          <w:rFonts w:ascii="Times New Roman" w:hAnsi="Calibri" w:eastAsia="宋体" w:cs="Times New Roman"/>
          <w:sz w:val="21"/>
        </w:rPr>
      </w:pPr>
      <w:r>
        <w:rPr>
          <w:rFonts w:ascii="Times New Roman" w:hAnsi="Calibri" w:eastAsia="宋体" w:cs="Times New Roman"/>
          <w:sz w:val="21"/>
        </w:rPr>
        <w:t>徐大堡核电项目——智能手环定位与环境监测联动，以及重庆某建筑工地——</w:t>
      </w:r>
      <w:r>
        <w:rPr>
          <w:rFonts w:ascii="Times New Roman" w:hAnsi="Times New Roman" w:eastAsia="宋体" w:cs="Times New Roman"/>
          <w:sz w:val="21"/>
        </w:rPr>
        <w:t>UWB</w:t>
      </w:r>
      <w:r>
        <w:rPr>
          <w:rFonts w:ascii="Times New Roman" w:hAnsi="Calibri" w:eastAsia="宋体" w:cs="Times New Roman"/>
          <w:sz w:val="21"/>
        </w:rPr>
        <w:t>定位与扬尘监测联动喷雾降尘，较为典型地展示了定位数据与环境监测从并列采集走向联动治理的两种路径。前者为特殊工种人员配备智能手环，实时掌握施工人员分布，并同步采集温湿度、扬尘和噪声等环境数据；当扬尘等指标出现异常时，管理人员可以迅速锁定受影响区域人员分布，启动人工洒水降尘，并联动安防监控加强预警。后者则采用</w:t>
      </w:r>
      <w:r>
        <w:rPr>
          <w:rFonts w:ascii="Times New Roman" w:hAnsi="Times New Roman" w:eastAsia="宋体" w:cs="Times New Roman"/>
          <w:sz w:val="21"/>
        </w:rPr>
        <w:t>UWB</w:t>
      </w:r>
      <w:r>
        <w:rPr>
          <w:rFonts w:ascii="Times New Roman" w:hAnsi="Calibri" w:eastAsia="宋体" w:cs="Times New Roman"/>
          <w:sz w:val="21"/>
        </w:rPr>
        <w:t>厘米级定位技术，定位精度达到±</w:t>
      </w:r>
      <w:r>
        <w:rPr>
          <w:rFonts w:ascii="Times New Roman" w:hAnsi="Times New Roman" w:eastAsia="宋体" w:cs="Times New Roman"/>
          <w:sz w:val="21"/>
        </w:rPr>
        <w:t>15</w:t>
      </w:r>
      <w:r>
        <w:rPr>
          <w:rFonts w:ascii="Times New Roman" w:hAnsi="Calibri" w:eastAsia="宋体" w:cs="Times New Roman"/>
          <w:sz w:val="21"/>
        </w:rPr>
        <w:t>厘米，在电子围栏基础上叠加温湿度、噪声、</w:t>
      </w:r>
      <w:r>
        <w:rPr>
          <w:rFonts w:ascii="Times New Roman" w:hAnsi="Times New Roman" w:eastAsia="宋体" w:cs="Times New Roman"/>
          <w:sz w:val="21"/>
        </w:rPr>
        <w:t>PM2</w:t>
      </w:r>
      <w:r>
        <w:rPr>
          <w:rFonts w:ascii="Times New Roman" w:hAnsi="Calibri" w:eastAsia="宋体" w:cs="Times New Roman"/>
          <w:sz w:val="21"/>
        </w:rPr>
        <w:t>.</w:t>
      </w:r>
      <w:r>
        <w:rPr>
          <w:rFonts w:ascii="Times New Roman" w:hAnsi="Times New Roman" w:eastAsia="宋体" w:cs="Times New Roman"/>
          <w:sz w:val="21"/>
        </w:rPr>
        <w:t>5</w:t>
      </w:r>
      <w:r>
        <w:rPr>
          <w:rFonts w:ascii="Times New Roman" w:hAnsi="Calibri" w:eastAsia="宋体" w:cs="Times New Roman"/>
          <w:sz w:val="21"/>
        </w:rPr>
        <w:t>、</w:t>
      </w:r>
      <w:r>
        <w:rPr>
          <w:rFonts w:ascii="Times New Roman" w:hAnsi="Times New Roman" w:eastAsia="宋体" w:cs="Times New Roman"/>
          <w:sz w:val="21"/>
        </w:rPr>
        <w:t>PM10</w:t>
      </w:r>
      <w:r>
        <w:rPr>
          <w:rFonts w:ascii="Times New Roman" w:hAnsi="Calibri" w:eastAsia="宋体" w:cs="Times New Roman"/>
          <w:sz w:val="21"/>
        </w:rPr>
        <w:t>和有害气体监测，当扬尘超过阈值后，系统可自动联动喷雾降尘设备，并向相关作业人员发送撤离或防护提醒，项目</w:t>
      </w:r>
      <w:r>
        <w:rPr>
          <w:rFonts w:ascii="Times New Roman" w:hAnsi="Times New Roman" w:eastAsia="宋体" w:cs="Times New Roman"/>
          <w:sz w:val="21"/>
        </w:rPr>
        <w:t>PM2</w:t>
      </w:r>
      <w:r>
        <w:rPr>
          <w:rFonts w:ascii="Times New Roman" w:hAnsi="Calibri" w:eastAsia="宋体" w:cs="Times New Roman"/>
          <w:sz w:val="21"/>
        </w:rPr>
        <w:t>.</w:t>
      </w:r>
      <w:r>
        <w:rPr>
          <w:rFonts w:ascii="Times New Roman" w:hAnsi="Times New Roman" w:eastAsia="宋体" w:cs="Times New Roman"/>
          <w:sz w:val="21"/>
        </w:rPr>
        <w:t>5</w:t>
      </w:r>
      <w:r>
        <w:rPr>
          <w:rFonts w:ascii="Times New Roman" w:hAnsi="Calibri" w:eastAsia="宋体" w:cs="Times New Roman"/>
          <w:sz w:val="21"/>
        </w:rPr>
        <w:t>浓度下降了</w:t>
      </w:r>
      <w:r>
        <w:rPr>
          <w:rFonts w:ascii="Times New Roman" w:hAnsi="Times New Roman" w:eastAsia="宋体" w:cs="Times New Roman"/>
          <w:sz w:val="21"/>
        </w:rPr>
        <w:t>42</w:t>
      </w:r>
      <w:r>
        <w:rPr>
          <w:rFonts w:ascii="Times New Roman" w:hAnsi="Calibri" w:eastAsia="宋体" w:cs="Times New Roman"/>
          <w:sz w:val="21"/>
        </w:rPr>
        <w:t>%。</w:t>
      </w:r>
    </w:p>
    <w:p w14:paraId="71F5E9BB">
      <w:pPr>
        <w:pStyle w:val="11"/>
        <w:rPr>
          <w:rFonts w:ascii="Times New Roman" w:hAnsi="Calibri" w:eastAsia="宋体" w:cs="Times New Roman"/>
          <w:sz w:val="21"/>
        </w:rPr>
      </w:pPr>
      <w:r>
        <w:rPr>
          <w:rFonts w:ascii="Times New Roman" w:hAnsi="Calibri" w:eastAsia="宋体" w:cs="Times New Roman"/>
          <w:sz w:val="21"/>
        </w:rPr>
        <w:t>这两组案例的共同价值，并不只是证明技术可以联动，而是说明联动的真正对象不是设备，而是现场响应能力。单独的环境监测只能告诉项目部哪里数值异常，单独的定位系统只能告诉项目部谁在什么位置；二者一旦结合，管理者看到的就不再是分散信号，而是环境异常发生在哪一片区域、影响到哪些人、应当由什么控制动作介入。徐大堡核电项目体现的是面向重点人员和高要求作业环境的精准响应逻辑，重庆案例则更强调定位、预警和自动喷雾之间的即时耦合。两者虽然技术路径不同，却都把环境治理从事后处置推进到了过程控制。</w:t>
      </w:r>
    </w:p>
    <w:p w14:paraId="4C8B1023">
      <w:pPr>
        <w:pStyle w:val="11"/>
        <w:rPr>
          <w:rFonts w:ascii="Times New Roman" w:hAnsi="Calibri" w:eastAsia="宋体" w:cs="Times New Roman"/>
          <w:sz w:val="21"/>
        </w:rPr>
      </w:pPr>
      <w:r>
        <w:rPr>
          <w:rFonts w:ascii="Times New Roman" w:hAnsi="Calibri" w:eastAsia="宋体" w:cs="Times New Roman"/>
          <w:sz w:val="21"/>
        </w:rPr>
        <w:t>由此可见，扬尘、噪声与气象参数采集若要真正进入智慧工地的治理链条，关键并不在监测项目越多越好，而在于能否与空间位置、人员分布和设备控制建立明确关系。只有当环境数据能够找到受影响对象、找到责任区域、找到联动动作，监测系统才不会停留在被动告警层，而会成为现场风险防控和组织优化的直接支撑。</w:t>
      </w:r>
    </w:p>
    <w:p w14:paraId="55978277">
      <w:pPr>
        <w:pStyle w:val="3"/>
        <w:numPr>
          <w:ilvl w:val="0"/>
          <w:numId w:val="0"/>
        </w:numPr>
        <w:ind w:left="0" w:leftChars="0" w:firstLine="0" w:firstLineChars="0"/>
        <w:rPr>
          <w:b/>
        </w:rPr>
      </w:pPr>
      <w:bookmarkStart w:id="41" w:name="_Toc28104"/>
      <w:r>
        <w:rPr>
          <w:rFonts w:hint="eastAsia" w:ascii="宋体" w:hAnsi="宋体" w:eastAsia="黑体" w:cs="宋体"/>
          <w:b/>
          <w:bCs/>
          <w:kern w:val="44"/>
          <w:sz w:val="30"/>
          <w:szCs w:val="30"/>
        </w:rPr>
        <w:t>第四节</w:t>
      </w:r>
      <w:r>
        <w:rPr>
          <w:rFonts w:hint="eastAsia" w:cs="宋体"/>
          <w:b/>
          <w:bCs/>
          <w:kern w:val="44"/>
          <w:sz w:val="30"/>
          <w:szCs w:val="30"/>
          <w:lang w:val="en-US" w:eastAsia="zh-CN"/>
        </w:rPr>
        <w:t xml:space="preserve"> </w:t>
      </w:r>
      <w:r>
        <w:t>空间信息支持下的现场优化</w:t>
      </w:r>
      <w:bookmarkEnd w:id="41"/>
      <w:r>
        <w:t xml:space="preserve">  </w:t>
      </w:r>
    </w:p>
    <w:p w14:paraId="0F918346">
      <w:pPr>
        <w:pStyle w:val="4"/>
        <w:bidi w:val="0"/>
        <w:rPr>
          <w:rFonts w:hint="eastAsia"/>
        </w:rPr>
      </w:pPr>
      <w:r>
        <w:rPr>
          <w:rFonts w:hint="eastAsia"/>
        </w:rPr>
        <w:t>一、深基坑与高支模的形变监测</w:t>
      </w:r>
    </w:p>
    <w:p w14:paraId="3DD831A7">
      <w:pPr>
        <w:pStyle w:val="11"/>
        <w:rPr>
          <w:rFonts w:hint="eastAsia" w:ascii="Times New Roman" w:hAnsi="Calibri" w:eastAsia="宋体" w:cs="Times New Roman"/>
          <w:sz w:val="21"/>
        </w:rPr>
      </w:pPr>
      <w:r>
        <w:rPr>
          <w:rFonts w:hint="eastAsia" w:ascii="Times New Roman" w:hAnsi="Calibri" w:eastAsia="宋体" w:cs="Times New Roman"/>
          <w:sz w:val="21"/>
        </w:rPr>
        <w:t>（一）监测对象与控制边界</w:t>
      </w:r>
    </w:p>
    <w:p w14:paraId="4BE062FE">
      <w:pPr>
        <w:pStyle w:val="11"/>
        <w:rPr>
          <w:rFonts w:hint="eastAsia" w:ascii="Times New Roman" w:hAnsi="Calibri" w:eastAsia="宋体" w:cs="Times New Roman"/>
          <w:sz w:val="21"/>
        </w:rPr>
      </w:pPr>
      <w:r>
        <w:rPr>
          <w:rFonts w:hint="eastAsia" w:ascii="Times New Roman" w:hAnsi="Calibri" w:eastAsia="宋体" w:cs="Times New Roman"/>
          <w:sz w:val="21"/>
        </w:rPr>
        <w:t>深基坑与高支模之所以需要放到空间信息支持下讨论，不只是因为它们风险高，更因为这两类对象对空间变化极为敏感，且风险往往不是在某个瞬间突然形成，而是在位移、沉降、挠度、倾斜和支撑受力变化持续累积之后逐步显现。传统现场也做监测，但不少项目仍把监测理解为技术人员定期取数、形成报表、上报存档，监测结果与现场组织之间始终隔着一层。真正有效的做法，是先把监测对象的空间边界划清。深基坑要明确围护结构、支撑体系、坑边堆载区、周边道路、既有建筑和地下管线之间的影响关系；高支模则要把立杆体系、梁板集中荷载区、混凝土浇筑带、材料集中堆放区和人员高频活动区纳入同一空间框架。边界一旦明确，监测就不再是泛泛地看数值，而是看哪一处变化发生在什么位置、会沿着什么路径影响结构与作业安全。</w:t>
      </w:r>
    </w:p>
    <w:p w14:paraId="5101C1AD">
      <w:pPr>
        <w:pStyle w:val="11"/>
        <w:rPr>
          <w:rFonts w:hint="eastAsia" w:ascii="Times New Roman" w:hAnsi="Calibri" w:eastAsia="宋体" w:cs="Times New Roman"/>
          <w:sz w:val="21"/>
        </w:rPr>
      </w:pPr>
      <w:r>
        <w:rPr>
          <w:rFonts w:hint="eastAsia" w:ascii="Times New Roman" w:hAnsi="Calibri" w:eastAsia="宋体" w:cs="Times New Roman"/>
          <w:sz w:val="21"/>
        </w:rPr>
        <w:t>这类工程最忌讳平均用力。并不是所有点位都应采用同样的监测密度，也不是所有部位都需要同样频率的判断。更合理的方式，是围绕风险传导链设置层次化监测对象。深基坑外圈的沉降与水平位移决定外围安全边界，支撑轴力和立柱变形反映内部受力状态，坑边荷载变化又会放大局部风险；高支模体系中，支撑底部沉降、立杆偏移、模板挠度和浇筑期间荷载变化，往往比单纯静态检查更有解释力。监测对象一旦与施工活动的空间分布对应起来，项目部才能把监测真正纳入现场控制，而不是把它长期留在专项方案附件里。</w:t>
      </w:r>
    </w:p>
    <w:p w14:paraId="2998313F">
      <w:pPr>
        <w:pStyle w:val="11"/>
        <w:rPr>
          <w:rFonts w:hint="eastAsia" w:ascii="Times New Roman" w:hAnsi="Calibri" w:eastAsia="宋体" w:cs="Times New Roman"/>
          <w:sz w:val="21"/>
        </w:rPr>
      </w:pPr>
      <w:r>
        <w:rPr>
          <w:rFonts w:hint="eastAsia" w:ascii="Times New Roman" w:hAnsi="Calibri" w:eastAsia="宋体" w:cs="Times New Roman"/>
          <w:sz w:val="21"/>
        </w:rPr>
        <w:t>（二）时序数据与风险识别</w:t>
      </w:r>
    </w:p>
    <w:p w14:paraId="00DE69B2">
      <w:pPr>
        <w:pStyle w:val="11"/>
        <w:rPr>
          <w:rFonts w:hint="eastAsia" w:ascii="Times New Roman" w:hAnsi="Calibri" w:eastAsia="宋体" w:cs="Times New Roman"/>
          <w:sz w:val="21"/>
        </w:rPr>
      </w:pPr>
      <w:r>
        <w:rPr>
          <w:rFonts w:hint="eastAsia" w:ascii="Times New Roman" w:hAnsi="Calibri" w:eastAsia="宋体" w:cs="Times New Roman"/>
          <w:sz w:val="21"/>
        </w:rPr>
        <w:t>形变监测最有价值的部分，不是某一次测到了多少，而是连续数据所揭示的变化趋势。深基坑与高支模的危险性，常常就隐藏在这种趋势里。一个点位今天变化不大，并不意味着安全；若连续数日缓慢增长，且增长时段恰好与降雨、开挖转换、支撑拆换或混凝土集中浇筑重合，就应引起足够重视。空间信息的意义正在于，它能把时间变化重新放回现场位置中观察，使项目团队看到的不是几组孤立数字，而是一条带有空间含义的风险轨迹。某一侧围护结构位移持续增加，往往对应该侧堆载、车辆行走或降排水条件发生了变化；某片高支模区域挠度在浇筑后恢复较慢，则可能意味着支撑刚度不足、立杆基础不稳或荷载分布不均。</w:t>
      </w:r>
    </w:p>
    <w:p w14:paraId="53336318">
      <w:pPr>
        <w:pStyle w:val="11"/>
        <w:rPr>
          <w:rFonts w:hint="eastAsia" w:ascii="Times New Roman" w:hAnsi="Calibri" w:eastAsia="宋体" w:cs="Times New Roman"/>
          <w:sz w:val="21"/>
        </w:rPr>
      </w:pPr>
      <w:r>
        <w:rPr>
          <w:rFonts w:hint="eastAsia" w:ascii="Times New Roman" w:hAnsi="Calibri" w:eastAsia="宋体" w:cs="Times New Roman"/>
          <w:sz w:val="21"/>
        </w:rPr>
        <w:t>从工程现场经验看，风险识别最怕两种偏差。一种是过分依赖报警阈值，未到红线便误以为没有问题；另一种则是看到局部异常便立即作最坏判断，导致施工组织频繁失稳。更稳妥的做法，是把时序变化、空间位置和现场工况三者联动起来分析。数值是否连续上升，异常是否集中在同一条边、同一片支撑带或同一浇筑区，现场是否同步发生了堆载转移、支撑调整、作业集中和天气突变，这些信息结合起来，识别才更准确。也正因为如此，形变监测不应只是监测专业单线运行的工作，而应当与现场生产、安全和技术管理形成稳定接口。</w:t>
      </w:r>
    </w:p>
    <w:p w14:paraId="5A6D6A18">
      <w:pPr>
        <w:pStyle w:val="11"/>
        <w:rPr>
          <w:rFonts w:hint="eastAsia" w:ascii="Times New Roman" w:hAnsi="Calibri" w:eastAsia="宋体" w:cs="Times New Roman"/>
          <w:sz w:val="21"/>
        </w:rPr>
      </w:pPr>
      <w:r>
        <w:rPr>
          <w:rFonts w:hint="eastAsia" w:ascii="Times New Roman" w:hAnsi="Calibri" w:eastAsia="宋体" w:cs="Times New Roman"/>
          <w:sz w:val="21"/>
        </w:rPr>
        <w:t>（三）监测结果进入施工调整</w:t>
      </w:r>
    </w:p>
    <w:p w14:paraId="5F1518CE">
      <w:pPr>
        <w:pStyle w:val="11"/>
        <w:rPr>
          <w:rFonts w:hint="eastAsia" w:ascii="Times New Roman" w:hAnsi="Calibri" w:eastAsia="宋体" w:cs="Times New Roman"/>
          <w:sz w:val="21"/>
        </w:rPr>
      </w:pPr>
      <w:r>
        <w:rPr>
          <w:rFonts w:hint="eastAsia" w:ascii="Times New Roman" w:hAnsi="Calibri" w:eastAsia="宋体" w:cs="Times New Roman"/>
          <w:sz w:val="21"/>
        </w:rPr>
        <w:t>监测只有进入施工调整，才真正完成了由技术数据到管理工具的转化。深基坑监测发现异常后，项目部需要决定的是降低坑边荷载、调整开挖顺序、增加支撑复核、强化降排水，还是扩大周边警戒；高支模监测出现不利变化后，则需要判断是暂停局部浇筑、优化浇筑路线、调整泵送节奏、补强支撑节点，还是临时封控下方作业区域。若监测结果只停留在日报和周报中，现场反应往往偏慢，真正重要的处置窗口容易被错过。空间信息支持的优势，在于它能把监测结果直接挂接到受影响区域和施工活动上，使调整动作更有针对性。</w:t>
      </w:r>
    </w:p>
    <w:p w14:paraId="7F750F06">
      <w:pPr>
        <w:pStyle w:val="11"/>
        <w:rPr>
          <w:rFonts w:hint="eastAsia" w:ascii="Times New Roman" w:hAnsi="Calibri" w:eastAsia="宋体" w:cs="Times New Roman"/>
          <w:sz w:val="21"/>
        </w:rPr>
      </w:pPr>
      <w:r>
        <w:rPr>
          <w:rFonts w:hint="eastAsia" w:ascii="Times New Roman" w:hAnsi="Calibri" w:eastAsia="宋体" w:cs="Times New Roman"/>
          <w:sz w:val="21"/>
        </w:rPr>
        <w:t>这类调整还应强调分级响应。轻微变化更适合采取现场复核和局部减载，中度异常应触发专项检查与工序调整，持续恶化则必须进入更严格的停工、加固和风险隔离机制。分级并不是为了把程序做复杂，而是为了避免两种极端：一遇波动就全线停摆，或者已经明显异常仍然按原节奏推进。对项目管理而言，更理想的状态不是监测系统不断发出惊险警报，而是它能够让现场提前半步识别问题、提前半步收缩风险边界。深基坑与高支模的监测价值，也恰恰体现在这种提前量上。</w:t>
      </w:r>
    </w:p>
    <w:p w14:paraId="1BC0582F">
      <w:pPr>
        <w:pStyle w:val="4"/>
        <w:bidi w:val="0"/>
        <w:rPr>
          <w:rFonts w:hint="eastAsia"/>
        </w:rPr>
      </w:pPr>
      <w:r>
        <w:rPr>
          <w:rFonts w:hint="eastAsia"/>
        </w:rPr>
        <w:t>二、场地布置的动态校核方法</w:t>
      </w:r>
    </w:p>
    <w:p w14:paraId="034FECC0">
      <w:pPr>
        <w:pStyle w:val="11"/>
        <w:rPr>
          <w:rFonts w:hint="eastAsia" w:ascii="Times New Roman" w:hAnsi="Calibri" w:eastAsia="宋体" w:cs="Times New Roman"/>
          <w:sz w:val="21"/>
        </w:rPr>
      </w:pPr>
      <w:r>
        <w:rPr>
          <w:rFonts w:hint="eastAsia" w:ascii="Times New Roman" w:hAnsi="Calibri" w:eastAsia="宋体" w:cs="Times New Roman"/>
          <w:sz w:val="21"/>
        </w:rPr>
        <w:t>（一）总平面与实际占用的偏差识别</w:t>
      </w:r>
    </w:p>
    <w:p w14:paraId="17CC5B63">
      <w:pPr>
        <w:pStyle w:val="11"/>
        <w:rPr>
          <w:rFonts w:hint="eastAsia" w:ascii="Times New Roman" w:hAnsi="Calibri" w:eastAsia="宋体" w:cs="Times New Roman"/>
          <w:sz w:val="21"/>
        </w:rPr>
      </w:pPr>
      <w:r>
        <w:rPr>
          <w:rFonts w:hint="eastAsia" w:ascii="Times New Roman" w:hAnsi="Calibri" w:eastAsia="宋体" w:cs="Times New Roman"/>
          <w:sz w:val="21"/>
        </w:rPr>
        <w:t>施工总平面从来不是开工时画完就长期有效的静态图纸。工地一旦进入主体施工、安装穿插和装饰收尾阶段，堆场位置、道路宽度、机械停放、临电设施、加工区和垃圾清运点都会不断变化。很多现场管理问题，表面上看是道路拥堵、材料乱堆、临设侵占作业面，实质上是总平面与实际占用之间的偏差长期没有被及时识别。空间信息支持下的动态校核，首先要解决的就是这一问题。通过测量成果、无人机影像、现场定位和视频画面，项目部可以持续比对设计布置与现场现实，判断哪些区域已经偏离原有布置逻辑，哪些临时安排正在挤压后续施工空间。</w:t>
      </w:r>
    </w:p>
    <w:p w14:paraId="548B1264">
      <w:pPr>
        <w:pStyle w:val="11"/>
        <w:rPr>
          <w:rFonts w:hint="eastAsia" w:ascii="Times New Roman" w:hAnsi="Calibri" w:eastAsia="宋体" w:cs="Times New Roman"/>
          <w:sz w:val="21"/>
        </w:rPr>
      </w:pPr>
      <w:r>
        <w:rPr>
          <w:rFonts w:hint="eastAsia" w:ascii="Times New Roman" w:hAnsi="Calibri" w:eastAsia="宋体" w:cs="Times New Roman"/>
          <w:sz w:val="21"/>
        </w:rPr>
        <w:t>偏差识别的重点，不应只盯着大范围变化。很多现场失序恰恰来自看似局部的小偏差不断累积。材料码放向道路外扩半米，机械停放临时占用转弯区，二次搬运点逐步侵入消防通道，加工棚边缘不断向作业面延伸，这些变化单独看不一定严重，叠加起来却会迅速压缩场地弹性。动态校核的价值，正在于把这种慢性挤占提前看见。项目部一旦能够连续识别空间占用偏差，就不必等到运输受阻、作业冲突或文明施工检查时再被动整改，场地管理也由静态布置转向滚动修正。</w:t>
      </w:r>
    </w:p>
    <w:p w14:paraId="0C0D6960">
      <w:pPr>
        <w:pStyle w:val="11"/>
        <w:rPr>
          <w:rFonts w:hint="eastAsia" w:ascii="Times New Roman" w:hAnsi="Calibri" w:eastAsia="宋体" w:cs="Times New Roman"/>
          <w:sz w:val="21"/>
        </w:rPr>
      </w:pPr>
      <w:r>
        <w:rPr>
          <w:rFonts w:hint="eastAsia" w:ascii="Times New Roman" w:hAnsi="Calibri" w:eastAsia="宋体" w:cs="Times New Roman"/>
          <w:sz w:val="21"/>
        </w:rPr>
        <w:t>（二）临设堆场与机械布置的滚动校核</w:t>
      </w:r>
    </w:p>
    <w:p w14:paraId="6413BC93">
      <w:pPr>
        <w:pStyle w:val="11"/>
        <w:rPr>
          <w:rFonts w:hint="eastAsia" w:ascii="Times New Roman" w:hAnsi="Calibri" w:eastAsia="宋体" w:cs="Times New Roman"/>
          <w:sz w:val="21"/>
        </w:rPr>
      </w:pPr>
      <w:r>
        <w:rPr>
          <w:rFonts w:hint="eastAsia" w:ascii="Times New Roman" w:hAnsi="Calibri" w:eastAsia="宋体" w:cs="Times New Roman"/>
          <w:sz w:val="21"/>
        </w:rPr>
        <w:t>场地布置最难的部分，不在于画出一张看起来合理的总平面，而在于临设、堆场和机械布置能否跟着施工阶段一起变化。基础阶段强调土方、支护和材料集中进出，主体阶段强调模板、钢筋和垂直运输组织，安装与装饰阶段则更重视机电加工、成品保护和多专业同步穿插。若临设和堆场一直按开工初期逻辑布置，到了中后期几乎必然失效。滚动校核的意义，就在于根据空间使用强度和施工任务重心的转移，持续判断哪些设施应保留，哪些区域应压缩，哪些布置必须迁移。这样一来，场地不是一次性安排，而成为随工序推进不断调整的生产界面。</w:t>
      </w:r>
    </w:p>
    <w:p w14:paraId="4533A6DE">
      <w:pPr>
        <w:pStyle w:val="11"/>
        <w:rPr>
          <w:rFonts w:hint="eastAsia" w:ascii="Times New Roman" w:hAnsi="Calibri" w:eastAsia="宋体" w:cs="Times New Roman"/>
          <w:sz w:val="21"/>
        </w:rPr>
      </w:pPr>
      <w:r>
        <w:rPr>
          <w:rFonts w:hint="eastAsia" w:ascii="Times New Roman" w:hAnsi="Calibri" w:eastAsia="宋体" w:cs="Times New Roman"/>
          <w:sz w:val="21"/>
        </w:rPr>
        <w:t>从实践来看，滚动校核不能只靠现场感觉。更稳妥的方法，是把临设、堆场、机械回转半径、运输通道和重点作业面放进同一空间底图中，看它们之间是否仍然保持基本匹配。塔吊覆盖区是否还能有效服务当前主要作业面，钢筋加工区与吊运路径是否形成顺向关系，装饰材料临存区是否已经压迫电梯和消防通道，临时办公或生活设施是否影响后续总平面收口，这些都需要被持续核对。很多项目到了后期场地越来越乱，不是因为管理人员不知道应当整治，而是缺少一套能说明为什么要调整、调整后会改善什么的空间依据。滚动校核补上的，正是这一层判断基础。</w:t>
      </w:r>
    </w:p>
    <w:p w14:paraId="5E68093D">
      <w:pPr>
        <w:pStyle w:val="11"/>
        <w:rPr>
          <w:rFonts w:hint="eastAsia" w:ascii="Times New Roman" w:hAnsi="Calibri" w:eastAsia="宋体" w:cs="Times New Roman"/>
          <w:sz w:val="21"/>
        </w:rPr>
      </w:pPr>
      <w:r>
        <w:rPr>
          <w:rFonts w:hint="eastAsia" w:ascii="Times New Roman" w:hAnsi="Calibri" w:eastAsia="宋体" w:cs="Times New Roman"/>
          <w:sz w:val="21"/>
        </w:rPr>
        <w:t>（三）校核结果驱动空间再组织</w:t>
      </w:r>
    </w:p>
    <w:p w14:paraId="142EDCFB">
      <w:pPr>
        <w:pStyle w:val="11"/>
        <w:rPr>
          <w:rFonts w:hint="eastAsia" w:ascii="Times New Roman" w:hAnsi="Calibri" w:eastAsia="宋体" w:cs="Times New Roman"/>
          <w:sz w:val="21"/>
        </w:rPr>
      </w:pPr>
      <w:r>
        <w:rPr>
          <w:rFonts w:hint="eastAsia" w:ascii="Times New Roman" w:hAnsi="Calibri" w:eastAsia="宋体" w:cs="Times New Roman"/>
          <w:sz w:val="21"/>
        </w:rPr>
        <w:t>动态校核若只形成问题清单，其管理价值仍然有限，关键还在于校核结果能否推动空间再组织。所谓再组织，不是简单地把现场重新挪一遍，而是围绕当前施工重点重新分配场地资源。某一阶段主作业面已经上移，原材料堆场就应靠近新的垂直运输节点；机电安装进入高峰后，原本适合土建周转的通道就可能需要改造为设备进场和成品保护优先通道；装饰收尾阶段若仍保留过大的钢筋模板堆场，现场就会出现空间供给与作业需求完全错位的局面。空间再组织的本质，是让有限场地持续匹配变化中的施工任务。</w:t>
      </w:r>
    </w:p>
    <w:p w14:paraId="27ED1CC0">
      <w:pPr>
        <w:pStyle w:val="11"/>
        <w:rPr>
          <w:rFonts w:hint="eastAsia" w:ascii="Times New Roman" w:hAnsi="Calibri" w:eastAsia="宋体" w:cs="Times New Roman"/>
          <w:sz w:val="21"/>
        </w:rPr>
      </w:pPr>
      <w:r>
        <w:rPr>
          <w:rFonts w:hint="eastAsia" w:ascii="Times New Roman" w:hAnsi="Calibri" w:eastAsia="宋体" w:cs="Times New Roman"/>
          <w:sz w:val="21"/>
        </w:rPr>
        <w:t>这种再组织还需要兼顾秩序和成本。现场任何调整都不是零代价的，迁移堆场、拆改临设、重新组织通道都会带来短期扰动，因此更需要以空间校核结果为依据，避免频繁、随意和互相冲突的调整。比较成熟的项目往往不是完全没有临时变化，而是能够把变化控制在可解释、可预判的范围内。也就是说，场地布置优化不是追求表面整齐，而是让每一次调整都能对应明确的施工目标与空间逻辑。当空间信息真正进入这一步，场地管理就不再是经验性腾挪，而成为施工组织的一部分。</w:t>
      </w:r>
    </w:p>
    <w:p w14:paraId="30139A96">
      <w:pPr>
        <w:pStyle w:val="4"/>
        <w:bidi w:val="0"/>
        <w:rPr>
          <w:rFonts w:hint="eastAsia"/>
        </w:rPr>
      </w:pPr>
      <w:r>
        <w:rPr>
          <w:rFonts w:hint="eastAsia"/>
        </w:rPr>
        <w:t>三、运输路线与作业分区优化</w:t>
      </w:r>
    </w:p>
    <w:p w14:paraId="44F938F1">
      <w:pPr>
        <w:pStyle w:val="11"/>
        <w:rPr>
          <w:rFonts w:hint="eastAsia" w:ascii="Times New Roman" w:hAnsi="Calibri" w:eastAsia="宋体" w:cs="Times New Roman"/>
          <w:sz w:val="21"/>
        </w:rPr>
      </w:pPr>
      <w:r>
        <w:rPr>
          <w:rFonts w:hint="eastAsia" w:ascii="Times New Roman" w:hAnsi="Calibri" w:eastAsia="宋体" w:cs="Times New Roman"/>
          <w:sz w:val="21"/>
        </w:rPr>
        <w:t>（一）运输路线组织与瓶颈识别</w:t>
      </w:r>
    </w:p>
    <w:p w14:paraId="2E784976">
      <w:pPr>
        <w:pStyle w:val="11"/>
        <w:rPr>
          <w:rFonts w:hint="eastAsia" w:ascii="Times New Roman" w:hAnsi="Calibri" w:eastAsia="宋体" w:cs="Times New Roman"/>
          <w:sz w:val="21"/>
        </w:rPr>
      </w:pPr>
      <w:r>
        <w:rPr>
          <w:rFonts w:hint="eastAsia" w:ascii="Times New Roman" w:hAnsi="Calibri" w:eastAsia="宋体" w:cs="Times New Roman"/>
          <w:sz w:val="21"/>
        </w:rPr>
        <w:t>施工现场的运输问题，往往不是车不够或路太少，而是路线组织缺少与作业节奏相匹配的空间判断。材料车、土方车、泵车、吊装车辆和场内转运车在同一时段集中进入时，哪怕道路宽度勉强满足，也可能因转弯半径不足、装卸点重叠、等待区缺失和人车混行而迅速失去效率。运输路线优化首先要做的，并不是重新画线路，而是识别真正的瓶颈在哪里。空间信息在这里发挥的作用很直接，它能够把车辆轨迹、道路宽度、节点停留和作业面需求叠合起来，识别堵点究竟出在入口转换、垂直运输衔接，还是局部通道反复被临时占用。</w:t>
      </w:r>
    </w:p>
    <w:p w14:paraId="025E9BC0">
      <w:pPr>
        <w:pStyle w:val="11"/>
        <w:rPr>
          <w:rFonts w:hint="eastAsia" w:ascii="Times New Roman" w:hAnsi="Calibri" w:eastAsia="宋体" w:cs="Times New Roman"/>
          <w:sz w:val="21"/>
        </w:rPr>
      </w:pPr>
      <w:r>
        <w:rPr>
          <w:rFonts w:hint="eastAsia" w:ascii="Times New Roman" w:hAnsi="Calibri" w:eastAsia="宋体" w:cs="Times New Roman"/>
          <w:sz w:val="21"/>
        </w:rPr>
        <w:t>瓶颈识别必须带着时间维度去看。同一条路线在早晨材料集中进场时可能拥堵，在下午垂直运输转换时又可能变成装卸等待区。若只做静态判断，很容易得出并不准确的优化结论。更合理的做法，是把路线使用与工序时段、运输类型和空间边界一并分析。哪一段在高峰期承压最大，哪一个转角最容易形成停滞，哪一片作业面同时消耗两类以上运输资源，这些问题一旦看清，路线优化才不至于停留在纸面。工地运输组织真正需要的，不是理论上的最短路径，而是与现场节奏最匹配、最少冲突、最能保障连续作业的可执行路径。</w:t>
      </w:r>
    </w:p>
    <w:p w14:paraId="195BDCBF">
      <w:pPr>
        <w:pStyle w:val="11"/>
        <w:rPr>
          <w:rFonts w:hint="eastAsia" w:ascii="Times New Roman" w:hAnsi="Calibri" w:eastAsia="宋体" w:cs="Times New Roman"/>
          <w:sz w:val="21"/>
        </w:rPr>
      </w:pPr>
      <w:r>
        <w:rPr>
          <w:rFonts w:hint="eastAsia" w:ascii="Times New Roman" w:hAnsi="Calibri" w:eastAsia="宋体" w:cs="Times New Roman"/>
          <w:sz w:val="21"/>
        </w:rPr>
        <w:t>从优化角度看，路线识别还应重视局部节点而非只关注主干线路。很多现场堵塞并不发生在长距离通道上，而是集中在入口转换区、临时卸料点、电梯前室、坡道连接处和设备交汇口。若这些节点长期处于高负荷状态，即便整体路线看上去畅通，运输效率也难以真正提升。空间信息支持下的瓶颈识别，恰恰能够把这种局部压缩效应提前呈现出来，使项目部在调整通道、分流路线或重新设置等待区时更有依据。</w:t>
      </w:r>
    </w:p>
    <w:p w14:paraId="47E06332">
      <w:pPr>
        <w:pStyle w:val="11"/>
        <w:rPr>
          <w:rFonts w:hint="eastAsia" w:ascii="Times New Roman" w:hAnsi="Calibri" w:eastAsia="宋体" w:cs="Times New Roman"/>
          <w:sz w:val="21"/>
        </w:rPr>
      </w:pPr>
      <w:r>
        <w:rPr>
          <w:rFonts w:hint="eastAsia" w:ascii="Times New Roman" w:hAnsi="Calibri" w:eastAsia="宋体" w:cs="Times New Roman"/>
          <w:sz w:val="21"/>
        </w:rPr>
        <w:t>（二）运输节奏与作业分区耦合</w:t>
      </w:r>
    </w:p>
    <w:p w14:paraId="31BAAD99">
      <w:pPr>
        <w:pStyle w:val="11"/>
        <w:rPr>
          <w:rFonts w:hint="eastAsia" w:ascii="Times New Roman" w:hAnsi="Calibri" w:eastAsia="宋体" w:cs="Times New Roman"/>
          <w:sz w:val="21"/>
        </w:rPr>
      </w:pPr>
      <w:r>
        <w:rPr>
          <w:rFonts w:hint="eastAsia" w:ascii="Times New Roman" w:hAnsi="Calibri" w:eastAsia="宋体" w:cs="Times New Roman"/>
          <w:sz w:val="21"/>
        </w:rPr>
        <w:t>运输路线只有与作业分区相耦合，优化才会真正见效。很多项目的一个突出问题在于，运输组织和作业组织各自运行：运输按车来安排，作业按班组推进，二者在空间上没有真正对接。结果往往是材料到了，但对应作业面还没准备好；作业面急需供料，运输通道却被其他区域占用；同一时间多个分区争抢同一条通道，现场只能靠临时协调维持。把运输节奏与作业分区耦合起来，本质上是在回答材料、设备和人员应当在什么时间进入哪一片区域，才能减少等待与冲突。空间信息支持下，这种耦合不再只靠经验推断，而能依托定位、测绘和现场更新成果进行持续校核。</w:t>
      </w:r>
    </w:p>
    <w:p w14:paraId="17C99F35">
      <w:pPr>
        <w:pStyle w:val="11"/>
        <w:rPr>
          <w:rFonts w:hint="eastAsia" w:ascii="Times New Roman" w:hAnsi="Calibri" w:eastAsia="宋体" w:cs="Times New Roman"/>
          <w:sz w:val="21"/>
        </w:rPr>
      </w:pPr>
      <w:r>
        <w:rPr>
          <w:rFonts w:hint="eastAsia" w:ascii="Times New Roman" w:hAnsi="Calibri" w:eastAsia="宋体" w:cs="Times New Roman"/>
          <w:sz w:val="21"/>
        </w:rPr>
        <w:t>更深一层看，作业分区本身也应服务运输优化。分区不是简单把工地切成几块，而是要兼顾通道组织、资源供给和施工相容性。重型材料集中进入的区域，应尽量靠近主运输干线和吊装节点；精装与成品保护区域则应减少与高频粗放运输交叉；高支模、深基坑边缘和临边敏感区附近的分区，还应对运输荷载和车辆停留时间作额外约束。分区若只按管理方便划定，而不考虑运输承载能力，现场很快就会出现空间结构与物流结构脱节。真正合理的分区，是既便于责任划分，又便于路线组织和作业推进。</w:t>
      </w:r>
    </w:p>
    <w:p w14:paraId="4C29E3D6">
      <w:pPr>
        <w:pStyle w:val="11"/>
        <w:rPr>
          <w:rFonts w:hint="eastAsia" w:ascii="Times New Roman" w:hAnsi="Calibri" w:eastAsia="宋体" w:cs="Times New Roman"/>
          <w:sz w:val="21"/>
        </w:rPr>
      </w:pPr>
      <w:r>
        <w:rPr>
          <w:rFonts w:hint="eastAsia" w:ascii="Times New Roman" w:hAnsi="Calibri" w:eastAsia="宋体" w:cs="Times New Roman"/>
          <w:sz w:val="21"/>
        </w:rPr>
        <w:t>运输节奏与作业分区耦合的意义，还在于把原本容易冲突的需求提前拆开。某一区域正处于混凝土浇筑高峰，就不宜同时安排大量装饰材料转运；某一分区正在进行精细安装和成品保护，也不应再让高频粗放运输持续穿越。耦合关系一旦建立，项目部就能更清楚地判断哪些运输活动必须优先，哪些可后置，哪些应通过时间错峰和路线调整来减少干扰。这样形成的组织，不只是让运输看起来更顺，而是实实在在地提高作业面稳定性。</w:t>
      </w:r>
    </w:p>
    <w:p w14:paraId="51030522">
      <w:pPr>
        <w:pStyle w:val="11"/>
        <w:rPr>
          <w:rFonts w:hint="eastAsia" w:ascii="Times New Roman" w:hAnsi="Calibri" w:eastAsia="宋体" w:cs="Times New Roman"/>
          <w:sz w:val="21"/>
        </w:rPr>
      </w:pPr>
      <w:r>
        <w:rPr>
          <w:rFonts w:hint="eastAsia" w:ascii="Times New Roman" w:hAnsi="Calibri" w:eastAsia="宋体" w:cs="Times New Roman"/>
          <w:sz w:val="21"/>
        </w:rPr>
        <w:t>（三）空间成果支撑施工组织优化</w:t>
      </w:r>
    </w:p>
    <w:p w14:paraId="24BF6C60">
      <w:pPr>
        <w:pStyle w:val="11"/>
        <w:rPr>
          <w:rFonts w:hint="eastAsia" w:ascii="Times New Roman" w:hAnsi="Calibri" w:eastAsia="宋体" w:cs="Times New Roman"/>
          <w:sz w:val="21"/>
        </w:rPr>
      </w:pPr>
      <w:r>
        <w:rPr>
          <w:rFonts w:hint="eastAsia" w:ascii="Times New Roman" w:hAnsi="Calibri" w:eastAsia="宋体" w:cs="Times New Roman"/>
          <w:sz w:val="21"/>
        </w:rPr>
        <w:t>运输路线和作业分区的优化，最终并不只是为了让现场看起来更顺，而是为了反过来改进施工组织。空间成果之所以重要，不在于它把现场画得更精细，而在于它能为组织判断提供更直观的证据。某一分区为什么总是推进偏慢，究竟是劳动力不足、材料供应不及时，还是运输路线过长、转运节点设置不合理；某一处道路为什么频繁拥堵，究竟是临设占道、装卸安排重叠，还是两条工序链同时在争抢同一通道，这些问题一旦回到空间框架中分析，往往会比单纯看进度表更容易找到原因。</w:t>
      </w:r>
    </w:p>
    <w:p w14:paraId="79F06FF4">
      <w:pPr>
        <w:pStyle w:val="11"/>
        <w:rPr>
          <w:rFonts w:hint="eastAsia" w:ascii="Times New Roman" w:hAnsi="Calibri" w:eastAsia="宋体" w:cs="Times New Roman"/>
          <w:sz w:val="21"/>
        </w:rPr>
      </w:pPr>
      <w:r>
        <w:rPr>
          <w:rFonts w:hint="eastAsia" w:ascii="Times New Roman" w:hAnsi="Calibri" w:eastAsia="宋体" w:cs="Times New Roman"/>
          <w:sz w:val="21"/>
        </w:rPr>
        <w:t>也正因为如此，空间成果不应只停留在测量或展示层，而应进入计划会商、总平面调整、资源调度和风险复盘。成熟的现场优化并不是把空间成果看成附属资料，而是把它视为施工组织的基础条件之一。谁掌握了更清楚的空间关系，谁就更容易提前发现冲突、压缩等待、释放场地潜力。对智慧工地而言，空间信息支持下的现场优化真正有价值的地方，正在于它把原本依赖经验的场地判断、路线安排和分区调整，逐步转化为能够被持续验证、持续修正的组织能力。</w:t>
      </w:r>
    </w:p>
    <w:p w14:paraId="006B0D9E">
      <w:pPr>
        <w:pStyle w:val="11"/>
        <w:rPr>
          <w:rFonts w:hint="eastAsia" w:ascii="Times New Roman" w:hAnsi="Calibri" w:eastAsia="宋体" w:cs="Times New Roman"/>
          <w:sz w:val="21"/>
        </w:rPr>
        <w:sectPr>
          <w:headerReference r:id="rId37" w:type="default"/>
          <w:footerReference r:id="rId39" w:type="default"/>
          <w:headerReference r:id="rId38" w:type="even"/>
          <w:footerReference r:id="rId40" w:type="even"/>
          <w:pgSz w:w="10431" w:h="14740"/>
          <w:pgMar w:top="1440" w:right="1800" w:bottom="1440" w:left="1800" w:header="851" w:footer="992" w:gutter="0"/>
          <w:pgNumType w:fmt="decimal"/>
          <w:cols w:space="425" w:num="1"/>
          <w:docGrid w:type="lines" w:linePitch="312" w:charSpace="0"/>
        </w:sectPr>
      </w:pPr>
      <w:r>
        <w:rPr>
          <w:rFonts w:hint="eastAsia" w:ascii="Times New Roman" w:hAnsi="Calibri" w:eastAsia="宋体" w:cs="Times New Roman"/>
          <w:sz w:val="21"/>
        </w:rPr>
        <w:t>进一步说，空间成果进入施工组织之后，优化的重点也会发生变化。项目部不再只关心某次测量是否完成、某张图是否更新，而开始关心这些成果是否真正支撑了施工决策。某次场地再组织是否减少了通道冲突，某次路线优化是否缩短了等待时间，某次分区调整是否提升了作业连续性，这些都应成为判断空间成果价值的重要尺度。只有走到这一步，空间信息才真正由辅助资料转化为现场优化工具，并持续服务于复杂工程条件下的施工组织改进。</w:t>
      </w:r>
    </w:p>
    <w:p w14:paraId="50AE675C">
      <w:pPr>
        <w:pStyle w:val="2"/>
        <w:bidi w:val="0"/>
        <w:rPr>
          <w:rFonts w:hint="eastAsia"/>
        </w:rPr>
      </w:pPr>
      <w:bookmarkStart w:id="42" w:name="_Toc25929"/>
      <w:r>
        <w:rPr>
          <w:rFonts w:hint="eastAsia"/>
        </w:rPr>
        <w:t>第八章 竣工交付监管评价与持续优化</w:t>
      </w:r>
      <w:bookmarkEnd w:id="42"/>
    </w:p>
    <w:p w14:paraId="1A2023BF">
      <w:pPr>
        <w:pStyle w:val="3"/>
        <w:numPr>
          <w:ilvl w:val="0"/>
          <w:numId w:val="0"/>
        </w:numPr>
        <w:ind w:left="0" w:leftChars="0" w:firstLine="0" w:firstLineChars="0"/>
        <w:rPr>
          <w:b/>
        </w:rPr>
      </w:pPr>
      <w:bookmarkStart w:id="43" w:name="_Toc24640"/>
      <w:r>
        <w:rPr>
          <w:rFonts w:hint="eastAsia" w:ascii="宋体" w:hAnsi="宋体" w:eastAsia="黑体" w:cs="宋体"/>
          <w:b/>
          <w:bCs/>
          <w:kern w:val="44"/>
          <w:sz w:val="30"/>
          <w:szCs w:val="30"/>
        </w:rPr>
        <w:t>第一节</w:t>
      </w:r>
      <w:r>
        <w:rPr>
          <w:rFonts w:hint="eastAsia" w:cs="宋体"/>
          <w:b/>
          <w:bCs/>
          <w:kern w:val="44"/>
          <w:sz w:val="30"/>
          <w:szCs w:val="30"/>
          <w:lang w:val="en-US" w:eastAsia="zh-CN"/>
        </w:rPr>
        <w:t xml:space="preserve"> </w:t>
      </w:r>
      <w:r>
        <w:t>竣工档案与交付资料管理</w:t>
      </w:r>
      <w:bookmarkEnd w:id="43"/>
      <w:r>
        <w:t xml:space="preserve">   </w:t>
      </w:r>
    </w:p>
    <w:p w14:paraId="035C2D18">
      <w:pPr>
        <w:pStyle w:val="4"/>
        <w:numPr>
          <w:ilvl w:val="0"/>
          <w:numId w:val="0"/>
        </w:numPr>
        <w:topLinePunct w:val="0"/>
        <w:ind w:left="0" w:leftChars="0" w:firstLine="422" w:firstLineChars="0"/>
        <w:rPr>
          <w:b/>
        </w:rPr>
      </w:pPr>
      <w:r>
        <w:rPr>
          <w:rFonts w:hint="eastAsia" w:ascii="黑体" w:hAnsi="黑体" w:eastAsia="黑体" w:cs="黑体"/>
          <w:b/>
          <w:sz w:val="21"/>
        </w:rPr>
        <w:t>一、</w:t>
      </w:r>
      <w:r>
        <w:t>过程资料的分类整理</w:t>
      </w:r>
    </w:p>
    <w:p w14:paraId="0A2C1BC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资料分类体系建立</w:t>
      </w:r>
    </w:p>
    <w:p w14:paraId="64458E11">
      <w:pPr>
        <w:pStyle w:val="11"/>
        <w:rPr>
          <w:rFonts w:ascii="Times New Roman" w:hAnsi="Calibri" w:eastAsia="宋体" w:cs="Times New Roman"/>
          <w:sz w:val="21"/>
        </w:rPr>
      </w:pPr>
      <w:r>
        <w:rPr>
          <w:rFonts w:ascii="Times New Roman" w:hAnsi="Calibri" w:eastAsia="宋体" w:cs="Times New Roman"/>
          <w:sz w:val="21"/>
        </w:rPr>
        <w:t>工程进入收尾阶段后，最常见的偏差，是把竣工档案理解为施工结束后的集中归置。事实上，档案质量在施工过程中就已被决定。前期资料口径不统一，中期资料断续失真，后期再做补整，往往只能得到数量庞大却难以互证的资料堆。竣工档案之所以要放在智慧工地框架下讨论，关键就在于它不是单纯资料工作，而是全过程信息治理的结果。过程资料若没有形成稳定的分类体系，后续的竣工图编制、验收联审、责任追溯和运维移交都会受到影响。</w:t>
      </w:r>
    </w:p>
    <w:p w14:paraId="3A4088D2">
      <w:pPr>
        <w:pStyle w:val="11"/>
        <w:rPr>
          <w:rFonts w:ascii="Times New Roman" w:hAnsi="Calibri" w:eastAsia="宋体" w:cs="Times New Roman"/>
          <w:sz w:val="21"/>
        </w:rPr>
      </w:pPr>
      <w:r>
        <w:rPr>
          <w:rFonts w:ascii="Times New Roman" w:hAnsi="Calibri" w:eastAsia="宋体" w:cs="Times New Roman"/>
          <w:sz w:val="21"/>
        </w:rPr>
        <w:t>资料分类应服从工程运行逻辑，而不能只服从传统归档习惯。较稳妥的划分方式，是把过程资料分为管理资料、技术资料、质量资料、安全资料、资源资料和综合协调资料六类。管理资料反映组织、计划和职责变化；技术资料承接会审、方案、交底、变更和洽商；质量资料覆盖报验、隐蔽验收、试验检测和整改闭合；安全资料记录风险辨识、教育培训、检查预警和应急处置；资源资料围绕人员、设备、材料和分包管理展开；综合协调资料则反映外部沟通、接口交接和多方协同。这样分类的意义，在于让资料与业务链对应起来，避免后期只能按文件名称机械归堆。</w:t>
      </w:r>
    </w:p>
    <w:p w14:paraId="7CDD1E20">
      <w:pPr>
        <w:pStyle w:val="11"/>
        <w:rPr>
          <w:rFonts w:ascii="Times New Roman" w:hAnsi="Calibri" w:eastAsia="宋体" w:cs="Times New Roman"/>
          <w:sz w:val="21"/>
        </w:rPr>
      </w:pPr>
      <w:r>
        <w:rPr>
          <w:rFonts w:ascii="Times New Roman" w:hAnsi="Calibri" w:eastAsia="宋体" w:cs="Times New Roman"/>
          <w:sz w:val="21"/>
        </w:rPr>
        <w:t>分类体系建立后，还要明确资料颗粒度。过粗则检索困难，过细又会增加维护负担。更适合工程现场的做法，是按类别、专业、部位、事项、时间逐层细分，使同一份资料既知道属于哪类业务，又能落到具体专业和空间单元。这样一来，资料不再只是静态文本，而会成为可查询、可比对、可复核的过程节点。</w:t>
      </w:r>
    </w:p>
    <w:p w14:paraId="0FDCBC6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资料整理顺序与标准</w:t>
      </w:r>
    </w:p>
    <w:p w14:paraId="5107B25A">
      <w:pPr>
        <w:pStyle w:val="11"/>
        <w:rPr>
          <w:rFonts w:ascii="Times New Roman" w:hAnsi="Calibri" w:eastAsia="宋体" w:cs="Times New Roman"/>
          <w:sz w:val="21"/>
        </w:rPr>
      </w:pPr>
      <w:r>
        <w:rPr>
          <w:rFonts w:ascii="Times New Roman" w:hAnsi="Calibri" w:eastAsia="宋体" w:cs="Times New Roman"/>
          <w:sz w:val="21"/>
        </w:rPr>
        <w:t>资料整理一旦脱离顺序控制，就容易陷入先施工、后补表、再集中扫描上传的被动状态。项目后期最常见的资料失真，并非完全没有资料，而是形成时间晚于业务发生时间，导致签认、现场状态和原始证据无法准确对应。要改变这一点，整理顺序必须与施工活动保持同步。更合理的方式，不是到竣工时按目录倒推，而是在业务发生时建账，在过程推进中归并，在阶段转换时校核，在交付前做整体复审。资料随事项走，才能减少回忆性补录和解释性补签。</w:t>
      </w:r>
    </w:p>
    <w:p w14:paraId="146C68C9">
      <w:pPr>
        <w:pStyle w:val="11"/>
        <w:rPr>
          <w:rFonts w:ascii="Times New Roman" w:hAnsi="Calibri" w:eastAsia="宋体" w:cs="Times New Roman"/>
          <w:sz w:val="21"/>
        </w:rPr>
      </w:pPr>
      <w:r>
        <w:rPr>
          <w:rFonts w:ascii="Times New Roman" w:hAnsi="Calibri" w:eastAsia="宋体" w:cs="Times New Roman"/>
          <w:sz w:val="21"/>
        </w:rPr>
        <w:t>这种顺序控制还要体现前后依赖关系。方案交底在前，实施记录在中，检查验收在后，整改闭合再跟上，任何一环缺失，后面的资料都可能失去依据。材料类资料也是如此，采购与进场证明、报验记录、检测结果、使用部位和异常处置应形成连续链条。整理标准若只要求资料齐全，却不强调链条完整，最终形成的档案仍难支撑判断。</w:t>
      </w:r>
    </w:p>
    <w:p w14:paraId="3C7F6610">
      <w:pPr>
        <w:pStyle w:val="11"/>
        <w:rPr>
          <w:rFonts w:ascii="Times New Roman" w:hAnsi="Calibri" w:eastAsia="宋体" w:cs="Times New Roman"/>
          <w:sz w:val="21"/>
        </w:rPr>
      </w:pPr>
      <w:r>
        <w:rPr>
          <w:rFonts w:ascii="Times New Roman" w:hAnsi="Calibri" w:eastAsia="宋体" w:cs="Times New Roman"/>
          <w:sz w:val="21"/>
        </w:rPr>
        <w:t>在数字化管理条件下，整理标准还应增加可检索、可关联和可复用三项要求。可检索，意味着项目结束后能够通过专业、部位、事项和时间快速找到资料；可关联，意味着一项资料能与图纸、影像、实测、整改和责任主体互相映射；可复用，则意味着这些资料不仅服务档案移交，也能服务竣工验收、缺陷责任期处理和后续运维查询。传统档案管理更重保存，智慧工地下的档案管理则更重保存之后还能调用。</w:t>
      </w:r>
    </w:p>
    <w:p w14:paraId="55ADB2B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资料归档完整性控制</w:t>
      </w:r>
    </w:p>
    <w:p w14:paraId="6E3E8DDA">
      <w:pPr>
        <w:pStyle w:val="11"/>
        <w:rPr>
          <w:rFonts w:ascii="Times New Roman" w:hAnsi="Calibri" w:eastAsia="宋体" w:cs="Times New Roman"/>
          <w:sz w:val="21"/>
        </w:rPr>
      </w:pPr>
      <w:r>
        <w:rPr>
          <w:rFonts w:ascii="Times New Roman" w:hAnsi="Calibri" w:eastAsia="宋体" w:cs="Times New Roman"/>
          <w:sz w:val="21"/>
        </w:rPr>
        <w:t>归档完整性控制的难点，从来不只是缺几份表格，而是缺口往往出现在最能说明问题的关键节点。图纸有了，过程变化没有沉淀；验收记录有了，原始影像没有挂接；检测结论有了，对应批次和部位却不清楚。这样的资料表面上不少，真正用来支撑验收和追溯时却会出现断裂。完整性控制因此不能只依靠移交前的清单核对，而应把动作前移到资料形成阶段。</w:t>
      </w:r>
    </w:p>
    <w:p w14:paraId="6FEFD7AE">
      <w:pPr>
        <w:pStyle w:val="11"/>
        <w:rPr>
          <w:rFonts w:ascii="Times New Roman" w:hAnsi="Calibri" w:eastAsia="宋体" w:cs="Times New Roman"/>
          <w:sz w:val="21"/>
        </w:rPr>
      </w:pPr>
      <w:r>
        <w:rPr>
          <w:rFonts w:ascii="Times New Roman" w:hAnsi="Calibri" w:eastAsia="宋体" w:cs="Times New Roman"/>
          <w:sz w:val="21"/>
        </w:rPr>
        <w:t>较成熟的控制方式，应同时做三层校核：目录完整性校核，解决应有资料是否建账；逻辑完整性校核，解决资料之间是否前后衔接、同一事项是否形成闭环；证据完整性校核，解决关键结论是否有原始记录、图像、数据或签认支撑。完整性控制一旦前移，项目部就能更早识别哪类资料总是缺、哪一道工序总是断、哪个岗位总是延迟，从而把档案问题转回业务问题处理。完整性的最终标准也不是交上去了，而是以后还能查明白。</w:t>
      </w:r>
    </w:p>
    <w:p w14:paraId="73C4BFEC">
      <w:pPr>
        <w:pStyle w:val="4"/>
        <w:numPr>
          <w:ilvl w:val="0"/>
          <w:numId w:val="0"/>
        </w:numPr>
        <w:topLinePunct w:val="0"/>
        <w:ind w:left="0" w:leftChars="0" w:firstLine="422" w:firstLineChars="0"/>
        <w:rPr>
          <w:b/>
        </w:rPr>
      </w:pPr>
      <w:r>
        <w:rPr>
          <w:rFonts w:hint="eastAsia" w:ascii="黑体" w:hAnsi="黑体" w:eastAsia="黑体" w:cs="黑体"/>
          <w:b/>
          <w:sz w:val="21"/>
        </w:rPr>
        <w:t>二、</w:t>
      </w:r>
      <w:r>
        <w:t>竣工图与实测成果整合</w:t>
      </w:r>
    </w:p>
    <w:p w14:paraId="49BE829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竣工图整理重点</w:t>
      </w:r>
    </w:p>
    <w:p w14:paraId="3495515C">
      <w:pPr>
        <w:pStyle w:val="11"/>
        <w:rPr>
          <w:rFonts w:ascii="Times New Roman" w:hAnsi="Calibri" w:eastAsia="宋体" w:cs="Times New Roman"/>
          <w:sz w:val="21"/>
        </w:rPr>
      </w:pPr>
      <w:r>
        <w:rPr>
          <w:rFonts w:ascii="Times New Roman" w:hAnsi="Calibri" w:eastAsia="宋体" w:cs="Times New Roman"/>
          <w:sz w:val="21"/>
        </w:rPr>
        <w:t>竣工图最核心的要求，不是画得整洁，而是真实反映实施结果。施工阶段发生的设计变更、现场优化、局部替代、管线调整和设备改位，若没有被准确带入竣工图，交付后的任何查询都可能建立在失真的图纸基础上。很多工程在验收时看似资料齐全，真正进入运维和缺陷处理阶段却频繁发现图实不符，原因往往不是施工做错，而是竣工图仍停留在设计图或局部修改图层面，没有把实施结果完整收束。</w:t>
      </w:r>
    </w:p>
    <w:p w14:paraId="5A28BD51">
      <w:pPr>
        <w:pStyle w:val="11"/>
        <w:rPr>
          <w:rFonts w:ascii="Times New Roman" w:hAnsi="Calibri" w:eastAsia="宋体" w:cs="Times New Roman"/>
          <w:sz w:val="21"/>
        </w:rPr>
      </w:pPr>
      <w:r>
        <w:rPr>
          <w:rFonts w:ascii="Times New Roman" w:hAnsi="Calibri" w:eastAsia="宋体" w:cs="Times New Roman"/>
          <w:sz w:val="21"/>
        </w:rPr>
        <w:t>竣工图整理首先要抓住变化点。对未发生调整的常规部位，重点是核验一致性；对发生设计变更、现场签证、机电综合优化和设备安装调整的部位，则应重点复核其图纸表达是否同步更新。尤其是综合管线、设备机房、隐蔽节点、结构留洞、幕墙收口和室外管网等容易在实施中发生优化调整的内容，更不能沿用原设计表达。竣工图的真实性，不在于整本图纸全部重画，而在于所有对后续管理有影响的变化都已被准确记入。</w:t>
      </w:r>
    </w:p>
    <w:p w14:paraId="7E091931">
      <w:pPr>
        <w:pStyle w:val="11"/>
        <w:rPr>
          <w:rFonts w:ascii="Times New Roman" w:hAnsi="Calibri" w:eastAsia="宋体" w:cs="Times New Roman"/>
          <w:sz w:val="21"/>
        </w:rPr>
      </w:pPr>
      <w:r>
        <w:rPr>
          <w:rFonts w:ascii="Times New Roman" w:hAnsi="Calibri" w:eastAsia="宋体" w:cs="Times New Roman"/>
          <w:sz w:val="21"/>
        </w:rPr>
        <w:t>竣工图还应体现专业协同结果。单个专业图纸各自正确，并不自动等于整体竣工图可靠。建筑、结构、机电、装饰和室外配套若彼此不能对上位置关系，后续使用时仍会出现冲突。较好的整理方式，是在专业竣工图基础上，对关键区域再进行综合核对，使同一空间中的构件、管线、设备和检修条件保持一致表达。</w:t>
      </w:r>
    </w:p>
    <w:p w14:paraId="530039E9">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实测成果归并方式</w:t>
      </w:r>
    </w:p>
    <w:p w14:paraId="6FEA4582">
      <w:pPr>
        <w:pStyle w:val="11"/>
        <w:rPr>
          <w:rFonts w:ascii="Times New Roman" w:hAnsi="Calibri" w:eastAsia="宋体" w:cs="Times New Roman"/>
          <w:sz w:val="21"/>
        </w:rPr>
      </w:pPr>
      <w:r>
        <w:rPr>
          <w:rFonts w:ascii="Times New Roman" w:hAnsi="Calibri" w:eastAsia="宋体" w:cs="Times New Roman"/>
          <w:sz w:val="21"/>
        </w:rPr>
        <w:t>竣工交付阶段的实测成果，不能只理解为几份测量报告或几张实测表。对工程现场而言，实测成果既包括传统测量成果，也包括实测实量、设备安装复核、隐蔽位置测定、三维扫描对比和专项检测数据等一系列与空间结果直接相关的信息。若这些成果只按来源分别保存，交付时虽然资料不少，但难以形成统一判断。归并的关键，正在于让实测成果围绕部位、对象、指标、结果四个维度重新组织，使其能直接与竣工图和过程资料对应。</w:t>
      </w:r>
    </w:p>
    <w:p w14:paraId="03214774">
      <w:pPr>
        <w:pStyle w:val="11"/>
        <w:rPr>
          <w:rFonts w:ascii="Times New Roman" w:hAnsi="Calibri" w:eastAsia="宋体" w:cs="Times New Roman"/>
          <w:sz w:val="21"/>
        </w:rPr>
      </w:pPr>
      <w:r>
        <w:rPr>
          <w:rFonts w:ascii="Times New Roman" w:hAnsi="Calibri" w:eastAsia="宋体" w:cs="Times New Roman"/>
          <w:sz w:val="21"/>
        </w:rPr>
        <w:t>更合理的归并方式，是把实测成果按照空间单元与专业单元双重挂接。空间单元解决成果发生在哪个楼栋、哪层、哪段、哪一处关键部位；专业单元解决成果属于结构、建筑、机电还是装饰系统；指标单元说明测的是位置、标高、尺寸、垂直度、平整度还是安装状态；结果单元则反映其是否合格、是否偏差、是否已整改。这样组织后，实测成果不再只是技术附件，而会成为对竣工状态的直接说明。</w:t>
      </w:r>
    </w:p>
    <w:p w14:paraId="6F55A2E6">
      <w:pPr>
        <w:pStyle w:val="11"/>
        <w:rPr>
          <w:rFonts w:ascii="Times New Roman" w:hAnsi="Calibri" w:eastAsia="宋体" w:cs="Times New Roman"/>
          <w:sz w:val="21"/>
        </w:rPr>
      </w:pPr>
      <w:r>
        <w:rPr>
          <w:rFonts w:ascii="Times New Roman" w:hAnsi="Calibri" w:eastAsia="宋体" w:cs="Times New Roman"/>
          <w:sz w:val="21"/>
        </w:rPr>
        <w:t>实测成果归并还应重视时间关系。尤其在安装调试、精装收口和室外配套阶段，同一部位可能经历多次复测。若归并方式不保留时间层级，后来的结果会覆盖前面的判断，整改与复验关系也会丢失。较好的方式，是让初测、复测、复验和最终确认保持清晰层次，使实测成果不仅说明最后结果，还能说明这一结果是如何达到的。</w:t>
      </w:r>
    </w:p>
    <w:p w14:paraId="362F377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图纸成果统一交付表达</w:t>
      </w:r>
    </w:p>
    <w:p w14:paraId="6B7F41C7">
      <w:pPr>
        <w:pStyle w:val="11"/>
        <w:rPr>
          <w:rFonts w:ascii="Times New Roman" w:hAnsi="Calibri" w:eastAsia="宋体" w:cs="Times New Roman"/>
          <w:sz w:val="21"/>
        </w:rPr>
      </w:pPr>
      <w:r>
        <w:rPr>
          <w:rFonts w:ascii="Times New Roman" w:hAnsi="Calibri" w:eastAsia="宋体" w:cs="Times New Roman"/>
          <w:sz w:val="21"/>
        </w:rPr>
        <w:t>竣工图与实测成果整合的最终目标，不是让两类资料并排摆放，而是形成统一交付表达。图纸负责呈现空间关系和实施结果，实测负责证明关键位置和关键指标是否满足要求，二者若能在同一表达框架中互相支撑，交付资料的可读性和可用性就会明显提高。</w:t>
      </w:r>
    </w:p>
    <w:p w14:paraId="1BCDFC64">
      <w:pPr>
        <w:pStyle w:val="11"/>
        <w:rPr>
          <w:rFonts w:ascii="Times New Roman" w:hAnsi="Calibri" w:eastAsia="宋体" w:cs="Times New Roman"/>
          <w:sz w:val="21"/>
        </w:rPr>
      </w:pPr>
      <w:r>
        <w:rPr>
          <w:rFonts w:ascii="Times New Roman" w:hAnsi="Calibri" w:eastAsia="宋体" w:cs="Times New Roman"/>
          <w:sz w:val="21"/>
        </w:rPr>
        <w:t>统一表达首先表现为对象一致。同一设备、同一管线、同一结构部位、同一隐蔽节点，在图纸和实测成果中应采用统一编号、统一位置标识和统一命名方式。其次表现为结论一致。图纸表达的是最终实施状态，实测成果表达的是对该状态的校核结果，二者不应相互矛盾。再次表现为调用一致。后续查询时，使用者应能从图纸进入实测，也能从实测回到图纸，而不必依赖个人经验去辨认二者关系。这样的统一表达，实际上是在把施工阶段的空间信息转化为可传递、可继承的工程知识。</w:t>
      </w:r>
    </w:p>
    <w:p w14:paraId="69E36653">
      <w:pPr>
        <w:pStyle w:val="4"/>
        <w:numPr>
          <w:ilvl w:val="0"/>
          <w:numId w:val="0"/>
        </w:numPr>
        <w:topLinePunct w:val="0"/>
        <w:ind w:left="0" w:leftChars="0" w:firstLine="422" w:firstLineChars="0"/>
        <w:rPr>
          <w:b/>
        </w:rPr>
      </w:pPr>
      <w:r>
        <w:rPr>
          <w:rFonts w:hint="eastAsia" w:ascii="黑体" w:hAnsi="黑体" w:eastAsia="黑体" w:cs="黑体"/>
          <w:b/>
          <w:sz w:val="21"/>
        </w:rPr>
        <w:t>三、</w:t>
      </w:r>
      <w:r>
        <w:t>交付资料的完整性与可追溯性</w:t>
      </w:r>
    </w:p>
    <w:p w14:paraId="14C768A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交付资料完整性校核</w:t>
      </w:r>
    </w:p>
    <w:p w14:paraId="26E9A7FF">
      <w:pPr>
        <w:pStyle w:val="11"/>
        <w:rPr>
          <w:rFonts w:ascii="Times New Roman" w:hAnsi="Calibri" w:eastAsia="宋体" w:cs="Times New Roman"/>
          <w:sz w:val="21"/>
        </w:rPr>
      </w:pPr>
      <w:r>
        <w:rPr>
          <w:rFonts w:ascii="Times New Roman" w:hAnsi="Calibri" w:eastAsia="宋体" w:cs="Times New Roman"/>
          <w:sz w:val="21"/>
        </w:rPr>
        <w:t>交付资料到了最后关口，最重要的不是再补充多少文件，而是判断资料体系是否真正闭合。完整性校核不应停留在清单打勾层面，而应从必备资料、缺漏审查和逻辑一致性三个方向同时展开。必备资料解决有没有，缺漏审查解决缺了什么，逻辑一致性则回答这些资料放在一起是否说得通。现实中最难处理的，往往不是显性的缺件，而是资料齐了却互相对不上：图纸版本与验收记录不一致，问题销项与复验结论不一致，设备资料与安装位置不一致，检测结果与实际批次不一致。这类问题若在交付前没有被识别，后续验收、审查和使用阶段都会不断放大。</w:t>
      </w:r>
    </w:p>
    <w:p w14:paraId="61A94884">
      <w:pPr>
        <w:pStyle w:val="11"/>
        <w:rPr>
          <w:rFonts w:ascii="Times New Roman" w:hAnsi="Calibri" w:eastAsia="宋体" w:cs="Times New Roman"/>
          <w:sz w:val="21"/>
        </w:rPr>
      </w:pPr>
      <w:r>
        <w:rPr>
          <w:rFonts w:ascii="Times New Roman" w:hAnsi="Calibri" w:eastAsia="宋体" w:cs="Times New Roman"/>
          <w:sz w:val="21"/>
        </w:rPr>
        <w:t>较稳妥的校核方法，是围绕专业线、部位线和事项线分别核对。专业线用于检查建筑、结构、机电、装饰和室外配套资料是否各自闭合；部位线用于检查关键空间单元是否能形成从实施到验收的完整资料链；事项线则围绕变更、报验、整改、检测、调试和交接等重点事项检查其前后逻辑。三条线同时展开，才能发现那些在单一目录视角下不易暴露的缺漏。交付资料的完整性因此不是单点判断，而是一种体系性判断。只有体系闭合，交付才真正具备可审、可查、可用的基础。</w:t>
      </w:r>
    </w:p>
    <w:p w14:paraId="40B3D6A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追溯链条构建方法</w:t>
      </w:r>
    </w:p>
    <w:p w14:paraId="7CCF0A55">
      <w:pPr>
        <w:pStyle w:val="11"/>
        <w:rPr>
          <w:rFonts w:ascii="Times New Roman" w:hAnsi="Calibri" w:eastAsia="宋体" w:cs="Times New Roman"/>
          <w:sz w:val="21"/>
        </w:rPr>
      </w:pPr>
      <w:r>
        <w:rPr>
          <w:rFonts w:ascii="Times New Roman" w:hAnsi="Calibri" w:eastAsia="宋体" w:cs="Times New Roman"/>
          <w:sz w:val="21"/>
        </w:rPr>
        <w:t>交付资料之所以需要追溯性，不是因为验收结束后还要反复翻档，而是工程使用过程天然会不断提出回查需求。缺陷责任期内的质量争议、运维阶段的设备检修、后续改造中的结构核查、事故调查中的责任识别，几乎都离不开追溯链条。所谓追溯链条，核心不是把所有资料永久堆存，而是让过程、责任、结果三类信息能够彼此找到。过程信息说明事情怎样发生，责任信息说明谁在什么节点承担何种职责，结果信息说明最终形成了什么状态。三者若能贯通，追溯才真正成立。</w:t>
      </w:r>
    </w:p>
    <w:p w14:paraId="017FB628">
      <w:pPr>
        <w:pStyle w:val="11"/>
        <w:rPr>
          <w:rFonts w:ascii="Times New Roman" w:hAnsi="Calibri" w:eastAsia="宋体" w:cs="Times New Roman"/>
          <w:sz w:val="21"/>
        </w:rPr>
      </w:pPr>
      <w:r>
        <w:rPr>
          <w:rFonts w:ascii="Times New Roman" w:hAnsi="Calibri" w:eastAsia="宋体" w:cs="Times New Roman"/>
          <w:sz w:val="21"/>
        </w:rPr>
        <w:t>构建追溯链条，关键在于设置稳定索引。部位索引、事项索引、时间索引和责任索引应相互配合。通过部位可以追到对应图纸、实测、验收和整改；通过事项可以追到发起、审批、实施和复核；通过时间可以看到一项变化前后的连续状态；通过责任则能明确建设、施工、监理、分包和技术岗位在其中的作用。许多项目之所以后期追溯困难，并不是因为没有保留资料，而是资料虽然在，却没有统一索引可用。</w:t>
      </w:r>
    </w:p>
    <w:p w14:paraId="4E34B02E">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交付资料服务后续管理</w:t>
      </w:r>
    </w:p>
    <w:p w14:paraId="29E31797">
      <w:pPr>
        <w:pStyle w:val="11"/>
        <w:rPr>
          <w:rFonts w:ascii="Times New Roman" w:hAnsi="Calibri" w:eastAsia="宋体" w:cs="Times New Roman"/>
          <w:sz w:val="21"/>
        </w:rPr>
      </w:pPr>
      <w:r>
        <w:rPr>
          <w:rFonts w:ascii="Times New Roman" w:hAnsi="Calibri" w:eastAsia="宋体" w:cs="Times New Roman"/>
          <w:sz w:val="21"/>
        </w:rPr>
        <w:t>交付资料若只服务一次性验收，其价值会被明显低估。对建设单位、使用单位和运维单位而言，交付并不是信息需求的终点，而是另一类管理需求的起点。后续保修、设备维护、局部改造、能耗优化、空间调整乃至再评价工作，都会重新调用交付资料。也正因为如此，交付资料的组织方式必须面向后续管理，而不是只面向当前审查。</w:t>
      </w:r>
    </w:p>
    <w:p w14:paraId="51605F1A">
      <w:pPr>
        <w:pStyle w:val="11"/>
        <w:rPr>
          <w:rFonts w:ascii="Times New Roman" w:hAnsi="Calibri" w:eastAsia="宋体" w:cs="Times New Roman"/>
          <w:sz w:val="21"/>
        </w:rPr>
      </w:pPr>
      <w:r>
        <w:rPr>
          <w:rFonts w:ascii="Times New Roman" w:hAnsi="Calibri" w:eastAsia="宋体" w:cs="Times New Roman"/>
          <w:sz w:val="21"/>
        </w:rPr>
        <w:t>从实践看，最有价值的交付资料往往具备三个特征：一是能迅速定位到具体对象，而不是停留在项目总目录；二是能同时看到图纸、过程和结果，而不是分散在不同系统和文件夹中；三是能被非施工阶段人员理解和调用，而不是只有原项目班子才看得懂。达到这一点，交付资料才真正从施工档案转化为工程资产。智慧工地建设走到交付阶段，真正成熟的标志，并不是平台在竣工后停止运行，而是项目形成了一套能够被后续管理继续使用的信息成果。交付资料越清晰，项目后续运行越少陷入重新摸排和重复解释；资料越可追溯，工程责任边界就越清楚，建设阶段沉淀的数据价值也越能延续。</w:t>
      </w:r>
    </w:p>
    <w:p w14:paraId="4EC3900F">
      <w:pPr>
        <w:pStyle w:val="3"/>
        <w:numPr>
          <w:ilvl w:val="0"/>
          <w:numId w:val="0"/>
        </w:numPr>
        <w:ind w:left="0" w:leftChars="0" w:firstLine="0" w:firstLineChars="0"/>
        <w:rPr>
          <w:b/>
        </w:rPr>
      </w:pPr>
      <w:bookmarkStart w:id="44" w:name="_Toc344"/>
      <w:r>
        <w:rPr>
          <w:rFonts w:hint="eastAsia" w:ascii="宋体" w:hAnsi="宋体" w:eastAsia="黑体" w:cs="宋体"/>
          <w:b/>
          <w:bCs/>
          <w:kern w:val="44"/>
          <w:sz w:val="30"/>
          <w:szCs w:val="30"/>
        </w:rPr>
        <w:t>第二节</w:t>
      </w:r>
      <w:r>
        <w:rPr>
          <w:rFonts w:hint="eastAsia" w:cs="宋体"/>
          <w:b/>
          <w:bCs/>
          <w:kern w:val="44"/>
          <w:sz w:val="30"/>
          <w:szCs w:val="30"/>
          <w:lang w:val="en-US" w:eastAsia="zh-CN"/>
        </w:rPr>
        <w:t xml:space="preserve"> </w:t>
      </w:r>
      <w:r>
        <w:t>竣工验收的数字化支撑</w:t>
      </w:r>
      <w:bookmarkEnd w:id="44"/>
      <w:r>
        <w:t xml:space="preserve">  </w:t>
      </w:r>
    </w:p>
    <w:p w14:paraId="1B29D458">
      <w:pPr>
        <w:pStyle w:val="4"/>
        <w:numPr>
          <w:ilvl w:val="0"/>
          <w:numId w:val="0"/>
        </w:numPr>
        <w:topLinePunct w:val="0"/>
        <w:ind w:left="0" w:leftChars="0" w:firstLine="422" w:firstLineChars="0"/>
        <w:rPr>
          <w:b/>
        </w:rPr>
      </w:pPr>
      <w:r>
        <w:rPr>
          <w:rFonts w:hint="eastAsia" w:ascii="黑体" w:hAnsi="黑体" w:eastAsia="黑体" w:cs="黑体"/>
          <w:b/>
          <w:sz w:val="21"/>
        </w:rPr>
        <w:t>一、</w:t>
      </w:r>
      <w:r>
        <w:t>分部分项验收信息的汇集</w:t>
      </w:r>
    </w:p>
    <w:p w14:paraId="7906735D">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验收对象按专业与部位归集</w:t>
      </w:r>
    </w:p>
    <w:p w14:paraId="47D9CAA9">
      <w:pPr>
        <w:pStyle w:val="11"/>
        <w:rPr>
          <w:rFonts w:ascii="Times New Roman" w:hAnsi="Calibri" w:eastAsia="宋体" w:cs="Times New Roman"/>
          <w:sz w:val="21"/>
        </w:rPr>
      </w:pPr>
      <w:r>
        <w:rPr>
          <w:rFonts w:ascii="Times New Roman" w:hAnsi="Calibri" w:eastAsia="宋体" w:cs="Times New Roman"/>
          <w:sz w:val="21"/>
        </w:rPr>
        <w:t>竣工验收能否真正建立在清晰事实之上，关键不在最终会议开得是否充分，而在于分部分项验收信息是否在进入竣工阶段前已经完成有效归集。传统做法里，土建、安装、装饰、消防、智能化、室外配套等资料往往分别存放，各专业都能拿出自己的记录，但一旦进入整体验收，常常会出现部位对应不上、验收批次前后不连、同一空间单元被拆成若干孤立记录的问题。数字化支撑首先要解决的，正是把验收对象从专业口径重新拉回到工程实体口径，使每一条验收信息都能回答三个问题：验的是什么，发生在什么部位，和哪一阶段成果相关。只有对象边界清楚，后续的联审、复核和追溯才不会停留在资料翻找层面。</w:t>
      </w:r>
    </w:p>
    <w:p w14:paraId="3AA4999F">
      <w:pPr>
        <w:pStyle w:val="11"/>
        <w:rPr>
          <w:rFonts w:ascii="Times New Roman" w:hAnsi="Calibri" w:eastAsia="宋体" w:cs="Times New Roman"/>
          <w:sz w:val="21"/>
        </w:rPr>
      </w:pPr>
      <w:r>
        <w:rPr>
          <w:rFonts w:ascii="Times New Roman" w:hAnsi="Calibri" w:eastAsia="宋体" w:cs="Times New Roman"/>
          <w:sz w:val="21"/>
        </w:rPr>
        <w:t>较为稳妥的归集方式，是在专业分类之外，再增加空间单元和构件单元两个坐标。专业分类解决责任边界，空间单元解决位置边界，构件单元解决最小核查对象。这样一来，混凝土结构验收、机电安装验收、幕墙节点验收和设备调试验收虽然来自不同专业，却能够围绕同一楼栋、同一区域、同一使用空间形成对应关系。验收信息一旦从专业文件变成实体映射，管理者看到的就不再是一摞记录，而是一张不断被补全的工程完成图。</w:t>
      </w:r>
    </w:p>
    <w:p w14:paraId="03FCDE5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过程验收到分项验收的穿透衔接</w:t>
      </w:r>
    </w:p>
    <w:p w14:paraId="5242DB32">
      <w:pPr>
        <w:pStyle w:val="11"/>
        <w:rPr>
          <w:rFonts w:ascii="Times New Roman" w:hAnsi="Calibri" w:eastAsia="宋体" w:cs="Times New Roman"/>
          <w:sz w:val="21"/>
        </w:rPr>
      </w:pPr>
      <w:r>
        <w:rPr>
          <w:rFonts w:ascii="Times New Roman" w:hAnsi="Calibri" w:eastAsia="宋体" w:cs="Times New Roman"/>
          <w:sz w:val="21"/>
        </w:rPr>
        <w:t>分部分项验收并不是竣工阶段突然生成的新信息，它本质上是施工过程验收的集中呈现。很多项目后期验收效率不高，并不是因为现场没有做过检查，而是因为过程中的报验、旁站、隐蔽验收、试验检测和整改复核没有被穿透整理，导致分项验收时还要重新证明一遍。数字化支撑的价值，就在于把过程链条中的关键节点提前串起来，让分项验收不再依赖临时拼装，而能够直接调用前期沉淀的过程证据。</w:t>
      </w:r>
    </w:p>
    <w:p w14:paraId="6F9A649D">
      <w:pPr>
        <w:pStyle w:val="11"/>
        <w:rPr>
          <w:rFonts w:ascii="Times New Roman" w:hAnsi="Calibri" w:eastAsia="宋体" w:cs="Times New Roman"/>
          <w:sz w:val="21"/>
        </w:rPr>
      </w:pPr>
      <w:r>
        <w:rPr>
          <w:rFonts w:ascii="Times New Roman" w:hAnsi="Calibri" w:eastAsia="宋体" w:cs="Times New Roman"/>
          <w:sz w:val="21"/>
        </w:rPr>
        <w:t>这种穿透衔接尤其适用于质量要求高、专业交叉深的工程。以安装工程为例，一项分项验收往往同时涉及设备基础、预留预埋、材料报验、安装过程、系统测试和局部整改。若这些信息分别散落在不同表单和不同责任人手中，分项验收就会被迫退回到人工汇总状态。只有把过程验收记录与分项验收目标预先建立映射关系，系统才能在进入竣工阶段时自动识别哪些资料已经齐备，哪些环节仍有断点，哪些部位还缺少最终确认。这样形成的支撑方式，实质上是在把竣工验收前移到施工过程中准备。</w:t>
      </w:r>
    </w:p>
    <w:p w14:paraId="69F99A5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验收信息汇集的时点控制</w:t>
      </w:r>
    </w:p>
    <w:p w14:paraId="751ACC52">
      <w:pPr>
        <w:pStyle w:val="11"/>
        <w:rPr>
          <w:rFonts w:ascii="Times New Roman" w:hAnsi="Calibri" w:eastAsia="宋体" w:cs="Times New Roman"/>
          <w:sz w:val="21"/>
        </w:rPr>
      </w:pPr>
      <w:r>
        <w:rPr>
          <w:rFonts w:ascii="Times New Roman" w:hAnsi="Calibri" w:eastAsia="宋体" w:cs="Times New Roman"/>
          <w:sz w:val="21"/>
        </w:rPr>
        <w:t>验收信息的归集并非越晚越集中越好。到了收尾阶段再统一补录，表面上看节省了平时精力，实际上最容易造成时间错位和事实模糊。更有效的方式，是按施工转换节点进行滚动汇集。主体结构完成时，先完成结构类分项资料的归并；机电安装转入系统调试前，完成安装类过程资料的校核；装饰收口前，再对成品质量、隐蔽节点和交叉部位进行统一复看。这样做的意义，不只是减轻竣工阶段压力，更重要的是让问题在尚可回到现场验证的时点暴露出来。</w:t>
      </w:r>
    </w:p>
    <w:p w14:paraId="2654FC85">
      <w:pPr>
        <w:pStyle w:val="11"/>
        <w:rPr>
          <w:rFonts w:ascii="Times New Roman" w:hAnsi="Calibri" w:eastAsia="宋体" w:cs="Times New Roman"/>
          <w:sz w:val="21"/>
        </w:rPr>
      </w:pPr>
      <w:r>
        <w:rPr>
          <w:rFonts w:ascii="Times New Roman" w:hAnsi="Calibri" w:eastAsia="宋体" w:cs="Times New Roman"/>
          <w:sz w:val="21"/>
        </w:rPr>
        <w:t>时点控制还会直接影响验收判断的可信度。很多竣工阶段难以说清的问题，并不是没有资料，而是资料生成时间与现场真实状态已经拉开距离。数字化管理强调资料随事项走、随节点收、随状态校，就是为了避免这种迟滞。验收信息汇集一旦形成按阶段推进、按节点校核的节奏，竣工验收就不再是资料总攻，而成为对既有成果的系统确认。</w:t>
      </w:r>
    </w:p>
    <w:p w14:paraId="4AABFB7A">
      <w:pPr>
        <w:pStyle w:val="4"/>
        <w:numPr>
          <w:ilvl w:val="0"/>
          <w:numId w:val="0"/>
        </w:numPr>
        <w:topLinePunct w:val="0"/>
        <w:ind w:left="0" w:leftChars="0" w:firstLine="422" w:firstLineChars="0"/>
        <w:rPr>
          <w:b/>
        </w:rPr>
      </w:pPr>
      <w:r>
        <w:rPr>
          <w:rFonts w:hint="eastAsia" w:ascii="黑体" w:hAnsi="黑体" w:eastAsia="黑体" w:cs="黑体"/>
          <w:b/>
          <w:sz w:val="21"/>
        </w:rPr>
        <w:t>二、</w:t>
      </w:r>
      <w:r>
        <w:t>问题整改闭环与销项管理</w:t>
      </w:r>
    </w:p>
    <w:p w14:paraId="168F6BD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问题清单的统一生成</w:t>
      </w:r>
    </w:p>
    <w:p w14:paraId="47A6277F">
      <w:pPr>
        <w:pStyle w:val="11"/>
        <w:rPr>
          <w:rFonts w:ascii="Times New Roman" w:hAnsi="Calibri" w:eastAsia="宋体" w:cs="Times New Roman"/>
          <w:sz w:val="21"/>
        </w:rPr>
      </w:pPr>
      <w:r>
        <w:rPr>
          <w:rFonts w:ascii="Times New Roman" w:hAnsi="Calibri" w:eastAsia="宋体" w:cs="Times New Roman"/>
          <w:sz w:val="21"/>
        </w:rPr>
        <w:t>竣工验收阶段最怕的，不是发现问题，而是不同主体各自发现、各自记录、各自催办，最后形成多套问题清单并行。建设单位有一份，监理单位有一份，总承包还有一份，各专业分包又保留自己的整改记录。表面上看工作做得很细，实际却容易出现重复整改、责任交叉和销项标准不一。数字化支撑要做的第一件事，就是把问题清单统一到同一来源、同一编号和同一状态逻辑之下，使所有问题都进入同一流转池。</w:t>
      </w:r>
    </w:p>
    <w:p w14:paraId="4AB09EA6">
      <w:pPr>
        <w:pStyle w:val="11"/>
        <w:rPr>
          <w:rFonts w:ascii="Times New Roman" w:hAnsi="Calibri" w:eastAsia="宋体" w:cs="Times New Roman"/>
          <w:sz w:val="21"/>
        </w:rPr>
      </w:pPr>
      <w:r>
        <w:rPr>
          <w:rFonts w:ascii="Times New Roman" w:hAnsi="Calibri" w:eastAsia="宋体" w:cs="Times New Roman"/>
          <w:sz w:val="21"/>
        </w:rPr>
        <w:t>统一清单并不意味着取消专业判断，而是让不同来源的问题在进入系统后拥有共同身份。谁提出、何时提出、涉及哪个部位、属于哪类问题、影响哪个验收条件，都应当被稳定记录。这样一来，项目部就能够区分哪些属于一般质量瑕疵，哪些会影响专项验收，哪些虽不影响当前验收却会在交付后形成使用风险。问题清单一旦实现统一生成，整改管理才真正从</w:t>
      </w:r>
      <w:r>
        <w:rPr>
          <w:rFonts w:hint="eastAsia" w:ascii="Times New Roman" w:hAnsi="Times New Roman" w:eastAsia="宋体" w:cs="Times New Roman"/>
          <w:sz w:val="21"/>
          <w:lang w:eastAsia="zh-CN"/>
        </w:rPr>
        <w:t>“</w:t>
      </w:r>
      <w:r>
        <w:rPr>
          <w:rFonts w:ascii="Times New Roman" w:hAnsi="Calibri" w:eastAsia="宋体" w:cs="Times New Roman"/>
          <w:sz w:val="21"/>
        </w:rPr>
        <w:t>谁发现谁盯</w:t>
      </w:r>
      <w:r>
        <w:rPr>
          <w:rFonts w:hint="eastAsia" w:ascii="Times New Roman" w:hAnsi="Times New Roman" w:eastAsia="宋体" w:cs="Times New Roman"/>
          <w:sz w:val="21"/>
          <w:lang w:eastAsia="zh-CN"/>
        </w:rPr>
        <w:t>”</w:t>
      </w:r>
      <w:r>
        <w:rPr>
          <w:rFonts w:ascii="Times New Roman" w:hAnsi="Calibri" w:eastAsia="宋体" w:cs="Times New Roman"/>
          <w:sz w:val="21"/>
        </w:rPr>
        <w:t>转向</w:t>
      </w:r>
      <w:r>
        <w:rPr>
          <w:rFonts w:hint="eastAsia" w:ascii="Times New Roman" w:hAnsi="Times New Roman" w:eastAsia="宋体" w:cs="Times New Roman"/>
          <w:sz w:val="21"/>
          <w:lang w:eastAsia="zh-CN"/>
        </w:rPr>
        <w:t>“</w:t>
      </w:r>
      <w:r>
        <w:rPr>
          <w:rFonts w:ascii="Times New Roman" w:hAnsi="Calibri" w:eastAsia="宋体" w:cs="Times New Roman"/>
          <w:sz w:val="21"/>
        </w:rPr>
        <w:t>全项目可见、按等级分类、按责任闭合</w:t>
      </w:r>
      <w:r>
        <w:rPr>
          <w:rFonts w:hint="eastAsia" w:ascii="Times New Roman" w:hAnsi="Times New Roman" w:eastAsia="宋体" w:cs="Times New Roman"/>
          <w:sz w:val="21"/>
          <w:lang w:eastAsia="zh-CN"/>
        </w:rPr>
        <w:t>”</w:t>
      </w:r>
      <w:r>
        <w:rPr>
          <w:rFonts w:ascii="Times New Roman" w:hAnsi="Calibri" w:eastAsia="宋体" w:cs="Times New Roman"/>
          <w:sz w:val="21"/>
        </w:rPr>
        <w:t>的组织化运行。</w:t>
      </w:r>
    </w:p>
    <w:p w14:paraId="014B2C2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整改流转与责任压实</w:t>
      </w:r>
    </w:p>
    <w:p w14:paraId="56A9FA4C">
      <w:pPr>
        <w:pStyle w:val="11"/>
        <w:rPr>
          <w:rFonts w:ascii="Times New Roman" w:hAnsi="Calibri" w:eastAsia="宋体" w:cs="Times New Roman"/>
          <w:sz w:val="21"/>
        </w:rPr>
      </w:pPr>
      <w:r>
        <w:rPr>
          <w:rFonts w:ascii="Times New Roman" w:hAnsi="Calibri" w:eastAsia="宋体" w:cs="Times New Roman"/>
          <w:sz w:val="21"/>
        </w:rPr>
        <w:t>问题进入系统之后，真正决定闭环质量的，不是分配动作本身，而是责任是否压实到可执行层。传统整改管理中最常见的情况，是问题从总包转给分包，从分包再转给班组，层层传达之后责任看似落下去了，实际却没有形成清晰的完成标准和时间边界。数字化流转的优势，就在于它能够把整改要求具体化。问题发给谁，谁负责组织，谁负责实施，谁负责复核，最迟何时完成，逾期后如何升级，都可以在同一链条中被明确。</w:t>
      </w:r>
    </w:p>
    <w:p w14:paraId="0EE65EF5">
      <w:pPr>
        <w:pStyle w:val="11"/>
        <w:rPr>
          <w:rFonts w:ascii="Times New Roman" w:hAnsi="Calibri" w:eastAsia="宋体" w:cs="Times New Roman"/>
          <w:sz w:val="21"/>
        </w:rPr>
      </w:pPr>
      <w:r>
        <w:rPr>
          <w:rFonts w:ascii="Times New Roman" w:hAnsi="Calibri" w:eastAsia="宋体" w:cs="Times New Roman"/>
          <w:sz w:val="21"/>
        </w:rPr>
        <w:t>更重要的是，整改流转不应只停留在指令派发，还应保留过程痕迹。施工现场中的不少问题并非一次处理就能关闭，有的需要返工，有的需要材料替换，有的还要等待交叉专业配合。若系统中只有开始和结束两个状态，中间过程就会重新回到口头管理。较成熟的做法，是让整改至少保留待处理、处理中、待复核、复核退回、已销项等状态层级，使项目部能够准确看到问题卡在什么环节，是组织慢、施工慢，还是复核标准未统一。这样形成的闭环，不只是证明问题被处理过，更能说明问题是怎样被消除的。</w:t>
      </w:r>
    </w:p>
    <w:p w14:paraId="3E5080CA">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销项复核与遗留问题出清</w:t>
      </w:r>
    </w:p>
    <w:p w14:paraId="69AA4633">
      <w:pPr>
        <w:pStyle w:val="11"/>
        <w:rPr>
          <w:rFonts w:ascii="Times New Roman" w:hAnsi="Calibri" w:eastAsia="宋体" w:cs="Times New Roman"/>
          <w:sz w:val="21"/>
        </w:rPr>
      </w:pPr>
      <w:r>
        <w:rPr>
          <w:rFonts w:ascii="Times New Roman" w:hAnsi="Calibri" w:eastAsia="宋体" w:cs="Times New Roman"/>
          <w:sz w:val="21"/>
        </w:rPr>
        <w:t>销项管理的价值，不在于把问题数量清零，而在于保证关闭动作真实有效。很多项目后期验收被动，往往不是问题太多，而是销项过快、复核过浅。照片传了、表单填了、责任人签了，现场却未必真正达到验收要求。数字化复核应坚持一个基本原则，问题关闭必须同时满足实体状态恢复、证据资料补齐和责任链条完整三个条件。少了任何一项，销项都可能只是形式上的完成。</w:t>
      </w:r>
    </w:p>
    <w:p w14:paraId="3ABF70C5">
      <w:pPr>
        <w:pStyle w:val="11"/>
        <w:rPr>
          <w:rFonts w:ascii="Times New Roman" w:hAnsi="Calibri" w:eastAsia="宋体" w:cs="Times New Roman"/>
          <w:sz w:val="21"/>
        </w:rPr>
      </w:pPr>
      <w:r>
        <w:rPr>
          <w:rFonts w:ascii="Times New Roman" w:hAnsi="Calibri" w:eastAsia="宋体" w:cs="Times New Roman"/>
          <w:sz w:val="21"/>
        </w:rPr>
        <w:t>遗留问题的出清也需要分层处理。能够在竣工前完全闭合的，要坚决闭合；因外部条件、使用准备或专项检测时序影响而暂不能完全关闭的，则应转入遗留问题清单，明确后续责任、完成时限和观察要求。这样处理，既避免为了追求表面销项率而压缩复核质量，也防止少数边界问题在交付后失去跟踪。验收阶段真正成熟的数字化支撑，不是把所有问题都写成已完成，而是让每一项未完成事项也处于可见、可管、可追的状态。</w:t>
      </w:r>
    </w:p>
    <w:p w14:paraId="47A88BA3">
      <w:pPr>
        <w:pStyle w:val="4"/>
        <w:numPr>
          <w:ilvl w:val="0"/>
          <w:numId w:val="0"/>
        </w:numPr>
        <w:topLinePunct w:val="0"/>
        <w:ind w:left="0" w:leftChars="0" w:firstLine="422" w:firstLineChars="0"/>
        <w:rPr>
          <w:b/>
        </w:rPr>
      </w:pPr>
      <w:r>
        <w:rPr>
          <w:rFonts w:hint="eastAsia" w:ascii="黑体" w:hAnsi="黑体" w:eastAsia="黑体" w:cs="黑体"/>
          <w:b/>
          <w:sz w:val="21"/>
        </w:rPr>
        <w:t>三、</w:t>
      </w:r>
      <w:r>
        <w:t>验收资料的联动审查机制</w:t>
      </w:r>
    </w:p>
    <w:p w14:paraId="63EA08C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图纸、实测与验收记录的同源校验</w:t>
      </w:r>
    </w:p>
    <w:p w14:paraId="08B21E60">
      <w:pPr>
        <w:pStyle w:val="11"/>
        <w:rPr>
          <w:rFonts w:ascii="Times New Roman" w:hAnsi="Calibri" w:eastAsia="宋体" w:cs="Times New Roman"/>
          <w:sz w:val="21"/>
        </w:rPr>
      </w:pPr>
      <w:r>
        <w:rPr>
          <w:rFonts w:ascii="Times New Roman" w:hAnsi="Calibri" w:eastAsia="宋体" w:cs="Times New Roman"/>
          <w:sz w:val="21"/>
        </w:rPr>
        <w:t>验收资料之所以需要联动审查，是因为单看任何一类资料都不足以支撑竣工判断。只看竣工图，可能不知道现场是否按图完成；只看实测成果，又未必清楚其对应的设计边界和功能要求；只看验收记录，则容易忽略空间位置和过程变化。联动审查的核心，就是让图纸、实测和验收记录三类成果围绕同一对象互相印证。哪一处完成了，图纸上应有表达；图纸表达了，实测结果应能校验；实测合格了，验收记录和问题销项也应同步闭合。</w:t>
      </w:r>
    </w:p>
    <w:p w14:paraId="02FC9CE9">
      <w:pPr>
        <w:pStyle w:val="11"/>
        <w:rPr>
          <w:rFonts w:ascii="Times New Roman" w:hAnsi="Calibri" w:eastAsia="宋体" w:cs="Times New Roman"/>
          <w:sz w:val="21"/>
        </w:rPr>
      </w:pPr>
      <w:r>
        <w:rPr>
          <w:rFonts w:ascii="Times New Roman" w:hAnsi="Calibri" w:eastAsia="宋体" w:cs="Times New Roman"/>
          <w:sz w:val="21"/>
        </w:rPr>
        <w:t>这种同源校验可以显著提高审查效率。过去验收资料审查往往按资料类别分头进行，建筑口看建筑资料，安装口看安装资料，测量成果另行核对，最终再靠会议对接。问题并不一定出在单类资料内部，而往往出在相互之间的断裂处。通过同源校验，项目部能够更快识别哪些部位图实一致但记录未闭，哪些部位记录完整却缺少空间验证，哪些变更虽已实施却未反映到最终表达成果中。联动审查因此不是多加一道手续，而是在减少后期反复核对的总成本。</w:t>
      </w:r>
    </w:p>
    <w:p w14:paraId="5166612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多专业资料的交叉审查路径</w:t>
      </w:r>
    </w:p>
    <w:p w14:paraId="497A66E6">
      <w:pPr>
        <w:pStyle w:val="11"/>
        <w:rPr>
          <w:rFonts w:ascii="Times New Roman" w:hAnsi="Calibri" w:eastAsia="宋体" w:cs="Times New Roman"/>
          <w:sz w:val="21"/>
        </w:rPr>
      </w:pPr>
      <w:r>
        <w:rPr>
          <w:rFonts w:ascii="Times New Roman" w:hAnsi="Calibri" w:eastAsia="宋体" w:cs="Times New Roman"/>
          <w:sz w:val="21"/>
        </w:rPr>
        <w:t>竣工验收真正复杂的地方，往往不在单专业范围，而在多专业交界部位。设备机房、吊顶内空间、幕墙收口、综合管井、地下室机电走廊和室外综合管网，都属于典型的交叉审查区域。在这些位置，建筑、结构、暖通、电气、给排水、消防甚至智能化资料往往同时发生作用。若仍然按照专业分册各自审完就算完成，最终极易出现单专业都合格、整体使用却存在冲突的局面。</w:t>
      </w:r>
    </w:p>
    <w:p w14:paraId="3FFEFBD3">
      <w:pPr>
        <w:pStyle w:val="11"/>
        <w:rPr>
          <w:rFonts w:ascii="Times New Roman" w:hAnsi="Calibri" w:eastAsia="宋体" w:cs="Times New Roman"/>
          <w:sz w:val="21"/>
        </w:rPr>
      </w:pPr>
      <w:r>
        <w:rPr>
          <w:rFonts w:ascii="Times New Roman" w:hAnsi="Calibri" w:eastAsia="宋体" w:cs="Times New Roman"/>
          <w:sz w:val="21"/>
        </w:rPr>
        <w:t>交叉审查的关键，在于建立以空间单元为核心的联动路径。围绕同一空间，把专业图纸、设备清单、安装记录、调试数据、实测成果和问题整改记录一起调出，再检查它们是否围绕同一对象形成一致表达。这样的路径虽然比传统专业审查更细，但它更接近工程真实状态，也更符合竣工验收对整体可用性的要求。特别是在公共建筑、大型综合体和设备系统复杂项目中，交叉审查往往比单专业审查更能揭示真正影响交付质量的问题。</w:t>
      </w:r>
    </w:p>
    <w:p w14:paraId="3A661B1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联动审查结果的反馈运用</w:t>
      </w:r>
    </w:p>
    <w:p w14:paraId="569DF9CD">
      <w:pPr>
        <w:pStyle w:val="11"/>
        <w:rPr>
          <w:rFonts w:ascii="Times New Roman" w:hAnsi="Calibri" w:eastAsia="宋体" w:cs="Times New Roman"/>
          <w:sz w:val="21"/>
        </w:rPr>
      </w:pPr>
      <w:r>
        <w:rPr>
          <w:rFonts w:ascii="Times New Roman" w:hAnsi="Calibri" w:eastAsia="宋体" w:cs="Times New Roman"/>
          <w:sz w:val="21"/>
        </w:rPr>
        <w:t>联动审查若只停留在发现问题，其价值仍然有限。更重要的是，审查结果应反过来推动资料修正、实体复核和责任再分配。某一部位若图纸更新滞后，就应回到竣工图调整；某一项实测成果与验收结论不一致，就应重新核验实体状态；某一专业资料完整但与其他专业接口冲突，则应将问题重新送回协同整改链。联动审查的真正作用，不只是证明哪些资料有问题，而是把问题准确送回原始形成环节。</w:t>
      </w:r>
    </w:p>
    <w:p w14:paraId="275F3010">
      <w:pPr>
        <w:pStyle w:val="11"/>
        <w:rPr>
          <w:rFonts w:ascii="Times New Roman" w:hAnsi="Calibri" w:eastAsia="宋体" w:cs="Times New Roman"/>
          <w:sz w:val="21"/>
        </w:rPr>
      </w:pPr>
      <w:r>
        <w:rPr>
          <w:rFonts w:ascii="Times New Roman" w:hAnsi="Calibri" w:eastAsia="宋体" w:cs="Times New Roman"/>
          <w:sz w:val="21"/>
        </w:rPr>
        <w:t>这种反馈运用还能帮助项目沉淀更清楚的验收经验。哪些资料最容易断链，哪些部位最容易发生图实不符，哪些交叉专业在收尾阶段最容易形成审查盲区，都可以通过联动审查结果被看见。项目一旦把这些高频问题沉淀下来，后续工程在进入收尾阶段时就能更早设防，验收支撑也会从一次性应对逐渐转向规律化准备。</w:t>
      </w:r>
    </w:p>
    <w:p w14:paraId="5CCA3F7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（四）</w:t>
      </w:r>
      <w:r>
        <w:t>验收支撑现场样本</w:t>
      </w:r>
    </w:p>
    <w:p w14:paraId="41278D68">
      <w:pPr>
        <w:pStyle w:val="11"/>
        <w:rPr>
          <w:rFonts w:ascii="Times New Roman" w:hAnsi="Calibri" w:eastAsia="宋体" w:cs="Times New Roman"/>
          <w:sz w:val="21"/>
        </w:rPr>
      </w:pPr>
      <w:r>
        <w:rPr>
          <w:rFonts w:ascii="Times New Roman" w:hAnsi="Calibri" w:eastAsia="宋体" w:cs="Times New Roman"/>
          <w:sz w:val="21"/>
        </w:rPr>
        <w:t>广州华工国际校区项目——</w:t>
      </w:r>
      <w:r>
        <w:rPr>
          <w:rFonts w:ascii="Times New Roman" w:hAnsi="Times New Roman" w:eastAsia="宋体" w:cs="Times New Roman"/>
          <w:sz w:val="21"/>
        </w:rPr>
        <w:t>BIM</w:t>
      </w:r>
      <w:r>
        <w:rPr>
          <w:rFonts w:ascii="Times New Roman" w:hAnsi="Calibri" w:eastAsia="宋体" w:cs="Times New Roman"/>
          <w:sz w:val="21"/>
        </w:rPr>
        <w:t>竣工模型与图纸联动审查，较能说明验收资料联动审查的现实方向。该项目在竣工阶段将竣工验收模型与竣工图纸实现对应关联，验收人员可以按分部分项查看模型所挂接的验收资料；同时通过施工图模型与竣工模型的对比，自动标记发生变化的部位，直接定位差异位置，再结合质量安全和文明施工监管过程数据，推动消防验收、人防验收等环节的信息共享。其审查方式已经不再是简单翻阅资料，而是把模型、图纸、过程数据和专项验收需求放进同一审查界面中。该项目实现了对</w:t>
      </w:r>
      <w:r>
        <w:rPr>
          <w:rFonts w:ascii="Times New Roman" w:hAnsi="Times New Roman" w:eastAsia="宋体" w:cs="Times New Roman"/>
          <w:sz w:val="21"/>
        </w:rPr>
        <w:t>247</w:t>
      </w:r>
      <w:r>
        <w:rPr>
          <w:rFonts w:ascii="Times New Roman" w:hAnsi="Calibri" w:eastAsia="宋体" w:cs="Times New Roman"/>
          <w:sz w:val="21"/>
        </w:rPr>
        <w:t>条国家规范标准条文的计算机辅助审查，审查出的问题构件可自动定位并查看分析结果，审查效率提升</w:t>
      </w:r>
      <w:r>
        <w:rPr>
          <w:rFonts w:ascii="Times New Roman" w:hAnsi="Times New Roman" w:eastAsia="宋体" w:cs="Times New Roman"/>
          <w:sz w:val="21"/>
        </w:rPr>
        <w:t>30</w:t>
      </w:r>
      <w:r>
        <w:rPr>
          <w:rFonts w:ascii="Times New Roman" w:hAnsi="Calibri" w:eastAsia="宋体" w:cs="Times New Roman"/>
          <w:sz w:val="21"/>
        </w:rPr>
        <w:t>%，因设计问题引起的变更较上期工程减少</w:t>
      </w:r>
      <w:r>
        <w:rPr>
          <w:rFonts w:ascii="Times New Roman" w:hAnsi="Times New Roman" w:eastAsia="宋体" w:cs="Times New Roman"/>
          <w:sz w:val="21"/>
        </w:rPr>
        <w:t>85</w:t>
      </w:r>
      <w:r>
        <w:rPr>
          <w:rFonts w:ascii="Times New Roman" w:hAnsi="Calibri" w:eastAsia="宋体" w:cs="Times New Roman"/>
          <w:sz w:val="21"/>
        </w:rPr>
        <w:t>%。这类做法的启发在于，联动审查机制一旦建立，验收就不再只是核文件是否齐全，而是核对象是否一致、变化是否可见、问题是否可追。</w:t>
      </w:r>
    </w:p>
    <w:p w14:paraId="05C9FDA0">
      <w:pPr>
        <w:pStyle w:val="11"/>
        <w:rPr>
          <w:rFonts w:ascii="Times New Roman" w:hAnsi="Calibri" w:eastAsia="宋体" w:cs="Times New Roman"/>
          <w:sz w:val="21"/>
        </w:rPr>
      </w:pPr>
      <w:r>
        <w:rPr>
          <w:rFonts w:ascii="Times New Roman" w:hAnsi="Calibri" w:eastAsia="宋体" w:cs="Times New Roman"/>
          <w:sz w:val="21"/>
        </w:rPr>
        <w:t>深圳金洋广场项目——原生电子文件全流程归档，则从另一侧说明了联动审查机制对验收资料质量的支撑。该项目通过技术资料统一用表平台与工程电子档案系统的数据集成，实现资料编制、签批、签章、存储、管理和归档的全流程信息化，并将电子档案与工程进度、工程质量和竣工图在线生成过程协同起来。项目累计形成原生电子文件</w:t>
      </w:r>
      <w:r>
        <w:rPr>
          <w:rFonts w:ascii="Times New Roman" w:hAnsi="Times New Roman" w:eastAsia="宋体" w:cs="Times New Roman"/>
          <w:sz w:val="21"/>
        </w:rPr>
        <w:t>13675</w:t>
      </w:r>
      <w:r>
        <w:rPr>
          <w:rFonts w:ascii="Times New Roman" w:hAnsi="Calibri" w:eastAsia="宋体" w:cs="Times New Roman"/>
          <w:sz w:val="21"/>
        </w:rPr>
        <w:t>件、幕墙专业原生电子竣工图</w:t>
      </w:r>
      <w:r>
        <w:rPr>
          <w:rFonts w:ascii="Times New Roman" w:hAnsi="Times New Roman" w:eastAsia="宋体" w:cs="Times New Roman"/>
          <w:sz w:val="21"/>
        </w:rPr>
        <w:t>369</w:t>
      </w:r>
      <w:r>
        <w:rPr>
          <w:rFonts w:ascii="Times New Roman" w:hAnsi="Calibri" w:eastAsia="宋体" w:cs="Times New Roman"/>
          <w:sz w:val="21"/>
        </w:rPr>
        <w:t>张、检测中心官方原生电子检测报告</w:t>
      </w:r>
      <w:r>
        <w:rPr>
          <w:rFonts w:ascii="Times New Roman" w:hAnsi="Times New Roman" w:eastAsia="宋体" w:cs="Times New Roman"/>
          <w:sz w:val="21"/>
        </w:rPr>
        <w:t>7</w:t>
      </w:r>
      <w:r>
        <w:rPr>
          <w:rFonts w:ascii="Times New Roman" w:hAnsi="Calibri" w:eastAsia="宋体" w:cs="Times New Roman"/>
          <w:sz w:val="21"/>
        </w:rPr>
        <w:t>份、多媒体文件</w:t>
      </w:r>
      <w:r>
        <w:rPr>
          <w:rFonts w:ascii="Times New Roman" w:hAnsi="Times New Roman" w:eastAsia="宋体" w:cs="Times New Roman"/>
          <w:sz w:val="21"/>
        </w:rPr>
        <w:t>2400</w:t>
      </w:r>
      <w:r>
        <w:rPr>
          <w:rFonts w:ascii="Times New Roman" w:hAnsi="Calibri" w:eastAsia="宋体" w:cs="Times New Roman"/>
          <w:sz w:val="21"/>
        </w:rPr>
        <w:t>多组，原生电子文件归档率达到</w:t>
      </w:r>
      <w:r>
        <w:rPr>
          <w:rFonts w:ascii="Times New Roman" w:hAnsi="Times New Roman" w:eastAsia="宋体" w:cs="Times New Roman"/>
          <w:sz w:val="21"/>
        </w:rPr>
        <w:t>75</w:t>
      </w:r>
      <w:r>
        <w:rPr>
          <w:rFonts w:ascii="Times New Roman" w:hAnsi="Calibri" w:eastAsia="宋体" w:cs="Times New Roman"/>
          <w:sz w:val="21"/>
        </w:rPr>
        <w:t>%以上。这样的样本表明，验收资料联动审查并不只依赖某一项模型技术，也可以建立在原生电子文件连续形成的基础上。当前不少项目验收困难，并不是因为资料少，而是因为资料形成与业务运行脱节，到了联审阶段才重新拼接。若文件从形成起就与进度、质量、图纸更新和归档要求同步联动，验收审查的重点就会从补资料转向核一致，从找文件转向查逻辑。</w:t>
      </w:r>
    </w:p>
    <w:p w14:paraId="73FB1488">
      <w:pPr>
        <w:pStyle w:val="3"/>
        <w:numPr>
          <w:ilvl w:val="0"/>
          <w:numId w:val="0"/>
        </w:numPr>
        <w:ind w:left="0" w:leftChars="0" w:firstLine="0" w:firstLineChars="0"/>
        <w:rPr>
          <w:b/>
        </w:rPr>
      </w:pPr>
      <w:bookmarkStart w:id="45" w:name="_Toc1218"/>
      <w:r>
        <w:rPr>
          <w:rFonts w:hint="eastAsia" w:ascii="宋体" w:hAnsi="宋体" w:eastAsia="黑体" w:cs="宋体"/>
          <w:b/>
          <w:bCs/>
          <w:kern w:val="44"/>
          <w:sz w:val="30"/>
          <w:szCs w:val="30"/>
        </w:rPr>
        <w:t>第三节</w:t>
      </w:r>
      <w:r>
        <w:rPr>
          <w:rFonts w:hint="eastAsia" w:cs="宋体"/>
          <w:b/>
          <w:bCs/>
          <w:kern w:val="44"/>
          <w:sz w:val="30"/>
          <w:szCs w:val="30"/>
          <w:lang w:val="en-US" w:eastAsia="zh-CN"/>
        </w:rPr>
        <w:t xml:space="preserve"> </w:t>
      </w:r>
      <w:r>
        <w:t>智慧工地监管评价体系</w:t>
      </w:r>
      <w:bookmarkEnd w:id="45"/>
    </w:p>
    <w:p w14:paraId="30507B10">
      <w:pPr>
        <w:pStyle w:val="4"/>
        <w:numPr>
          <w:ilvl w:val="0"/>
          <w:numId w:val="0"/>
        </w:numPr>
        <w:topLinePunct w:val="0"/>
        <w:ind w:left="0" w:leftChars="0" w:firstLine="422" w:firstLineChars="0"/>
        <w:rPr>
          <w:b/>
        </w:rPr>
      </w:pPr>
      <w:r>
        <w:rPr>
          <w:rFonts w:hint="eastAsia" w:ascii="黑体" w:hAnsi="黑体" w:eastAsia="黑体" w:cs="黑体"/>
          <w:b/>
          <w:sz w:val="21"/>
        </w:rPr>
        <w:t>一、</w:t>
      </w:r>
      <w:r>
        <w:t>监管指标体系的构建原则</w:t>
      </w:r>
    </w:p>
    <w:p w14:paraId="448667D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指标科学性原则</w:t>
      </w:r>
    </w:p>
    <w:p w14:paraId="25E7FD26">
      <w:pPr>
        <w:pStyle w:val="11"/>
        <w:rPr>
          <w:rFonts w:ascii="Times New Roman" w:hAnsi="Calibri" w:eastAsia="宋体" w:cs="Times New Roman"/>
          <w:sz w:val="21"/>
        </w:rPr>
      </w:pPr>
      <w:r>
        <w:rPr>
          <w:rFonts w:ascii="Times New Roman" w:hAnsi="Calibri" w:eastAsia="宋体" w:cs="Times New Roman"/>
          <w:sz w:val="21"/>
        </w:rPr>
        <w:t>智慧工地进入监管评价阶段后，最需要避免的偏差，并不是指标数量不足，而是指标与治理目标错位。若指标只是为了凑齐表格、满足检查或追求平台展示丰富度，评价结果往往难以进入项目管理与区域监管的真实决策过程。监管指标体系首先应服从工程治理规律，能够准确反映质量、安全、文明施工、过程协同和数据应用的真实状态。换句话说，指标不是为了证明项目</w:t>
      </w:r>
      <w:r>
        <w:rPr>
          <w:rFonts w:hint="eastAsia" w:ascii="Times New Roman" w:hAnsi="Times New Roman" w:eastAsia="宋体" w:cs="Times New Roman"/>
          <w:sz w:val="21"/>
          <w:lang w:eastAsia="zh-CN"/>
        </w:rPr>
        <w:t>“</w:t>
      </w:r>
      <w:r>
        <w:rPr>
          <w:rFonts w:ascii="Times New Roman" w:hAnsi="Calibri" w:eastAsia="宋体" w:cs="Times New Roman"/>
          <w:sz w:val="21"/>
        </w:rPr>
        <w:t>做了数字化</w:t>
      </w:r>
      <w:r>
        <w:rPr>
          <w:rFonts w:hint="eastAsia" w:ascii="Times New Roman" w:hAnsi="Times New Roman" w:eastAsia="宋体" w:cs="Times New Roman"/>
          <w:sz w:val="21"/>
          <w:lang w:eastAsia="zh-CN"/>
        </w:rPr>
        <w:t>”</w:t>
      </w:r>
      <w:r>
        <w:rPr>
          <w:rFonts w:ascii="Times New Roman" w:hAnsi="Calibri" w:eastAsia="宋体" w:cs="Times New Roman"/>
          <w:sz w:val="21"/>
        </w:rPr>
        <w:t>，而是为了判断数字化是否真的改善了现场控制能力、风险识别能力和责任落实能力。</w:t>
      </w:r>
    </w:p>
    <w:p w14:paraId="7DB83512">
      <w:pPr>
        <w:pStyle w:val="11"/>
        <w:rPr>
          <w:rFonts w:ascii="Times New Roman" w:hAnsi="Calibri" w:eastAsia="宋体" w:cs="Times New Roman"/>
          <w:sz w:val="21"/>
        </w:rPr>
      </w:pPr>
      <w:r>
        <w:rPr>
          <w:rFonts w:ascii="Times New Roman" w:hAnsi="Calibri" w:eastAsia="宋体" w:cs="Times New Roman"/>
          <w:sz w:val="21"/>
        </w:rPr>
        <w:t>科学性的核心，在于指标应同时具备可定义、可采集、可比较和可解释四个条件。可定义，意味着每一项指标都有清楚边界，知道测的是什么，不与其他指标交叉混淆；可采集，意味着指标所需数据能够稳定获得，而不是依赖临时补录；可比较，意味着不同项目、不同阶段、不同责任主体之间能够在统一口径下横向和纵向分析；可解释，则意味着数值变化能够回到业务过程，说明问题究竟出在哪里。若缺少这四个条件，指标就容易沦为形式化数字，不仅难以支撑监管，反而可能制造新的误判。</w:t>
      </w:r>
    </w:p>
    <w:p w14:paraId="1214983E">
      <w:pPr>
        <w:pStyle w:val="11"/>
        <w:rPr>
          <w:rFonts w:ascii="Times New Roman" w:hAnsi="Calibri" w:eastAsia="宋体" w:cs="Times New Roman"/>
          <w:sz w:val="21"/>
        </w:rPr>
      </w:pPr>
      <w:r>
        <w:rPr>
          <w:rFonts w:ascii="Times New Roman" w:hAnsi="Calibri" w:eastAsia="宋体" w:cs="Times New Roman"/>
          <w:sz w:val="21"/>
        </w:rPr>
        <w:t>智慧工地监管评价还要防止技术偏见。现实中有一种倾向，认为终端越多、模块越全、数据量越大，评价就越高。这样的思路并不稳妥。监管关注的重点不应是技术堆叠本身，而是技术是否转化为治理成效。一个项目即使系统配置并不复杂，只要问题发现更及时、整改闭环更完整、过程留痕更连续、现场风险更可控，其监管价值就可能高于那些界面丰富却使用浅表的项目。指标体系的科学性，正在于把注意力从</w:t>
      </w:r>
      <w:r>
        <w:rPr>
          <w:rFonts w:hint="eastAsia" w:ascii="Times New Roman" w:hAnsi="Times New Roman" w:eastAsia="宋体" w:cs="Times New Roman"/>
          <w:sz w:val="21"/>
          <w:lang w:eastAsia="zh-CN"/>
        </w:rPr>
        <w:t>“</w:t>
      </w:r>
      <w:r>
        <w:rPr>
          <w:rFonts w:ascii="Times New Roman" w:hAnsi="Calibri" w:eastAsia="宋体" w:cs="Times New Roman"/>
          <w:sz w:val="21"/>
        </w:rPr>
        <w:t>配置了什么</w:t>
      </w:r>
      <w:r>
        <w:rPr>
          <w:rFonts w:hint="eastAsia" w:ascii="Times New Roman" w:hAnsi="Times New Roman" w:eastAsia="宋体" w:cs="Times New Roman"/>
          <w:sz w:val="21"/>
          <w:lang w:eastAsia="zh-CN"/>
        </w:rPr>
        <w:t>”</w:t>
      </w:r>
      <w:r>
        <w:rPr>
          <w:rFonts w:ascii="Times New Roman" w:hAnsi="Calibri" w:eastAsia="宋体" w:cs="Times New Roman"/>
          <w:sz w:val="21"/>
        </w:rPr>
        <w:t>引向</w:t>
      </w:r>
      <w:r>
        <w:rPr>
          <w:rFonts w:hint="eastAsia" w:ascii="Times New Roman" w:hAnsi="Times New Roman" w:eastAsia="宋体" w:cs="Times New Roman"/>
          <w:sz w:val="21"/>
          <w:lang w:eastAsia="zh-CN"/>
        </w:rPr>
        <w:t>“</w:t>
      </w:r>
      <w:r>
        <w:rPr>
          <w:rFonts w:ascii="Times New Roman" w:hAnsi="Calibri" w:eastAsia="宋体" w:cs="Times New Roman"/>
          <w:sz w:val="21"/>
        </w:rPr>
        <w:t>解决了什么</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3F4EB58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指标层级性原则</w:t>
      </w:r>
    </w:p>
    <w:p w14:paraId="19F88B08">
      <w:pPr>
        <w:pStyle w:val="11"/>
        <w:rPr>
          <w:rFonts w:ascii="Times New Roman" w:hAnsi="Calibri" w:eastAsia="宋体" w:cs="Times New Roman"/>
          <w:sz w:val="21"/>
        </w:rPr>
      </w:pPr>
      <w:r>
        <w:rPr>
          <w:rFonts w:ascii="Times New Roman" w:hAnsi="Calibri" w:eastAsia="宋体" w:cs="Times New Roman"/>
          <w:sz w:val="21"/>
        </w:rPr>
        <w:t>监管评价若想真正服务项目治理，就不能把所有指标平铺展开。智慧工地涉及平台运行、现场采集、业务执行、风险控制、成果应用等多个层面，不同层面的指标作用不同，若全部放在同一层级使用，评价结果很容易失真。较为合理的方式，是建立基础层、过程层和结果层相互衔接的指标结构。基础层用于考察制度规则、数据底座、终端接入和平台运行等前置条件；过程层用于反映巡检、验收、预警、整改、协同和资料留痕等关键业务执行状态；结果层则用于判断质量安全文明表现、信用状态和项目绩效改进情况。</w:t>
      </w:r>
    </w:p>
    <w:p w14:paraId="48F6214D">
      <w:pPr>
        <w:pStyle w:val="11"/>
        <w:rPr>
          <w:rFonts w:ascii="Times New Roman" w:hAnsi="Calibri" w:eastAsia="宋体" w:cs="Times New Roman"/>
          <w:sz w:val="21"/>
        </w:rPr>
      </w:pPr>
      <w:r>
        <w:rPr>
          <w:rFonts w:ascii="Times New Roman" w:hAnsi="Calibri" w:eastAsia="宋体" w:cs="Times New Roman"/>
          <w:sz w:val="21"/>
        </w:rPr>
        <w:t>层级化表达的意义，在于避免把最终结果简单归因于某一单点环节。一个项目质量问题反复出现，可能并非施工粗糙本身造成，而是过程巡检、隐蔽留痕和整改复核都存在断点；一个项目文明施工评价偏低，也未必只是现场保洁不到位，而可能与环境监测布点、责任划分和联动响应不充分有关。若没有层级指标，监管部门看到的往往只是末端结果，项目部也难以准确找到症结。层级体系一旦建立，监管评价就不再只是打分排序，而开始具备诊断功能。</w:t>
      </w:r>
    </w:p>
    <w:p w14:paraId="3C55187E">
      <w:pPr>
        <w:pStyle w:val="11"/>
        <w:rPr>
          <w:rFonts w:ascii="Times New Roman" w:hAnsi="Calibri" w:eastAsia="宋体" w:cs="Times New Roman"/>
          <w:sz w:val="21"/>
        </w:rPr>
      </w:pPr>
      <w:r>
        <w:rPr>
          <w:rFonts w:ascii="Times New Roman" w:hAnsi="Calibri" w:eastAsia="宋体" w:cs="Times New Roman"/>
          <w:sz w:val="21"/>
        </w:rPr>
        <w:t>这一原则还有助于兼顾不同管理主体的使用需求。企业管理层更关注结果层与趋势层，项目管理层更关注过程层与问题层，监管部门则需要基础层、过程层和结果层综合判断。指标一旦具备层级结构，不同主体便可以围绕同一体系从不同深度读取信息，评价体系的适用范围也会明显扩大。</w:t>
      </w:r>
    </w:p>
    <w:p w14:paraId="7ECFC6D1">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指标适用性原则</w:t>
      </w:r>
    </w:p>
    <w:p w14:paraId="4D7D1E0E">
      <w:pPr>
        <w:pStyle w:val="11"/>
        <w:rPr>
          <w:rFonts w:ascii="Times New Roman" w:hAnsi="Calibri" w:eastAsia="宋体" w:cs="Times New Roman"/>
          <w:sz w:val="21"/>
        </w:rPr>
      </w:pPr>
      <w:r>
        <w:rPr>
          <w:rFonts w:ascii="Times New Roman" w:hAnsi="Calibri" w:eastAsia="宋体" w:cs="Times New Roman"/>
          <w:sz w:val="21"/>
        </w:rPr>
        <w:t>智慧工地评价不能脱离项目类型与实施阶段谈统一尺度。高层住宅、医院、学校、产业园、市政配套、古建修复和政府投资项目在管理重点上差异明显，若用完全一致的指标权重评价，结果往往只能反映形式差异，难以反映治理实效。适用性原则强调的，不是取消统一指标，而是在统一框架下保留场景差异。基础合规项、数据规则项和平台运行项可以相对统一，进度穿透、专项风险、环境联动、资料追溯和多方协同等指标则应根据项目类型适当调整比重。</w:t>
      </w:r>
    </w:p>
    <w:p w14:paraId="3660F178">
      <w:pPr>
        <w:pStyle w:val="11"/>
        <w:rPr>
          <w:rFonts w:ascii="Times New Roman" w:hAnsi="Calibri" w:eastAsia="宋体" w:cs="Times New Roman"/>
          <w:sz w:val="21"/>
        </w:rPr>
      </w:pPr>
      <w:r>
        <w:rPr>
          <w:rFonts w:ascii="Times New Roman" w:hAnsi="Calibri" w:eastAsia="宋体" w:cs="Times New Roman"/>
          <w:sz w:val="21"/>
        </w:rPr>
        <w:t>适用性还体现在项目阶段差异上。开工初期更适合关注建档完整性、终端上线率、制度准备和流程启动情况；主体施工阶段更应重视进度控制、质量巡检、安全预警和资源协同；收尾交付阶段则应强化资料归集、整改销项、验收支撑和交付追溯。如果不考虑阶段差异，评价就容易出现前松后紧或前重后虚的问题，使项目部把大量精力放在迎评而非治理上。</w:t>
      </w:r>
    </w:p>
    <w:p w14:paraId="3A2AF40F">
      <w:pPr>
        <w:pStyle w:val="11"/>
        <w:rPr>
          <w:rFonts w:ascii="Times New Roman" w:hAnsi="Calibri" w:eastAsia="宋体" w:cs="Times New Roman"/>
          <w:sz w:val="21"/>
        </w:rPr>
      </w:pPr>
      <w:r>
        <w:rPr>
          <w:rFonts w:ascii="Times New Roman" w:hAnsi="Calibri" w:eastAsia="宋体" w:cs="Times New Roman"/>
          <w:sz w:val="21"/>
        </w:rPr>
        <w:t>更深一层看，适用性原则实际上是在防止监管评价成为单一模板。真正成熟的评价体系，不是让所有项目都长成一个样子，而是让不同项目都能够在同一治理逻辑下被公平衡量。这样形成的指标体系才既有统一性，又保留工程实践的真实差异。</w:t>
      </w:r>
    </w:p>
    <w:p w14:paraId="61B119AD">
      <w:pPr>
        <w:pStyle w:val="4"/>
        <w:numPr>
          <w:ilvl w:val="0"/>
          <w:numId w:val="0"/>
        </w:numPr>
        <w:topLinePunct w:val="0"/>
        <w:ind w:left="0" w:leftChars="0" w:firstLine="422" w:firstLineChars="0"/>
        <w:rPr>
          <w:b/>
        </w:rPr>
      </w:pPr>
      <w:r>
        <w:rPr>
          <w:rFonts w:hint="eastAsia" w:ascii="黑体" w:hAnsi="黑体" w:eastAsia="黑体" w:cs="黑体"/>
          <w:b/>
          <w:sz w:val="21"/>
        </w:rPr>
        <w:t>二、</w:t>
      </w:r>
      <w:r>
        <w:t>质量安全文明标准化评价方法</w:t>
      </w:r>
    </w:p>
    <w:p w14:paraId="6534EE5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评价维度划分</w:t>
      </w:r>
    </w:p>
    <w:p w14:paraId="67B1E76E">
      <w:pPr>
        <w:pStyle w:val="11"/>
        <w:rPr>
          <w:rFonts w:ascii="Times New Roman" w:hAnsi="Calibri" w:eastAsia="宋体" w:cs="Times New Roman"/>
          <w:sz w:val="21"/>
        </w:rPr>
      </w:pPr>
      <w:r>
        <w:rPr>
          <w:rFonts w:ascii="Times New Roman" w:hAnsi="Calibri" w:eastAsia="宋体" w:cs="Times New Roman"/>
          <w:sz w:val="21"/>
        </w:rPr>
        <w:t>质量、安全和文明施工长期以来都是工程监管的核心内容，智慧工地评价体系若不能与这三类内容建立稳定联系，就很难体现自身的治理价值。但在数字化条件下，质量安全文明标准化评价不应再只停留在传统检查表逻辑上，而应形成更贴近过程控制的多维表达。质量评价不只是看最终观感和验收结果，还要看巡检频率、隐蔽工程留痕、问题闭环时效和关键节点复核情况；安全评价不只是看制度是否上墙和防护是否设置，还要看风险辨识、预警响应、危大工程监测和事件处置链条是否真正运行；文明施工评价则不能只围绕场容场貌，而要把扬尘噪声监测、运输组织、现场保洁、材料堆放和环境联动控制纳入统一判断。</w:t>
      </w:r>
    </w:p>
    <w:p w14:paraId="5C828E06">
      <w:pPr>
        <w:pStyle w:val="11"/>
        <w:rPr>
          <w:rFonts w:ascii="Times New Roman" w:hAnsi="Calibri" w:eastAsia="宋体" w:cs="Times New Roman"/>
          <w:sz w:val="21"/>
        </w:rPr>
      </w:pPr>
      <w:r>
        <w:rPr>
          <w:rFonts w:ascii="Times New Roman" w:hAnsi="Calibri" w:eastAsia="宋体" w:cs="Times New Roman"/>
          <w:sz w:val="21"/>
        </w:rPr>
        <w:t>这样的维度划分，能够使监管评价从结果检查走向过程检查。传统标准化评价往往较重终点状态，而智慧工地评价更适合观察</w:t>
      </w:r>
      <w:r>
        <w:rPr>
          <w:rFonts w:hint="eastAsia" w:ascii="Times New Roman" w:hAnsi="Times New Roman" w:eastAsia="宋体" w:cs="Times New Roman"/>
          <w:sz w:val="21"/>
          <w:lang w:eastAsia="zh-CN"/>
        </w:rPr>
        <w:t>“</w:t>
      </w:r>
      <w:r>
        <w:rPr>
          <w:rFonts w:ascii="Times New Roman" w:hAnsi="Calibri" w:eastAsia="宋体" w:cs="Times New Roman"/>
          <w:sz w:val="21"/>
        </w:rPr>
        <w:t>项目是如何达到这一状态的</w:t>
      </w:r>
      <w:r>
        <w:rPr>
          <w:rFonts w:hint="eastAsia" w:ascii="Times New Roman" w:hAnsi="Times New Roman" w:eastAsia="宋体" w:cs="Times New Roman"/>
          <w:sz w:val="21"/>
          <w:lang w:eastAsia="zh-CN"/>
        </w:rPr>
        <w:t>”</w:t>
      </w:r>
      <w:r>
        <w:rPr>
          <w:rFonts w:ascii="Times New Roman" w:hAnsi="Calibri" w:eastAsia="宋体" w:cs="Times New Roman"/>
          <w:sz w:val="21"/>
        </w:rPr>
        <w:t>。同样一个整洁的现场，有的项目依赖集中突击整理，有的项目则依赖长期稳定的数字化联动和责任约束，二者在治理质量上并不相同。通过维度细分，评价体系可以更准确地区分表层达标与过程受控之间的差异。</w:t>
      </w:r>
    </w:p>
    <w:p w14:paraId="73B6A5C0">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评价数据来源与证据基础</w:t>
      </w:r>
    </w:p>
    <w:p w14:paraId="0695F290">
      <w:pPr>
        <w:pStyle w:val="11"/>
        <w:rPr>
          <w:rFonts w:ascii="Times New Roman" w:hAnsi="Calibri" w:eastAsia="宋体" w:cs="Times New Roman"/>
          <w:sz w:val="21"/>
        </w:rPr>
      </w:pPr>
      <w:r>
        <w:rPr>
          <w:rFonts w:ascii="Times New Roman" w:hAnsi="Calibri" w:eastAsia="宋体" w:cs="Times New Roman"/>
          <w:sz w:val="21"/>
        </w:rPr>
        <w:t>数字化监管评价与传统检查模式的一个根本区别，在于它更加依赖多源数据形成证据基础。人工检查结论仍然重要，但已不再是唯一依据。视频识别结果、环境监测数据、人员定位轨迹、设备运行状态、巡检记录、整改销项记录、实测成果和验收资料，都可以进入质量安全文明标准化评价链条。关键不在于把所有数据都堆进评价系统，而在于让每类数据各自承担适合的证明任务。环境监测更适合支撑文明施工评价，危大工程监测和隐患整改更适合支撑安全评价，实测实量、隐蔽留痕和验收链条则更适合支撑质量评价。</w:t>
      </w:r>
    </w:p>
    <w:p w14:paraId="6B6ECCC8">
      <w:pPr>
        <w:pStyle w:val="11"/>
        <w:rPr>
          <w:rFonts w:ascii="Times New Roman" w:hAnsi="Calibri" w:eastAsia="宋体" w:cs="Times New Roman"/>
          <w:sz w:val="21"/>
        </w:rPr>
      </w:pPr>
      <w:r>
        <w:rPr>
          <w:rFonts w:ascii="Times New Roman" w:hAnsi="Calibri" w:eastAsia="宋体" w:cs="Times New Roman"/>
          <w:sz w:val="21"/>
        </w:rPr>
        <w:t>证据基础一旦多元化，评价就不再主要依赖现场某一时点的观察结果，而能够建立在较长时间段内的连续事实之上。这一点非常关键。因为施工现场的许多标准化表现具有波动性，短时突击整治可以改善表面状态，却难以伪装长期运行质量。数字化证据能够更好地反映项目平时是否稳定受控，也更有利于把监管注意力从</w:t>
      </w:r>
      <w:r>
        <w:rPr>
          <w:rFonts w:hint="eastAsia" w:ascii="Times New Roman" w:hAnsi="Times New Roman" w:eastAsia="宋体" w:cs="Times New Roman"/>
          <w:sz w:val="21"/>
          <w:lang w:eastAsia="zh-CN"/>
        </w:rPr>
        <w:t>“</w:t>
      </w:r>
      <w:r>
        <w:rPr>
          <w:rFonts w:ascii="Times New Roman" w:hAnsi="Calibri" w:eastAsia="宋体" w:cs="Times New Roman"/>
          <w:sz w:val="21"/>
        </w:rPr>
        <w:t>看一天现场</w:t>
      </w:r>
      <w:r>
        <w:rPr>
          <w:rFonts w:hint="eastAsia" w:ascii="Times New Roman" w:hAnsi="Times New Roman" w:eastAsia="宋体" w:cs="Times New Roman"/>
          <w:sz w:val="21"/>
          <w:lang w:eastAsia="zh-CN"/>
        </w:rPr>
        <w:t>”</w:t>
      </w:r>
      <w:r>
        <w:rPr>
          <w:rFonts w:ascii="Times New Roman" w:hAnsi="Calibri" w:eastAsia="宋体" w:cs="Times New Roman"/>
          <w:sz w:val="21"/>
        </w:rPr>
        <w:t>转向</w:t>
      </w:r>
      <w:r>
        <w:rPr>
          <w:rFonts w:hint="eastAsia" w:ascii="Times New Roman" w:hAnsi="Times New Roman" w:eastAsia="宋体" w:cs="Times New Roman"/>
          <w:sz w:val="21"/>
          <w:lang w:eastAsia="zh-CN"/>
        </w:rPr>
        <w:t>“</w:t>
      </w:r>
      <w:r>
        <w:rPr>
          <w:rFonts w:ascii="Times New Roman" w:hAnsi="Calibri" w:eastAsia="宋体" w:cs="Times New Roman"/>
          <w:sz w:val="21"/>
        </w:rPr>
        <w:t>看一个时期的治理能力</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50C7DE2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评价方法与分值表达</w:t>
      </w:r>
    </w:p>
    <w:p w14:paraId="217E99E7">
      <w:pPr>
        <w:pStyle w:val="11"/>
        <w:rPr>
          <w:rFonts w:ascii="Times New Roman" w:hAnsi="Calibri" w:eastAsia="宋体" w:cs="Times New Roman"/>
          <w:sz w:val="21"/>
        </w:rPr>
      </w:pPr>
      <w:r>
        <w:rPr>
          <w:rFonts w:ascii="Times New Roman" w:hAnsi="Calibri" w:eastAsia="宋体" w:cs="Times New Roman"/>
          <w:sz w:val="21"/>
        </w:rPr>
        <w:t>质量安全文明标准化评价的方法，不宜把所有内容都转化为刚性分值，也不能完全依赖主观判断。较合理的方式，是把定量评价与定性评价结合起来。可量化的事项，如预警响应时长、问题整改闭环率、隐蔽工程留痕完整度、环境监测达标率、危大工程旁站记录覆盖率等，可采用定量方式表达；需要结合现场情境判断的事项，如文明施工整体秩序、交叉作业组织合理性、重点区域风险控制状态等，则更适合采用定性与分级结合的评价方法。</w:t>
      </w:r>
    </w:p>
    <w:p w14:paraId="0A1B4ABB">
      <w:pPr>
        <w:pStyle w:val="11"/>
        <w:rPr>
          <w:rFonts w:ascii="Times New Roman" w:hAnsi="Calibri" w:eastAsia="宋体" w:cs="Times New Roman"/>
          <w:sz w:val="21"/>
        </w:rPr>
      </w:pPr>
      <w:r>
        <w:rPr>
          <w:rFonts w:ascii="Times New Roman" w:hAnsi="Calibri" w:eastAsia="宋体" w:cs="Times New Roman"/>
          <w:sz w:val="21"/>
        </w:rPr>
        <w:t>分值表达不应只服务排名，还应服务问题识别。一个成熟的评价体系，既能说明项目总分高低，也能明确分数是在哪些维度失去的。这样，项目部看到的不只是</w:t>
      </w:r>
      <w:r>
        <w:rPr>
          <w:rFonts w:hint="eastAsia" w:ascii="Times New Roman" w:hAnsi="Times New Roman" w:eastAsia="宋体" w:cs="Times New Roman"/>
          <w:sz w:val="21"/>
          <w:lang w:eastAsia="zh-CN"/>
        </w:rPr>
        <w:t>“</w:t>
      </w:r>
      <w:r>
        <w:rPr>
          <w:rFonts w:ascii="Times New Roman" w:hAnsi="Calibri" w:eastAsia="宋体" w:cs="Times New Roman"/>
          <w:sz w:val="21"/>
        </w:rPr>
        <w:t>分低了</w:t>
      </w:r>
      <w:r>
        <w:rPr>
          <w:rFonts w:hint="eastAsia" w:ascii="Times New Roman" w:hAnsi="Times New Roman" w:eastAsia="宋体" w:cs="Times New Roman"/>
          <w:sz w:val="21"/>
          <w:lang w:eastAsia="zh-CN"/>
        </w:rPr>
        <w:t>”</w:t>
      </w:r>
      <w:r>
        <w:rPr>
          <w:rFonts w:ascii="Times New Roman" w:hAnsi="Calibri" w:eastAsia="宋体" w:cs="Times New Roman"/>
          <w:sz w:val="21"/>
        </w:rPr>
        <w:t>，而是</w:t>
      </w:r>
      <w:r>
        <w:rPr>
          <w:rFonts w:hint="eastAsia" w:ascii="Times New Roman" w:hAnsi="Times New Roman" w:eastAsia="宋体" w:cs="Times New Roman"/>
          <w:sz w:val="21"/>
          <w:lang w:eastAsia="zh-CN"/>
        </w:rPr>
        <w:t>“</w:t>
      </w:r>
      <w:r>
        <w:rPr>
          <w:rFonts w:ascii="Times New Roman" w:hAnsi="Calibri" w:eastAsia="宋体" w:cs="Times New Roman"/>
          <w:sz w:val="21"/>
        </w:rPr>
        <w:t>哪一类治理能力薄弱</w:t>
      </w:r>
      <w:r>
        <w:rPr>
          <w:rFonts w:hint="eastAsia" w:ascii="Times New Roman" w:hAnsi="Times New Roman" w:eastAsia="宋体" w:cs="Times New Roman"/>
          <w:sz w:val="21"/>
          <w:lang w:eastAsia="zh-CN"/>
        </w:rPr>
        <w:t>”</w:t>
      </w:r>
      <w:r>
        <w:rPr>
          <w:rFonts w:ascii="Times New Roman" w:hAnsi="Calibri" w:eastAsia="宋体" w:cs="Times New Roman"/>
          <w:sz w:val="21"/>
        </w:rPr>
        <w:t>。监管评价真正有价值的地方，不是给项目贴标签，而是让项目知道自己应当优先改什么、为什么改、改到什么程度才算有效。</w:t>
      </w:r>
    </w:p>
    <w:p w14:paraId="785B8420">
      <w:pPr>
        <w:pStyle w:val="4"/>
        <w:numPr>
          <w:ilvl w:val="0"/>
          <w:numId w:val="0"/>
        </w:numPr>
        <w:topLinePunct w:val="0"/>
        <w:ind w:left="0" w:leftChars="0" w:firstLine="422" w:firstLineChars="0"/>
        <w:rPr>
          <w:b/>
        </w:rPr>
      </w:pPr>
      <w:r>
        <w:rPr>
          <w:rFonts w:hint="eastAsia" w:ascii="黑体" w:hAnsi="黑体" w:eastAsia="黑体" w:cs="黑体"/>
          <w:b/>
          <w:sz w:val="21"/>
        </w:rPr>
        <w:t>三、</w:t>
      </w:r>
      <w:r>
        <w:t>信用评价与项目绩效关联机制</w:t>
      </w:r>
    </w:p>
    <w:p w14:paraId="78D9FAF7">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信用评价形成逻辑</w:t>
      </w:r>
    </w:p>
    <w:p w14:paraId="134F263E">
      <w:pPr>
        <w:pStyle w:val="11"/>
        <w:rPr>
          <w:rFonts w:ascii="Times New Roman" w:hAnsi="Calibri" w:eastAsia="宋体" w:cs="Times New Roman"/>
          <w:sz w:val="21"/>
        </w:rPr>
      </w:pPr>
      <w:r>
        <w:rPr>
          <w:rFonts w:ascii="Times New Roman" w:hAnsi="Calibri" w:eastAsia="宋体" w:cs="Times New Roman"/>
          <w:sz w:val="21"/>
        </w:rPr>
        <w:t>智慧工地监管评价走到更深层，最终会与信用评价发生联系。信用评价并不是一个孤立的行政附属物，而是项目履约、质量表现、安全水平、文明施工状态和数据真实性长期累积后的综合结果。数字化条件下，信用评价的形成逻辑正在发生变化。过去信用评价较多依赖节点检查、奖惩记录和结果性事件，周期长、反馈慢、细节少；现在则可以更多吸收过程数据，使信用判断建立在更连续的证据链上。项目是否长期保持问题闭环、是否存在频繁超阈值预警、是否出现反复整改无效、是否存在资料失真和过程断链，这些都可以逐步转化为信用评价的基础依据。</w:t>
      </w:r>
    </w:p>
    <w:p w14:paraId="76376B13">
      <w:pPr>
        <w:pStyle w:val="11"/>
        <w:rPr>
          <w:rFonts w:ascii="Times New Roman" w:hAnsi="Calibri" w:eastAsia="宋体" w:cs="Times New Roman"/>
          <w:sz w:val="21"/>
        </w:rPr>
      </w:pPr>
      <w:r>
        <w:rPr>
          <w:rFonts w:ascii="Times New Roman" w:hAnsi="Calibri" w:eastAsia="宋体" w:cs="Times New Roman"/>
          <w:sz w:val="21"/>
        </w:rPr>
        <w:t>这种逻辑变化的意义在于，信用不再只是项目结束后的一次性结论，而成为施工过程中可以逐步感知的运行状态。项目部若能在中途就看到哪些行为会持续拉低信用表现，管理动作就能更前移。信用评价也因此不再只是外部约束，而开始具有内部治理导向。</w:t>
      </w:r>
    </w:p>
    <w:p w14:paraId="58870586">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信用结果影响项目绩效</w:t>
      </w:r>
    </w:p>
    <w:p w14:paraId="332B393A">
      <w:pPr>
        <w:pStyle w:val="11"/>
        <w:rPr>
          <w:rFonts w:ascii="Times New Roman" w:hAnsi="Calibri" w:eastAsia="宋体" w:cs="Times New Roman"/>
          <w:sz w:val="21"/>
        </w:rPr>
      </w:pPr>
      <w:r>
        <w:rPr>
          <w:rFonts w:ascii="Times New Roman" w:hAnsi="Calibri" w:eastAsia="宋体" w:cs="Times New Roman"/>
          <w:sz w:val="21"/>
        </w:rPr>
        <w:t>信用评价一旦具备过程性和连续性，其结果就不应只停留在行业通报或企业备案层面，而应进一步进入项目绩效管理。项目绩效本身并不只看工期和成本是否完成，还应包括质量稳定性、安全治理能力、协同效率、资料完备性和问题控制水平。信用结果进入绩效之后，项目管理就会从单纯追求短期完成，逐步转向兼顾长期可验证性和外部公信力。</w:t>
      </w:r>
    </w:p>
    <w:p w14:paraId="39EEEC6D">
      <w:pPr>
        <w:pStyle w:val="11"/>
        <w:rPr>
          <w:rFonts w:ascii="Times New Roman" w:hAnsi="Calibri" w:eastAsia="宋体" w:cs="Times New Roman"/>
          <w:sz w:val="21"/>
        </w:rPr>
      </w:pPr>
      <w:r>
        <w:rPr>
          <w:rFonts w:ascii="Times New Roman" w:hAnsi="Calibri" w:eastAsia="宋体" w:cs="Times New Roman"/>
          <w:sz w:val="21"/>
        </w:rPr>
        <w:t>这种关联机制对项目行为会产生明显牵引。若项目部知道过程失控不仅影响当期检查结果，还会影响后续绩效评价、企业信用和资源分配，其日常管理关注点就会发生变化。对企业而言，信用结果还可以影响项目经理考核、分包准入、资源倾斜和后续项目分配，从而把监管要求真正转化为内部治理压力。智慧工地评价体系因此并不只是外部管理工具，也可以成为企业内部绩效治理的重要接口。</w:t>
      </w:r>
    </w:p>
    <w:p w14:paraId="17A4DEF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绩效结果反向约束信用管理</w:t>
      </w:r>
    </w:p>
    <w:p w14:paraId="20A2FB84">
      <w:pPr>
        <w:pStyle w:val="11"/>
        <w:rPr>
          <w:rFonts w:ascii="Times New Roman" w:hAnsi="Calibri" w:eastAsia="宋体" w:cs="Times New Roman"/>
          <w:sz w:val="21"/>
        </w:rPr>
      </w:pPr>
      <w:r>
        <w:rPr>
          <w:rFonts w:ascii="Times New Roman" w:hAnsi="Calibri" w:eastAsia="宋体" w:cs="Times New Roman"/>
          <w:sz w:val="21"/>
        </w:rPr>
        <w:t>信用评价与项目绩效的关系不能单向理解。信用结果可以影响绩效，绩效结果同样会反向约束信用管理方式。一个项目若在绩效考核中长期表现不佳，而信用评价却始终维持较高水平，说明信用评价口径可能存在偏软、偏静态或偏重形式的问题。反过来，若项目绩效表现较强，但信用评价长期偏低，也应检查评价体系是否过度强调局部事件、忽略整体改进。信用与绩效之间应形成相互校验关系，避免两套体系彼此分离。</w:t>
      </w:r>
    </w:p>
    <w:p w14:paraId="4DC49AF0">
      <w:pPr>
        <w:pStyle w:val="11"/>
        <w:rPr>
          <w:rFonts w:ascii="Times New Roman" w:hAnsi="Calibri" w:eastAsia="宋体" w:cs="Times New Roman"/>
          <w:sz w:val="21"/>
        </w:rPr>
      </w:pPr>
      <w:r>
        <w:rPr>
          <w:rFonts w:ascii="Times New Roman" w:hAnsi="Calibri" w:eastAsia="宋体" w:cs="Times New Roman"/>
          <w:sz w:val="21"/>
        </w:rPr>
        <w:t>这一机制的深层价值，在于推动监管评价更加接近工程真实运行状态。信用不应只是抽象信誉，绩效也不应只是内部算账，二者一旦通过数字化证据建立联系，项目治理的外部评价和内部评价便会逐步趋于一致。这样的体系更能形成长期约束，也更有利于把智慧工地从单个项目的应用工具提升为企业和区域监管共同使用的治理机制。</w:t>
      </w:r>
    </w:p>
    <w:p w14:paraId="61440C91">
      <w:pPr>
        <w:pStyle w:val="4"/>
        <w:numPr>
          <w:ilvl w:val="0"/>
          <w:numId w:val="0"/>
        </w:numPr>
        <w:topLinePunct w:val="0"/>
        <w:ind w:left="0" w:leftChars="0" w:firstLine="422" w:firstLineChars="0"/>
        <w:rPr>
          <w:b/>
        </w:rPr>
      </w:pPr>
      <w:r>
        <w:rPr>
          <w:rFonts w:hint="eastAsia" w:ascii="黑体" w:hAnsi="黑体" w:eastAsia="黑体" w:cs="黑体"/>
          <w:b/>
          <w:sz w:val="21"/>
        </w:rPr>
        <w:t>四、</w:t>
      </w:r>
      <w:r>
        <w:t>评价结果的反馈应用方式</w:t>
      </w:r>
    </w:p>
    <w:p w14:paraId="384C2B1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评价结果服务项目整改</w:t>
      </w:r>
    </w:p>
    <w:p w14:paraId="146A28C4">
      <w:pPr>
        <w:pStyle w:val="11"/>
        <w:rPr>
          <w:rFonts w:ascii="Times New Roman" w:hAnsi="Calibri" w:eastAsia="宋体" w:cs="Times New Roman"/>
          <w:sz w:val="21"/>
        </w:rPr>
      </w:pPr>
      <w:r>
        <w:rPr>
          <w:rFonts w:ascii="Times New Roman" w:hAnsi="Calibri" w:eastAsia="宋体" w:cs="Times New Roman"/>
          <w:sz w:val="21"/>
        </w:rPr>
        <w:t>监管评价真正有意义的时候，不是分数出来的时候，而是分数出来之后项目知道该改什么、先改什么、如何改。许多项目在评价结束后只是拿到结果通报，接着围绕表面问题做短期修补，评价很快失去持续牵引力。更有效的方式，是把评价结果按问题类别、责任主体、影响程度和整改时限拆解，直接转入项目整改清单。这样一来，评价结果不再停留在宏观判断，而能进入具体行动。质量类问题应回到工序复核和验收链条，安全类问题应进入预警和风险控制流程，文明施工类问题则应转化为场地管理和环境联动调整。评价结果一旦真正进入整改链条，监管评价才完成了从</w:t>
      </w:r>
      <w:r>
        <w:rPr>
          <w:rFonts w:hint="eastAsia" w:ascii="Times New Roman" w:hAnsi="Times New Roman" w:eastAsia="宋体" w:cs="Times New Roman"/>
          <w:sz w:val="21"/>
          <w:lang w:eastAsia="zh-CN"/>
        </w:rPr>
        <w:t>“</w:t>
      </w:r>
      <w:r>
        <w:rPr>
          <w:rFonts w:ascii="Times New Roman" w:hAnsi="Calibri" w:eastAsia="宋体" w:cs="Times New Roman"/>
          <w:sz w:val="21"/>
        </w:rPr>
        <w:t>发现问题</w:t>
      </w:r>
      <w:r>
        <w:rPr>
          <w:rFonts w:hint="eastAsia" w:ascii="Times New Roman" w:hAnsi="Times New Roman" w:eastAsia="宋体" w:cs="Times New Roman"/>
          <w:sz w:val="21"/>
          <w:lang w:eastAsia="zh-CN"/>
        </w:rPr>
        <w:t>”</w:t>
      </w:r>
      <w:r>
        <w:rPr>
          <w:rFonts w:ascii="Times New Roman" w:hAnsi="Calibri" w:eastAsia="宋体" w:cs="Times New Roman"/>
          <w:sz w:val="21"/>
        </w:rPr>
        <w:t>到</w:t>
      </w:r>
      <w:r>
        <w:rPr>
          <w:rFonts w:hint="eastAsia" w:ascii="Times New Roman" w:hAnsi="Times New Roman" w:eastAsia="宋体" w:cs="Times New Roman"/>
          <w:sz w:val="21"/>
          <w:lang w:eastAsia="zh-CN"/>
        </w:rPr>
        <w:t>“</w:t>
      </w:r>
      <w:r>
        <w:rPr>
          <w:rFonts w:ascii="Times New Roman" w:hAnsi="Calibri" w:eastAsia="宋体" w:cs="Times New Roman"/>
          <w:sz w:val="21"/>
        </w:rPr>
        <w:t>推动改进</w:t>
      </w:r>
      <w:r>
        <w:rPr>
          <w:rFonts w:hint="eastAsia" w:ascii="Times New Roman" w:hAnsi="Times New Roman" w:eastAsia="宋体" w:cs="Times New Roman"/>
          <w:sz w:val="21"/>
          <w:lang w:eastAsia="zh-CN"/>
        </w:rPr>
        <w:t>”</w:t>
      </w:r>
      <w:r>
        <w:rPr>
          <w:rFonts w:ascii="Times New Roman" w:hAnsi="Calibri" w:eastAsia="宋体" w:cs="Times New Roman"/>
          <w:sz w:val="21"/>
        </w:rPr>
        <w:t>的关键跃迁。</w:t>
      </w:r>
    </w:p>
    <w:p w14:paraId="457AB022">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评价结果服务区域监管</w:t>
      </w:r>
    </w:p>
    <w:p w14:paraId="39A51823">
      <w:pPr>
        <w:pStyle w:val="11"/>
        <w:rPr>
          <w:rFonts w:ascii="Times New Roman" w:hAnsi="Calibri" w:eastAsia="宋体" w:cs="Times New Roman"/>
          <w:sz w:val="21"/>
        </w:rPr>
      </w:pPr>
      <w:r>
        <w:rPr>
          <w:rFonts w:ascii="Times New Roman" w:hAnsi="Calibri" w:eastAsia="宋体" w:cs="Times New Roman"/>
          <w:sz w:val="21"/>
        </w:rPr>
        <w:t>区域监管最需要的，并不是越来越多的项目数据，而是知道监管资源应优先投向哪里。评价结果在这一层面的作用，主要体现在帮助主管部门识别高风险项目、薄弱环节和反复失分点。哪些项目基础管理薄弱，哪些项目过程留痕不完整，哪些项目文明施工长期波动较大，哪些项目虽然总分不低但安全预警频次异常，这些都可以通过评价结果被快速识别。监管部门由此不必平均用力地盯所有项目，而可以把有限检查力量、培训资源和专项整治重点投向最需要的地方。</w:t>
      </w:r>
    </w:p>
    <w:p w14:paraId="30057390">
      <w:pPr>
        <w:pStyle w:val="11"/>
        <w:rPr>
          <w:rFonts w:ascii="Times New Roman" w:hAnsi="Calibri" w:eastAsia="宋体" w:cs="Times New Roman"/>
          <w:sz w:val="21"/>
        </w:rPr>
      </w:pPr>
      <w:r>
        <w:rPr>
          <w:rFonts w:ascii="Times New Roman" w:hAnsi="Calibri" w:eastAsia="宋体" w:cs="Times New Roman"/>
          <w:sz w:val="21"/>
        </w:rPr>
        <w:t>这类应用方式改变了传统监管中过度依赖定期检查的做法。评价结果越连续，区域监管越容易从普遍性巡查转向针对性治理。项目之间的共性问题还能通过区域比较被提炼出来，形成更有针对性的制度调整和专题治理方向。监管评价因此不仅服务单个项目，也服务区域层面的资源配置与治理重点重排。</w:t>
      </w:r>
    </w:p>
    <w:p w14:paraId="6AA28CB4">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评价结果促进机制优化</w:t>
      </w:r>
    </w:p>
    <w:p w14:paraId="18F7224B">
      <w:pPr>
        <w:pStyle w:val="11"/>
        <w:rPr>
          <w:rFonts w:ascii="Times New Roman" w:hAnsi="Calibri" w:eastAsia="宋体" w:cs="Times New Roman"/>
          <w:sz w:val="21"/>
        </w:rPr>
      </w:pPr>
      <w:r>
        <w:rPr>
          <w:rFonts w:ascii="Times New Roman" w:hAnsi="Calibri" w:eastAsia="宋体" w:cs="Times New Roman"/>
          <w:sz w:val="21"/>
        </w:rPr>
        <w:t>评价结果若只反哺项目而不反哺制度，其作用仍然有限。很多问题之所以在不同项目中反复出现，并不是单个项目执行不力，而是制度规则、指标设计、流程要求和责任边界本身存在缺口。评价结果积累到一定程度后，最有价值的应用就是机制优化。高频失分项可以倒逼指标权重调整，长期反复出现的断链问题可以推动表单和流程再设计，责任模糊的领域则应通过制度修订重新划清边界。也就是说，评价体系不应只成为项目被动接受检查的工具，而应成为持续修正规则的依据。</w:t>
      </w:r>
    </w:p>
    <w:p w14:paraId="3C3B4D4E">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（四）</w:t>
      </w:r>
      <w:r>
        <w:t>监管评价应用片段</w:t>
      </w:r>
    </w:p>
    <w:p w14:paraId="7234BE97">
      <w:pPr>
        <w:pStyle w:val="11"/>
        <w:rPr>
          <w:rFonts w:ascii="Times New Roman" w:hAnsi="Calibri" w:eastAsia="宋体" w:cs="Times New Roman"/>
          <w:sz w:val="21"/>
        </w:rPr>
      </w:pPr>
      <w:r>
        <w:rPr>
          <w:rFonts w:ascii="Times New Roman" w:hAnsi="Calibri" w:eastAsia="宋体" w:cs="Times New Roman"/>
          <w:sz w:val="21"/>
        </w:rPr>
        <w:t>机制优化一旦建立起来，监管评价就拥有了双向价值。一方面，它约束项目执行；另一方面，它也反向校正监管方法本身，使评价体系更贴近工程实际。这种双向作用，恰恰是智慧工地监管评价区别于传统检查打分的重要特征。</w:t>
      </w:r>
    </w:p>
    <w:p w14:paraId="41CA89F4">
      <w:pPr>
        <w:pStyle w:val="11"/>
        <w:rPr>
          <w:rFonts w:ascii="Times New Roman" w:hAnsi="Calibri" w:eastAsia="宋体" w:cs="Times New Roman"/>
          <w:sz w:val="21"/>
        </w:rPr>
      </w:pPr>
      <w:r>
        <w:rPr>
          <w:rFonts w:ascii="Times New Roman" w:hAnsi="Calibri" w:eastAsia="宋体" w:cs="Times New Roman"/>
          <w:sz w:val="21"/>
        </w:rPr>
        <w:t>上海市——智慧工地信用评价与</w:t>
      </w:r>
      <w:r>
        <w:rPr>
          <w:rFonts w:hint="eastAsia" w:ascii="Times New Roman" w:hAnsi="Times New Roman" w:eastAsia="宋体" w:cs="Times New Roman"/>
          <w:sz w:val="21"/>
          <w:lang w:eastAsia="zh-CN"/>
        </w:rPr>
        <w:t>“</w:t>
      </w:r>
      <w:r>
        <w:rPr>
          <w:rFonts w:ascii="Times New Roman" w:hAnsi="Calibri" w:eastAsia="宋体" w:cs="Times New Roman"/>
          <w:sz w:val="21"/>
        </w:rPr>
        <w:t>两场联动</w:t>
      </w:r>
      <w:r>
        <w:rPr>
          <w:rFonts w:hint="eastAsia" w:ascii="Times New Roman" w:hAnsi="Times New Roman" w:eastAsia="宋体" w:cs="Times New Roman"/>
          <w:sz w:val="21"/>
          <w:lang w:eastAsia="zh-CN"/>
        </w:rPr>
        <w:t>”</w:t>
      </w:r>
      <w:r>
        <w:rPr>
          <w:rFonts w:ascii="Times New Roman" w:hAnsi="Calibri" w:eastAsia="宋体" w:cs="Times New Roman"/>
          <w:sz w:val="21"/>
        </w:rPr>
        <w:t>机制，以及广州市——智慧工地星级评价与差异化监管挂钩，较为典型地体现了评价结果由</w:t>
      </w:r>
      <w:r>
        <w:rPr>
          <w:rFonts w:hint="eastAsia" w:ascii="Times New Roman" w:hAnsi="Times New Roman" w:eastAsia="宋体" w:cs="Times New Roman"/>
          <w:sz w:val="21"/>
          <w:lang w:eastAsia="zh-CN"/>
        </w:rPr>
        <w:t>“</w:t>
      </w:r>
      <w:r>
        <w:rPr>
          <w:rFonts w:ascii="Times New Roman" w:hAnsi="Calibri" w:eastAsia="宋体" w:cs="Times New Roman"/>
          <w:sz w:val="21"/>
        </w:rPr>
        <w:t>形成分数</w:t>
      </w:r>
      <w:r>
        <w:rPr>
          <w:rFonts w:hint="eastAsia" w:ascii="Times New Roman" w:hAnsi="Times New Roman" w:eastAsia="宋体" w:cs="Times New Roman"/>
          <w:sz w:val="21"/>
          <w:lang w:eastAsia="zh-CN"/>
        </w:rPr>
        <w:t>”</w:t>
      </w:r>
      <w:r>
        <w:rPr>
          <w:rFonts w:ascii="Times New Roman" w:hAnsi="Calibri" w:eastAsia="宋体" w:cs="Times New Roman"/>
          <w:sz w:val="21"/>
        </w:rPr>
        <w:t>走向</w:t>
      </w:r>
      <w:r>
        <w:rPr>
          <w:rFonts w:hint="eastAsia" w:ascii="Times New Roman" w:hAnsi="Times New Roman" w:eastAsia="宋体" w:cs="Times New Roman"/>
          <w:sz w:val="21"/>
          <w:lang w:eastAsia="zh-CN"/>
        </w:rPr>
        <w:t>“</w:t>
      </w:r>
      <w:r>
        <w:rPr>
          <w:rFonts w:ascii="Times New Roman" w:hAnsi="Calibri" w:eastAsia="宋体" w:cs="Times New Roman"/>
          <w:sz w:val="21"/>
        </w:rPr>
        <w:t>驱动治理</w:t>
      </w:r>
      <w:r>
        <w:rPr>
          <w:rFonts w:hint="eastAsia" w:ascii="Times New Roman" w:hAnsi="Times New Roman" w:eastAsia="宋体" w:cs="Times New Roman"/>
          <w:sz w:val="21"/>
          <w:lang w:eastAsia="zh-CN"/>
        </w:rPr>
        <w:t>”</w:t>
      </w:r>
      <w:r>
        <w:rPr>
          <w:rFonts w:ascii="Times New Roman" w:hAnsi="Calibri" w:eastAsia="宋体" w:cs="Times New Roman"/>
          <w:sz w:val="21"/>
        </w:rPr>
        <w:t>的路径。上海案例中，监管部门借助物联网与人工智能技术部署</w:t>
      </w:r>
      <w:r>
        <w:rPr>
          <w:rFonts w:ascii="Times New Roman" w:hAnsi="Times New Roman" w:eastAsia="宋体" w:cs="Times New Roman"/>
          <w:sz w:val="21"/>
        </w:rPr>
        <w:t>28</w:t>
      </w:r>
      <w:r>
        <w:rPr>
          <w:rFonts w:ascii="Times New Roman" w:hAnsi="Calibri" w:eastAsia="宋体" w:cs="Times New Roman"/>
          <w:sz w:val="21"/>
        </w:rPr>
        <w:t>类质量安全风险要素识别模型，将现场违规行为与信用评价指标一一对应。当系统识别到未戴安全帽等行为后，会自动推送整改通知；若出现超时处置、虚假整改或单月累计</w:t>
      </w:r>
      <w:r>
        <w:rPr>
          <w:rFonts w:ascii="Times New Roman" w:hAnsi="Times New Roman" w:eastAsia="宋体" w:cs="Times New Roman"/>
          <w:sz w:val="21"/>
        </w:rPr>
        <w:t>15</w:t>
      </w:r>
      <w:r>
        <w:rPr>
          <w:rFonts w:ascii="Times New Roman" w:hAnsi="Calibri" w:eastAsia="宋体" w:cs="Times New Roman"/>
          <w:sz w:val="21"/>
        </w:rPr>
        <w:t>人次违规，则自动触发信用扣分，形成记录并推送至被评单位确认。这样一来，现场风险事件不再止于内部整改，而是即时进入信用约束链条，实现了从</w:t>
      </w:r>
      <w:r>
        <w:rPr>
          <w:rFonts w:hint="eastAsia" w:ascii="Times New Roman" w:hAnsi="Times New Roman" w:eastAsia="宋体" w:cs="Times New Roman"/>
          <w:sz w:val="21"/>
          <w:lang w:eastAsia="zh-CN"/>
        </w:rPr>
        <w:t>“</w:t>
      </w:r>
      <w:r>
        <w:rPr>
          <w:rFonts w:ascii="Times New Roman" w:hAnsi="Calibri" w:eastAsia="宋体" w:cs="Times New Roman"/>
          <w:sz w:val="21"/>
        </w:rPr>
        <w:t>人工巡查、事后追责</w:t>
      </w:r>
      <w:r>
        <w:rPr>
          <w:rFonts w:hint="eastAsia" w:ascii="Times New Roman" w:hAnsi="Times New Roman" w:eastAsia="宋体" w:cs="Times New Roman"/>
          <w:sz w:val="21"/>
          <w:lang w:eastAsia="zh-CN"/>
        </w:rPr>
        <w:t>”</w:t>
      </w:r>
      <w:r>
        <w:rPr>
          <w:rFonts w:ascii="Times New Roman" w:hAnsi="Calibri" w:eastAsia="宋体" w:cs="Times New Roman"/>
          <w:sz w:val="21"/>
        </w:rPr>
        <w:t>向</w:t>
      </w:r>
      <w:r>
        <w:rPr>
          <w:rFonts w:hint="eastAsia" w:ascii="Times New Roman" w:hAnsi="Times New Roman" w:eastAsia="宋体" w:cs="Times New Roman"/>
          <w:sz w:val="21"/>
          <w:lang w:eastAsia="zh-CN"/>
        </w:rPr>
        <w:t>“</w:t>
      </w:r>
      <w:r>
        <w:rPr>
          <w:rFonts w:ascii="Times New Roman" w:hAnsi="Calibri" w:eastAsia="宋体" w:cs="Times New Roman"/>
          <w:sz w:val="21"/>
        </w:rPr>
        <w:t>智能预警、实时联动</w:t>
      </w:r>
      <w:r>
        <w:rPr>
          <w:rFonts w:hint="eastAsia" w:ascii="Times New Roman" w:hAnsi="Times New Roman" w:eastAsia="宋体" w:cs="Times New Roman"/>
          <w:sz w:val="21"/>
          <w:lang w:eastAsia="zh-CN"/>
        </w:rPr>
        <w:t>”</w:t>
      </w:r>
      <w:r>
        <w:rPr>
          <w:rFonts w:ascii="Times New Roman" w:hAnsi="Calibri" w:eastAsia="宋体" w:cs="Times New Roman"/>
          <w:sz w:val="21"/>
        </w:rPr>
        <w:t>的转变。广州市的做法则更强调结果的分层应用。其将智慧工地评价分为一星级、二星级、三星级，并通过电子证书管理、暂扣机制、差异化监管和评优推荐，把评价结果直接嵌入日常监管和行业激励体系。限期未整改的项目会被暂扣电子证书，相应鼓励措施同步暂停；评价较高的项目，则优先进入观摩、示范和奖项推荐范围。两地案例共同说明，智慧工地监管评价的关键，不在于评价本身，而在于结果能否持续作用于整改、信用、监管和激励机制之中。</w:t>
      </w:r>
    </w:p>
    <w:p w14:paraId="3B3EB306">
      <w:pPr>
        <w:pStyle w:val="3"/>
        <w:numPr>
          <w:ilvl w:val="0"/>
          <w:numId w:val="0"/>
        </w:numPr>
        <w:ind w:left="0" w:leftChars="0" w:firstLine="0" w:firstLineChars="0"/>
        <w:rPr>
          <w:b/>
        </w:rPr>
      </w:pPr>
      <w:bookmarkStart w:id="46" w:name="_Toc12385"/>
      <w:r>
        <w:rPr>
          <w:rFonts w:hint="eastAsia" w:ascii="宋体" w:hAnsi="宋体" w:eastAsia="黑体" w:cs="宋体"/>
          <w:b/>
          <w:bCs/>
          <w:kern w:val="44"/>
          <w:sz w:val="30"/>
          <w:szCs w:val="30"/>
        </w:rPr>
        <w:t>第四节</w:t>
      </w:r>
      <w:r>
        <w:rPr>
          <w:rFonts w:hint="eastAsia" w:cs="宋体"/>
          <w:b/>
          <w:bCs/>
          <w:kern w:val="44"/>
          <w:sz w:val="30"/>
          <w:szCs w:val="30"/>
          <w:lang w:val="en-US" w:eastAsia="zh-CN"/>
        </w:rPr>
        <w:t xml:space="preserve"> </w:t>
      </w:r>
      <w:r>
        <w:t>建设成效复盘与持续优化</w:t>
      </w:r>
      <w:bookmarkEnd w:id="46"/>
    </w:p>
    <w:p w14:paraId="0A50171B">
      <w:pPr>
        <w:pStyle w:val="4"/>
        <w:numPr>
          <w:ilvl w:val="0"/>
          <w:numId w:val="0"/>
        </w:numPr>
        <w:topLinePunct w:val="0"/>
        <w:ind w:left="0" w:leftChars="0" w:firstLine="422" w:firstLineChars="0"/>
        <w:rPr>
          <w:b/>
        </w:rPr>
      </w:pPr>
      <w:r>
        <w:rPr>
          <w:rFonts w:hint="eastAsia" w:ascii="黑体" w:hAnsi="黑体" w:eastAsia="黑体" w:cs="黑体"/>
          <w:b/>
          <w:sz w:val="21"/>
        </w:rPr>
        <w:t>一、</w:t>
      </w:r>
      <w:r>
        <w:t>项目复盘与知识沉淀</w:t>
      </w:r>
    </w:p>
    <w:p w14:paraId="4829366C">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复盘对象的结构化识别</w:t>
      </w:r>
    </w:p>
    <w:p w14:paraId="76071F92">
      <w:pPr>
        <w:pStyle w:val="11"/>
        <w:rPr>
          <w:rFonts w:ascii="Times New Roman" w:hAnsi="Calibri" w:eastAsia="宋体" w:cs="Times New Roman"/>
          <w:sz w:val="21"/>
        </w:rPr>
      </w:pPr>
      <w:r>
        <w:rPr>
          <w:rFonts w:ascii="Times New Roman" w:hAnsi="Calibri" w:eastAsia="宋体" w:cs="Times New Roman"/>
          <w:sz w:val="21"/>
        </w:rPr>
        <w:t>智慧工地建设进入竣工交付阶段后，最容易被忽视的一项工作，不是资料移交，而是对建设全过程进行系统复盘。很多项目在验收完成后便迅速撤场，平台运行、终端使用、数据治理、业务协同和组织机制中的经验与问题没有被及时提炼，结果下一项目又从头试错。复盘的价值，正在于把一次性建设活动转化为可持续积累的组织能力。这里所说的复盘，不是简单列出做过哪些功能，而是围绕目标实现情况、业务适配程度、技术运行效果、管理机制变化和投入产出关系，对项目进行重新审视。</w:t>
      </w:r>
    </w:p>
    <w:p w14:paraId="3D84025B">
      <w:pPr>
        <w:pStyle w:val="11"/>
        <w:rPr>
          <w:rFonts w:ascii="Times New Roman" w:hAnsi="Calibri" w:eastAsia="宋体" w:cs="Times New Roman"/>
          <w:sz w:val="21"/>
        </w:rPr>
      </w:pPr>
      <w:r>
        <w:rPr>
          <w:rFonts w:ascii="Times New Roman" w:hAnsi="Calibri" w:eastAsia="宋体" w:cs="Times New Roman"/>
          <w:sz w:val="21"/>
        </w:rPr>
        <w:t>复盘对象应当具有清晰层次。第一层是目标复盘，主要检视智慧工地建设是否真正服务了质量、安全、进度、成本和协同目标，哪些目标实现较好，哪些目标虽然写入方案却未真正落地。第二层是场景复盘，重点看实名制、环境监测、视频识别、隐蔽验收、进度采集、物资管理、定位预警等具体应用场景在项目中的真实使用强度，判断哪些场景高频有效，哪些场景长期闲置。第三层是机制复盘，关注平台上线后岗位职责、表单流程、问题响应和协同方式是否发生了实质变化。第四层是数据复盘，主要分析数据是否完整、口径是否统一、异常修正是否及时、分析结果是否真正进入管理决策。只有把复盘对象分层识别清楚，项目总结才不会停留在泛泛而谈的成效汇报上。</w:t>
      </w:r>
    </w:p>
    <w:p w14:paraId="406BFA8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经验提炼与知识重组</w:t>
      </w:r>
    </w:p>
    <w:p w14:paraId="6E379A3A">
      <w:pPr>
        <w:pStyle w:val="11"/>
        <w:rPr>
          <w:rFonts w:ascii="Times New Roman" w:hAnsi="Calibri" w:eastAsia="宋体" w:cs="Times New Roman"/>
          <w:sz w:val="21"/>
        </w:rPr>
      </w:pPr>
      <w:r>
        <w:rPr>
          <w:rFonts w:ascii="Times New Roman" w:hAnsi="Calibri" w:eastAsia="宋体" w:cs="Times New Roman"/>
          <w:sz w:val="21"/>
        </w:rPr>
        <w:t>项目复盘的真正成果，不应是一份只为结题服务的总结材料，而应是可被后续项目调用的知识单元。经验提炼的关键，不在于概括得多么宏大，而在于能否把成功做法与失败原因都还原到具体业务场景中。例如，某项目进度偏差识别效果显著，原因可能并不在于系统算法先进，而在于计划分解颗粒度合理、实物量采集口径清晰、责任单元挂接准确；某项目环境监测长期波动较大，也未必是设备精度不足，更可能是点位布设不当、联动阈值设置失衡、现场处置流程不顺。只有把这些影响机制讲清楚，经验才具有迁移价值。</w:t>
      </w:r>
    </w:p>
    <w:p w14:paraId="56BF9747">
      <w:pPr>
        <w:pStyle w:val="11"/>
        <w:rPr>
          <w:rFonts w:ascii="Times New Roman" w:hAnsi="Calibri" w:eastAsia="宋体" w:cs="Times New Roman"/>
          <w:sz w:val="21"/>
        </w:rPr>
      </w:pPr>
      <w:r>
        <w:rPr>
          <w:rFonts w:ascii="Times New Roman" w:hAnsi="Calibri" w:eastAsia="宋体" w:cs="Times New Roman"/>
          <w:sz w:val="21"/>
        </w:rPr>
        <w:t>知识重组应遵循问题导向和场景导向相结合的原则。问题导向强调围绕高频失效点建立经验库，如数据断链、预警疲劳、资料补录滞后、终端闲置、平台使用两张皮等；场景导向则强调围绕成熟应用建立标准模板，如深基坑监测链条、隐蔽工程留痕规则、劳务实名制闭环、材料进场追溯流程、竣工验收联动支撑路径等。项目实践表明，真正能在企业内部持续流动的知识，不是抽象原则，而是带有适用条件、实施步骤、常见偏差和修正建议的半结构化经验。知识重组完成后，企业才能逐步形成自己的智慧工地建设方法库，而不是长期依赖外部平台供应方的通用方案。</w:t>
      </w:r>
    </w:p>
    <w:p w14:paraId="55F82188">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知识沉淀进入组织能力</w:t>
      </w:r>
    </w:p>
    <w:p w14:paraId="1866B929">
      <w:pPr>
        <w:pStyle w:val="11"/>
        <w:rPr>
          <w:rFonts w:ascii="Times New Roman" w:hAnsi="Calibri" w:eastAsia="宋体" w:cs="Times New Roman"/>
          <w:sz w:val="21"/>
        </w:rPr>
      </w:pPr>
      <w:r>
        <w:rPr>
          <w:rFonts w:ascii="Times New Roman" w:hAnsi="Calibri" w:eastAsia="宋体" w:cs="Times New Roman"/>
          <w:sz w:val="21"/>
        </w:rPr>
        <w:t>知识沉淀若不能回到组织机制中，就仍然停留在文本层面。许多项目总结写得十分完整，但对后续项目几乎没有影响，原因就在于总结没有转化为制度、模板、培训和考核要求。较为有效的做法，是将复盘结论嵌入四类载体之中。其一是标准制度，将高频有效做法转化为企业级制度条款、项目管理办法和专项技术要求；其二是业务模板，把表单、台账、预警规则、验收清单和问题闭环流程固化为可复制模板；其三是培训体系，把项目中形成的成熟方法写入岗位培训、班组交底和管理人员学习内容；其四是评价机制，把复盘结果转化为后续项目建设评估与考核要点。</w:t>
      </w:r>
    </w:p>
    <w:p w14:paraId="6316F4AA">
      <w:pPr>
        <w:pStyle w:val="11"/>
        <w:rPr>
          <w:rFonts w:ascii="Times New Roman" w:hAnsi="Calibri" w:eastAsia="宋体" w:cs="Times New Roman"/>
          <w:sz w:val="21"/>
        </w:rPr>
      </w:pPr>
      <w:r>
        <w:rPr>
          <w:rFonts w:ascii="Times New Roman" w:hAnsi="Calibri" w:eastAsia="宋体" w:cs="Times New Roman"/>
          <w:sz w:val="21"/>
        </w:rPr>
        <w:t>这一过程本质上是在完成从</w:t>
      </w:r>
      <w:r>
        <w:rPr>
          <w:rFonts w:hint="eastAsia" w:ascii="Times New Roman" w:hAnsi="Times New Roman" w:eastAsia="宋体" w:cs="Times New Roman"/>
          <w:sz w:val="21"/>
          <w:lang w:eastAsia="zh-CN"/>
        </w:rPr>
        <w:t>“</w:t>
      </w:r>
      <w:r>
        <w:rPr>
          <w:rFonts w:ascii="Times New Roman" w:hAnsi="Calibri" w:eastAsia="宋体" w:cs="Times New Roman"/>
          <w:sz w:val="21"/>
        </w:rPr>
        <w:t>项目经验</w:t>
      </w:r>
      <w:r>
        <w:rPr>
          <w:rFonts w:hint="eastAsia" w:ascii="Times New Roman" w:hAnsi="Times New Roman" w:eastAsia="宋体" w:cs="Times New Roman"/>
          <w:sz w:val="21"/>
          <w:lang w:eastAsia="zh-CN"/>
        </w:rPr>
        <w:t>”</w:t>
      </w:r>
      <w:r>
        <w:rPr>
          <w:rFonts w:ascii="Times New Roman" w:hAnsi="Calibri" w:eastAsia="宋体" w:cs="Times New Roman"/>
          <w:sz w:val="21"/>
        </w:rPr>
        <w:t>到</w:t>
      </w:r>
      <w:r>
        <w:rPr>
          <w:rFonts w:hint="eastAsia" w:ascii="Times New Roman" w:hAnsi="Times New Roman" w:eastAsia="宋体" w:cs="Times New Roman"/>
          <w:sz w:val="21"/>
          <w:lang w:eastAsia="zh-CN"/>
        </w:rPr>
        <w:t>“</w:t>
      </w:r>
      <w:r>
        <w:rPr>
          <w:rFonts w:ascii="Times New Roman" w:hAnsi="Calibri" w:eastAsia="宋体" w:cs="Times New Roman"/>
          <w:sz w:val="21"/>
        </w:rPr>
        <w:t>组织能力</w:t>
      </w:r>
      <w:r>
        <w:rPr>
          <w:rFonts w:hint="eastAsia" w:ascii="Times New Roman" w:hAnsi="Times New Roman" w:eastAsia="宋体" w:cs="Times New Roman"/>
          <w:sz w:val="21"/>
          <w:lang w:eastAsia="zh-CN"/>
        </w:rPr>
        <w:t>”</w:t>
      </w:r>
      <w:r>
        <w:rPr>
          <w:rFonts w:ascii="Times New Roman" w:hAnsi="Calibri" w:eastAsia="宋体" w:cs="Times New Roman"/>
          <w:sz w:val="21"/>
        </w:rPr>
        <w:t>的跃迁。智慧工地建设若长期停留在项目试验层，企业就很难摆脱重复建设、重复投入和重复犯错。只有当复盘结果能够反向进入制度修订、流程更新和项目策划阶段，前一项目形成的数字化成果才会在下一项目中继续发挥作用。由此，竣工后的复盘不再是项目终点处的附加动作，而成为企业持续提升数字治理能力的重要起点。</w:t>
      </w:r>
    </w:p>
    <w:p w14:paraId="21AC1A27">
      <w:pPr>
        <w:pStyle w:val="4"/>
        <w:numPr>
          <w:ilvl w:val="0"/>
          <w:numId w:val="0"/>
        </w:numPr>
        <w:topLinePunct w:val="0"/>
        <w:ind w:left="0" w:leftChars="0" w:firstLine="422" w:firstLineChars="0"/>
        <w:rPr>
          <w:b/>
        </w:rPr>
      </w:pPr>
      <w:r>
        <w:rPr>
          <w:rFonts w:hint="eastAsia" w:ascii="黑体" w:hAnsi="黑体" w:eastAsia="黑体" w:cs="黑体"/>
          <w:b/>
          <w:sz w:val="21"/>
        </w:rPr>
        <w:t>二、</w:t>
      </w:r>
      <w:r>
        <w:t>数据合规与运行保障</w:t>
      </w:r>
    </w:p>
    <w:p w14:paraId="7414924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交付后的数据合规边界</w:t>
      </w:r>
    </w:p>
    <w:p w14:paraId="712B5E5E">
      <w:pPr>
        <w:pStyle w:val="11"/>
        <w:rPr>
          <w:rFonts w:ascii="Times New Roman" w:hAnsi="Calibri" w:eastAsia="宋体" w:cs="Times New Roman"/>
          <w:sz w:val="21"/>
        </w:rPr>
      </w:pPr>
      <w:r>
        <w:rPr>
          <w:rFonts w:ascii="Times New Roman" w:hAnsi="Calibri" w:eastAsia="宋体" w:cs="Times New Roman"/>
          <w:sz w:val="21"/>
        </w:rPr>
        <w:t>智慧工地建设完成交付后，数据并不会随着项目竣工自动失去价值，相反，很多数据会继续服务于保修、运维、监管复核、责任追溯和后续改造。也正因为如此，数据合规问题在交付后反而更加突出。现场运行阶段，项目团队更关注数据能否采上来、能否用起来；进入交付后，则必须进一步回答哪些数据可以保留、保留多久、由谁持有、如何调用、哪些应作脱敏处理、哪些应停止采集。数据合规的本质，不只是防止泄露，更是明确数据在项目生命周期不同阶段的合法边界。</w:t>
      </w:r>
    </w:p>
    <w:p w14:paraId="4148A21E">
      <w:pPr>
        <w:pStyle w:val="11"/>
        <w:rPr>
          <w:rFonts w:ascii="Times New Roman" w:hAnsi="Calibri" w:eastAsia="宋体" w:cs="Times New Roman"/>
          <w:sz w:val="21"/>
        </w:rPr>
      </w:pPr>
      <w:r>
        <w:rPr>
          <w:rFonts w:ascii="Times New Roman" w:hAnsi="Calibri" w:eastAsia="宋体" w:cs="Times New Roman"/>
          <w:sz w:val="21"/>
        </w:rPr>
        <w:t>人员定位、视频识别、环境监测、设备运行、实名制考勤、巡检轨迹和整改记录等数据，都具有不同程度的敏感性与时效性。若交付后仍延续施工阶段的粗放管理逻辑，极易出现数据长期堆存、权限过度开放、用途边界模糊等问题。较成熟的治理方式，是将数据按业务属性划分为长期留存类、阶段留存类和即时处置类。竣工图、实测成果、验收链条、隐蔽工程影像、关键设备参数等属于长期留存类；施工期间形成的大量过程截图、一般巡检轨迹、日常环境波动数据则更适合按照明确期限留存；仅用于即时预警和当场处置的数据，原则上不应无限延续。这样划分之后，数据治理就从</w:t>
      </w:r>
      <w:r>
        <w:rPr>
          <w:rFonts w:hint="eastAsia" w:ascii="Times New Roman" w:hAnsi="Times New Roman" w:eastAsia="宋体" w:cs="Times New Roman"/>
          <w:sz w:val="21"/>
          <w:lang w:eastAsia="zh-CN"/>
        </w:rPr>
        <w:t>“</w:t>
      </w:r>
      <w:r>
        <w:rPr>
          <w:rFonts w:ascii="Times New Roman" w:hAnsi="Calibri" w:eastAsia="宋体" w:cs="Times New Roman"/>
          <w:sz w:val="21"/>
        </w:rPr>
        <w:t>尽量都保存</w:t>
      </w:r>
      <w:r>
        <w:rPr>
          <w:rFonts w:hint="eastAsia" w:ascii="Times New Roman" w:hAnsi="Times New Roman" w:eastAsia="宋体" w:cs="Times New Roman"/>
          <w:sz w:val="21"/>
          <w:lang w:eastAsia="zh-CN"/>
        </w:rPr>
        <w:t>”</w:t>
      </w:r>
      <w:r>
        <w:rPr>
          <w:rFonts w:ascii="Times New Roman" w:hAnsi="Calibri" w:eastAsia="宋体" w:cs="Times New Roman"/>
          <w:sz w:val="21"/>
        </w:rPr>
        <w:t>转向</w:t>
      </w:r>
      <w:r>
        <w:rPr>
          <w:rFonts w:hint="eastAsia" w:ascii="Times New Roman" w:hAnsi="Times New Roman" w:eastAsia="宋体" w:cs="Times New Roman"/>
          <w:sz w:val="21"/>
          <w:lang w:eastAsia="zh-CN"/>
        </w:rPr>
        <w:t>“</w:t>
      </w:r>
      <w:r>
        <w:rPr>
          <w:rFonts w:ascii="Times New Roman" w:hAnsi="Calibri" w:eastAsia="宋体" w:cs="Times New Roman"/>
          <w:sz w:val="21"/>
        </w:rPr>
        <w:t>按用途有序保存</w:t>
      </w:r>
      <w:r>
        <w:rPr>
          <w:rFonts w:hint="eastAsia" w:ascii="Times New Roman" w:hAnsi="Times New Roman" w:eastAsia="宋体" w:cs="Times New Roman"/>
          <w:sz w:val="21"/>
          <w:lang w:eastAsia="zh-CN"/>
        </w:rPr>
        <w:t>”</w:t>
      </w:r>
      <w:r>
        <w:rPr>
          <w:rFonts w:ascii="Times New Roman" w:hAnsi="Calibri" w:eastAsia="宋体" w:cs="Times New Roman"/>
          <w:sz w:val="21"/>
        </w:rPr>
        <w:t>。</w:t>
      </w:r>
    </w:p>
    <w:p w14:paraId="10ECEA65">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系统运行的后续保障机制</w:t>
      </w:r>
    </w:p>
    <w:p w14:paraId="5D6F5D96">
      <w:pPr>
        <w:pStyle w:val="11"/>
        <w:rPr>
          <w:rFonts w:ascii="Times New Roman" w:hAnsi="Calibri" w:eastAsia="宋体" w:cs="Times New Roman"/>
          <w:sz w:val="21"/>
        </w:rPr>
      </w:pPr>
      <w:r>
        <w:rPr>
          <w:rFonts w:ascii="Times New Roman" w:hAnsi="Calibri" w:eastAsia="宋体" w:cs="Times New Roman"/>
          <w:sz w:val="21"/>
        </w:rPr>
        <w:t>竣工交付并不意味着系统就应立即停运。对许多项目而言，交付后的缺陷责任期、专项复验期和初期运维期仍然需要平台与数据支撑。设备维保记录、缺陷整改闭环、使用反馈收集、局部改造申请、环境运行参数观察等，都与系统延续运行有关。现实中常见的问题是，施工单位撤场后，原有平台缺少明确接续主体，技术服务中断、账号无人维护、数据接口失效，导致交付资料虽然存在，后续却难以调用。运行保障机制正是为了避免这种</w:t>
      </w:r>
      <w:r>
        <w:rPr>
          <w:rFonts w:hint="eastAsia" w:ascii="Times New Roman" w:hAnsi="Times New Roman" w:eastAsia="宋体" w:cs="Times New Roman"/>
          <w:sz w:val="21"/>
          <w:lang w:eastAsia="zh-CN"/>
        </w:rPr>
        <w:t>“</w:t>
      </w:r>
      <w:r>
        <w:rPr>
          <w:rFonts w:ascii="Times New Roman" w:hAnsi="Calibri" w:eastAsia="宋体" w:cs="Times New Roman"/>
          <w:sz w:val="21"/>
        </w:rPr>
        <w:t>建设期很完整、交付后迅速失灵</w:t>
      </w:r>
      <w:r>
        <w:rPr>
          <w:rFonts w:hint="eastAsia" w:ascii="Times New Roman" w:hAnsi="Times New Roman" w:eastAsia="宋体" w:cs="Times New Roman"/>
          <w:sz w:val="21"/>
          <w:lang w:eastAsia="zh-CN"/>
        </w:rPr>
        <w:t>”</w:t>
      </w:r>
      <w:r>
        <w:rPr>
          <w:rFonts w:ascii="Times New Roman" w:hAnsi="Calibri" w:eastAsia="宋体" w:cs="Times New Roman"/>
          <w:sz w:val="21"/>
        </w:rPr>
        <w:t>的状态。</w:t>
      </w:r>
    </w:p>
    <w:p w14:paraId="69622A6A">
      <w:pPr>
        <w:pStyle w:val="11"/>
        <w:rPr>
          <w:rFonts w:ascii="Times New Roman" w:hAnsi="Calibri" w:eastAsia="宋体" w:cs="Times New Roman"/>
          <w:sz w:val="21"/>
        </w:rPr>
      </w:pPr>
      <w:r>
        <w:rPr>
          <w:rFonts w:ascii="Times New Roman" w:hAnsi="Calibri" w:eastAsia="宋体" w:cs="Times New Roman"/>
          <w:sz w:val="21"/>
        </w:rPr>
        <w:t>较为稳妥的保障方式，是在竣工前就完成运行接续设计。首先要明确交付后由谁接管平台与数据，建设单位、使用单位、运维单位和技术服务方之间的责任边界必须提前划清。其次要明确哪些功能继续保留，哪些模块转为只读状态，哪些接口仍需维持更新。再次要建立最低限度的运维保障，包括账号维护、访问权限管理、关键资料备份、异常日志记录和系统升级边界控制。对于政府投资项目、大型公共建筑和设备系统复杂工程，这一步尤其关键，因为交付后的管理往往远比施工结束时想象得更长久。运行保障做得好，智慧工地建设成果就能在项目后续阶段继续发挥价值；做得不好，则前期大量数字资产会很快沦为不可用的历史文件。</w:t>
      </w:r>
    </w:p>
    <w:p w14:paraId="45F7433F">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数据安全与责任追溯机制</w:t>
      </w:r>
    </w:p>
    <w:p w14:paraId="6F142CC7">
      <w:pPr>
        <w:pStyle w:val="11"/>
        <w:rPr>
          <w:rFonts w:ascii="Times New Roman" w:hAnsi="Calibri" w:eastAsia="宋体" w:cs="Times New Roman"/>
          <w:sz w:val="21"/>
        </w:rPr>
      </w:pPr>
      <w:r>
        <w:rPr>
          <w:rFonts w:ascii="Times New Roman" w:hAnsi="Calibri" w:eastAsia="宋体" w:cs="Times New Roman"/>
          <w:sz w:val="21"/>
        </w:rPr>
        <w:t>交付后的数据管理不仅需要保存规则，更需要安全与责任机制。安全问题并不只指外部攻击，也包括内部误删、误改、越权访问和脱离用途的随意调用。尤其是涉及视频、实名制、定位轨迹和质量整改等数据时，一旦责任边界不清，很容易引发管理争议。数字化项目进入后期，最大的风险常常不是技术不可用，而是数据虽在却不敢用，或者数据被错误使用后难以追责。因此，运行保障必须同时配套责任追溯机制。</w:t>
      </w:r>
    </w:p>
    <w:p w14:paraId="71D3A43E">
      <w:pPr>
        <w:pStyle w:val="11"/>
        <w:rPr>
          <w:rFonts w:ascii="Times New Roman" w:hAnsi="Calibri" w:eastAsia="宋体" w:cs="Times New Roman"/>
          <w:sz w:val="21"/>
        </w:rPr>
      </w:pPr>
      <w:r>
        <w:rPr>
          <w:rFonts w:ascii="Times New Roman" w:hAnsi="Calibri" w:eastAsia="宋体" w:cs="Times New Roman"/>
          <w:sz w:val="21"/>
        </w:rPr>
        <w:t>较为成熟的路径，是对关键数据建立访问分级、操作留痕和责任映射。谁查阅、谁下载、谁修改、谁导出、基于什么理由使用，都应保留明确痕迹。这样做并不是增加管理负担，而是在为后续责任识别建立基础。与此同时，涉及项目竣工交付的重要数据还应设置双重保护措施，包括定期备份、关键成果归档锁定和重大变更审批。数据安全一旦从临时应对转向规则治理，项目交付后的数字资产才真正具备可持续使用价值。</w:t>
      </w:r>
    </w:p>
    <w:p w14:paraId="695B91B2">
      <w:pPr>
        <w:pStyle w:val="4"/>
        <w:numPr>
          <w:ilvl w:val="0"/>
          <w:numId w:val="0"/>
        </w:numPr>
        <w:topLinePunct w:val="0"/>
        <w:ind w:left="0" w:leftChars="0" w:firstLine="422" w:firstLineChars="0"/>
        <w:rPr>
          <w:b/>
        </w:rPr>
      </w:pPr>
      <w:r>
        <w:rPr>
          <w:rFonts w:hint="eastAsia" w:ascii="黑体" w:hAnsi="黑体" w:eastAsia="黑体" w:cs="黑体"/>
          <w:b/>
          <w:sz w:val="21"/>
        </w:rPr>
        <w:t>三、</w:t>
      </w:r>
      <w:r>
        <w:t>智慧工地建设的迭代方向</w:t>
      </w:r>
    </w:p>
    <w:p w14:paraId="7FB62223">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（一）</w:t>
      </w:r>
      <w:r>
        <w:t>从功能叠加走向治理重构</w:t>
      </w:r>
    </w:p>
    <w:p w14:paraId="384AB6B7">
      <w:pPr>
        <w:pStyle w:val="11"/>
        <w:rPr>
          <w:rFonts w:ascii="Times New Roman" w:hAnsi="Calibri" w:eastAsia="宋体" w:cs="Times New Roman"/>
          <w:sz w:val="21"/>
        </w:rPr>
      </w:pPr>
      <w:r>
        <w:rPr>
          <w:rFonts w:ascii="Times New Roman" w:hAnsi="Calibri" w:eastAsia="宋体" w:cs="Times New Roman"/>
          <w:sz w:val="21"/>
        </w:rPr>
        <w:t>智慧工地经过多年建设后，一个越来越明显的趋势是，单纯增加模块和终端已难以持续体现优势。很多项目平台页面十分丰富，但真正高频使用的功能并不多，说明建设重点正在发生变化。未来的迭代方向，不应再停留在功能叠加逻辑上，而应转向治理重构逻辑。也就是说，重点不再是再接多少设备、再上多少识别算法，而是数字能力是否真正改变了现场治理方式。计划编制是否因此更可执行，问题整改是否因此更易闭环，验收支撑是否因此更少返工，跨岗位协同是否因此更高效，这些才是下一轮迭代更值得关注的内容。</w:t>
      </w:r>
    </w:p>
    <w:p w14:paraId="353B8E1D">
      <w:pPr>
        <w:pStyle w:val="11"/>
        <w:rPr>
          <w:rFonts w:ascii="Times New Roman" w:hAnsi="Calibri" w:eastAsia="宋体" w:cs="Times New Roman"/>
          <w:sz w:val="21"/>
        </w:rPr>
      </w:pPr>
      <w:r>
        <w:rPr>
          <w:rFonts w:ascii="Times New Roman" w:hAnsi="Calibri" w:eastAsia="宋体" w:cs="Times New Roman"/>
          <w:sz w:val="21"/>
        </w:rPr>
        <w:t>治理重构意味着平台设计应进一步贴近业务主线，把原本分散在各模块中的数据、任务和责任重新串联起来。进度、质量、安全、造价、验收、交付和后评估之间不能只是接口连接，而应逐步形成贯通的业务链条。只有当智慧工地从</w:t>
      </w:r>
      <w:r>
        <w:rPr>
          <w:rFonts w:hint="eastAsia" w:ascii="Times New Roman" w:hAnsi="Times New Roman" w:eastAsia="宋体" w:cs="Times New Roman"/>
          <w:sz w:val="21"/>
          <w:lang w:eastAsia="zh-CN"/>
        </w:rPr>
        <w:t>“</w:t>
      </w:r>
      <w:r>
        <w:rPr>
          <w:rFonts w:ascii="Times New Roman" w:hAnsi="Calibri" w:eastAsia="宋体" w:cs="Times New Roman"/>
          <w:sz w:val="21"/>
        </w:rPr>
        <w:t>技术项目</w:t>
      </w:r>
      <w:r>
        <w:rPr>
          <w:rFonts w:hint="eastAsia" w:ascii="Times New Roman" w:hAnsi="Times New Roman" w:eastAsia="宋体" w:cs="Times New Roman"/>
          <w:sz w:val="21"/>
          <w:lang w:eastAsia="zh-CN"/>
        </w:rPr>
        <w:t>”</w:t>
      </w:r>
      <w:r>
        <w:rPr>
          <w:rFonts w:ascii="Times New Roman" w:hAnsi="Calibri" w:eastAsia="宋体" w:cs="Times New Roman"/>
          <w:sz w:val="21"/>
        </w:rPr>
        <w:t>转向</w:t>
      </w:r>
      <w:r>
        <w:rPr>
          <w:rFonts w:hint="eastAsia" w:ascii="Times New Roman" w:hAnsi="Times New Roman" w:eastAsia="宋体" w:cs="Times New Roman"/>
          <w:sz w:val="21"/>
          <w:lang w:eastAsia="zh-CN"/>
        </w:rPr>
        <w:t>“</w:t>
      </w:r>
      <w:r>
        <w:rPr>
          <w:rFonts w:ascii="Times New Roman" w:hAnsi="Calibri" w:eastAsia="宋体" w:cs="Times New Roman"/>
          <w:sz w:val="21"/>
        </w:rPr>
        <w:t>管理方式</w:t>
      </w:r>
      <w:r>
        <w:rPr>
          <w:rFonts w:hint="eastAsia" w:ascii="Times New Roman" w:hAnsi="Times New Roman" w:eastAsia="宋体" w:cs="Times New Roman"/>
          <w:sz w:val="21"/>
          <w:lang w:eastAsia="zh-CN"/>
        </w:rPr>
        <w:t>”</w:t>
      </w:r>
      <w:r>
        <w:rPr>
          <w:rFonts w:ascii="Times New Roman" w:hAnsi="Calibri" w:eastAsia="宋体" w:cs="Times New Roman"/>
          <w:sz w:val="21"/>
        </w:rPr>
        <w:t>，数字化建设才会真正成为现场治理的基础设施，而不是附加配置。</w:t>
      </w:r>
    </w:p>
    <w:p w14:paraId="3A1A2B63">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（二）</w:t>
      </w:r>
      <w:r>
        <w:t>从项目应用走向企业协同</w:t>
      </w:r>
    </w:p>
    <w:p w14:paraId="299150C4">
      <w:pPr>
        <w:pStyle w:val="11"/>
        <w:rPr>
          <w:rFonts w:ascii="Times New Roman" w:hAnsi="Calibri" w:eastAsia="宋体" w:cs="Times New Roman"/>
          <w:sz w:val="21"/>
        </w:rPr>
      </w:pPr>
      <w:r>
        <w:rPr>
          <w:rFonts w:ascii="Times New Roman" w:hAnsi="Calibri" w:eastAsia="宋体" w:cs="Times New Roman"/>
          <w:sz w:val="21"/>
        </w:rPr>
        <w:t>未来迭代的另一重点，是从单项目应用走向企业级协同。当前不少项目的数字化建设仍然以项目部为边界，平台部署、数据规则、指标体系和资料模板都在项目层面完成，导致不同项目之间口径差异较大，经验复用困难，企业总部也难以形成持续比较与统筹分析。随着项目数量增多，这种分散状态会越来越制约智慧工地建设效果。更合理的方向，是在保留项目差异的前提下，把基础数据规则、关键业务模板、评价口径和成果归档要求逐步企业级统一。</w:t>
      </w:r>
    </w:p>
    <w:p w14:paraId="4B005B45">
      <w:pPr>
        <w:pStyle w:val="11"/>
        <w:rPr>
          <w:rFonts w:ascii="Times New Roman" w:hAnsi="Calibri" w:eastAsia="宋体" w:cs="Times New Roman"/>
          <w:sz w:val="21"/>
        </w:rPr>
      </w:pPr>
      <w:r>
        <w:rPr>
          <w:rFonts w:ascii="Times New Roman" w:hAnsi="Calibri" w:eastAsia="宋体" w:cs="Times New Roman"/>
          <w:sz w:val="21"/>
        </w:rPr>
        <w:t>企业级协同的意义，不仅在于管理视角上移，更在于能够把单项目积累转化为组织能力。企业总部可以基于统一数据看项目群风险分布、问题高发场景、优秀做法迁移路径和不同类型工程的数字化适配规律。项目层则可在统一底座上保留必要灵活性，根据工程规模、专业特点和监管要求做差异化配置。这样的迭代方向，有助于解决当前智慧工地建设中</w:t>
      </w:r>
      <w:r>
        <w:rPr>
          <w:rFonts w:hint="eastAsia" w:ascii="Times New Roman" w:hAnsi="Times New Roman" w:eastAsia="宋体" w:cs="Times New Roman"/>
          <w:sz w:val="21"/>
          <w:lang w:eastAsia="zh-CN"/>
        </w:rPr>
        <w:t>“</w:t>
      </w:r>
      <w:r>
        <w:rPr>
          <w:rFonts w:ascii="Times New Roman" w:hAnsi="Calibri" w:eastAsia="宋体" w:cs="Times New Roman"/>
          <w:sz w:val="21"/>
        </w:rPr>
        <w:t>每个项目都像一次新实验</w:t>
      </w:r>
      <w:r>
        <w:rPr>
          <w:rFonts w:hint="eastAsia" w:ascii="Times New Roman" w:hAnsi="Times New Roman" w:eastAsia="宋体" w:cs="Times New Roman"/>
          <w:sz w:val="21"/>
          <w:lang w:eastAsia="zh-CN"/>
        </w:rPr>
        <w:t>”</w:t>
      </w:r>
      <w:r>
        <w:rPr>
          <w:rFonts w:ascii="Times New Roman" w:hAnsi="Calibri" w:eastAsia="宋体" w:cs="Times New Roman"/>
          <w:sz w:val="21"/>
        </w:rPr>
        <w:t>的问题，使企业逐步拥有更稳定的数字治理体系。</w:t>
      </w:r>
    </w:p>
    <w:p w14:paraId="48E7D02B">
      <w:pPr>
        <w:pStyle w:val="11"/>
        <w:numPr>
          <w:ilvl w:val="0"/>
          <w:numId w:val="0"/>
        </w:numPr>
        <w:bidi w:val="0"/>
        <w:ind w:left="0" w:leftChars="0" w:firstLine="420" w:firstLineChars="200"/>
        <w:rPr>
          <w:rFonts w:hint="eastAsia"/>
        </w:rPr>
      </w:pPr>
      <w:r>
        <w:rPr>
          <w:rFonts w:hint="eastAsia" w:ascii="Times New Roman" w:hAnsi="Calibri" w:eastAsia="宋体" w:cs="Times New Roman"/>
          <w:sz w:val="21"/>
        </w:rPr>
        <w:t>（三）</w:t>
      </w:r>
      <w:r>
        <w:t>从过程感知走向持续优化</w:t>
      </w:r>
    </w:p>
    <w:p w14:paraId="4E39E6C1">
      <w:pPr>
        <w:pStyle w:val="11"/>
        <w:rPr>
          <w:rFonts w:ascii="Times New Roman" w:hAnsi="Calibri" w:eastAsia="宋体" w:cs="Times New Roman"/>
          <w:sz w:val="21"/>
        </w:rPr>
      </w:pPr>
      <w:r>
        <w:rPr>
          <w:rFonts w:ascii="Times New Roman" w:hAnsi="Calibri" w:eastAsia="宋体" w:cs="Times New Roman"/>
          <w:sz w:val="21"/>
        </w:rPr>
        <w:t>智慧工地的早期发展更多聚焦于</w:t>
      </w:r>
      <w:r>
        <w:rPr>
          <w:rFonts w:hint="eastAsia" w:ascii="Times New Roman" w:hAnsi="Times New Roman" w:eastAsia="宋体" w:cs="Times New Roman"/>
          <w:sz w:val="21"/>
          <w:lang w:eastAsia="zh-CN"/>
        </w:rPr>
        <w:t>“</w:t>
      </w:r>
      <w:r>
        <w:rPr>
          <w:rFonts w:ascii="Times New Roman" w:hAnsi="Calibri" w:eastAsia="宋体" w:cs="Times New Roman"/>
          <w:sz w:val="21"/>
        </w:rPr>
        <w:t>看见现场</w:t>
      </w:r>
      <w:r>
        <w:rPr>
          <w:rFonts w:hint="eastAsia" w:ascii="Times New Roman" w:hAnsi="Times New Roman" w:eastAsia="宋体" w:cs="Times New Roman"/>
          <w:sz w:val="21"/>
          <w:lang w:eastAsia="zh-CN"/>
        </w:rPr>
        <w:t>”</w:t>
      </w:r>
      <w:r>
        <w:rPr>
          <w:rFonts w:ascii="Times New Roman" w:hAnsi="Calibri" w:eastAsia="宋体" w:cs="Times New Roman"/>
          <w:sz w:val="21"/>
        </w:rPr>
        <w:t>，如今更需要走向</w:t>
      </w:r>
      <w:r>
        <w:rPr>
          <w:rFonts w:hint="eastAsia" w:ascii="Times New Roman" w:hAnsi="Times New Roman" w:eastAsia="宋体" w:cs="Times New Roman"/>
          <w:sz w:val="21"/>
          <w:lang w:eastAsia="zh-CN"/>
        </w:rPr>
        <w:t>“</w:t>
      </w:r>
      <w:r>
        <w:rPr>
          <w:rFonts w:ascii="Times New Roman" w:hAnsi="Calibri" w:eastAsia="宋体" w:cs="Times New Roman"/>
          <w:sz w:val="21"/>
        </w:rPr>
        <w:t>改变现场</w:t>
      </w:r>
      <w:r>
        <w:rPr>
          <w:rFonts w:hint="eastAsia" w:ascii="Times New Roman" w:hAnsi="Times New Roman" w:eastAsia="宋体" w:cs="Times New Roman"/>
          <w:sz w:val="21"/>
          <w:lang w:eastAsia="zh-CN"/>
        </w:rPr>
        <w:t>”</w:t>
      </w:r>
      <w:r>
        <w:rPr>
          <w:rFonts w:ascii="Times New Roman" w:hAnsi="Calibri" w:eastAsia="宋体" w:cs="Times New Roman"/>
          <w:sz w:val="21"/>
        </w:rPr>
        <w:t>。感知能力当然仍然重要，但未来的重点将越来越偏向持续优化能力。所谓持续优化，不仅是对单次问题作出反应，更是通过长期数据积累、项目复盘和规则修正，不断调整管理方式、资源配置和评价机制。一个成熟的智慧工地体系，应该能够在项目运行中识别问题，在项目结束后沉淀知识，在下一项目中修正策略，再通过新一轮运行继续验证效果。这样形成的迭代闭环，才意味着智慧工地真正进入发展成熟阶段。</w:t>
      </w:r>
    </w:p>
    <w:p w14:paraId="33916DBF">
      <w:pPr>
        <w:pStyle w:val="11"/>
        <w:rPr>
          <w:rFonts w:ascii="Times New Roman" w:hAnsi="Calibri" w:eastAsia="宋体" w:cs="Times New Roman"/>
          <w:sz w:val="21"/>
        </w:rPr>
      </w:pPr>
      <w:r>
        <w:rPr>
          <w:rFonts w:ascii="Times New Roman" w:hAnsi="Calibri" w:eastAsia="宋体" w:cs="Times New Roman"/>
          <w:sz w:val="21"/>
        </w:rPr>
        <w:t>这一方向也意味着，未来建设将更强调少而精、准而稳。终端布设要更贴近核心风险，数据采集要更围绕管理需求，平台分析要更服务实际决策，评价机制要更能反哺制度优化。数字化建设不再以</w:t>
      </w:r>
      <w:r>
        <w:rPr>
          <w:rFonts w:hint="eastAsia" w:ascii="Times New Roman" w:hAnsi="Times New Roman" w:eastAsia="宋体" w:cs="Times New Roman"/>
          <w:sz w:val="21"/>
          <w:lang w:eastAsia="zh-CN"/>
        </w:rPr>
        <w:t>“</w:t>
      </w:r>
      <w:r>
        <w:rPr>
          <w:rFonts w:ascii="Times New Roman" w:hAnsi="Calibri" w:eastAsia="宋体" w:cs="Times New Roman"/>
          <w:sz w:val="21"/>
        </w:rPr>
        <w:t>是否全面铺开</w:t>
      </w:r>
      <w:r>
        <w:rPr>
          <w:rFonts w:hint="eastAsia" w:ascii="Times New Roman" w:hAnsi="Times New Roman" w:eastAsia="宋体" w:cs="Times New Roman"/>
          <w:sz w:val="21"/>
          <w:lang w:eastAsia="zh-CN"/>
        </w:rPr>
        <w:t>”</w:t>
      </w:r>
      <w:r>
        <w:rPr>
          <w:rFonts w:ascii="Times New Roman" w:hAnsi="Calibri" w:eastAsia="宋体" w:cs="Times New Roman"/>
          <w:sz w:val="21"/>
        </w:rPr>
        <w:t>为唯一追求，而更强调</w:t>
      </w:r>
      <w:r>
        <w:rPr>
          <w:rFonts w:hint="eastAsia" w:ascii="Times New Roman" w:hAnsi="Times New Roman" w:eastAsia="宋体" w:cs="Times New Roman"/>
          <w:sz w:val="21"/>
          <w:lang w:eastAsia="zh-CN"/>
        </w:rPr>
        <w:t>“</w:t>
      </w:r>
      <w:r>
        <w:rPr>
          <w:rFonts w:ascii="Times New Roman" w:hAnsi="Calibri" w:eastAsia="宋体" w:cs="Times New Roman"/>
          <w:sz w:val="21"/>
        </w:rPr>
        <w:t>是否形成持续改进能力</w:t>
      </w:r>
      <w:r>
        <w:rPr>
          <w:rFonts w:hint="eastAsia" w:ascii="Times New Roman" w:hAnsi="Times New Roman" w:eastAsia="宋体" w:cs="Times New Roman"/>
          <w:sz w:val="21"/>
          <w:lang w:eastAsia="zh-CN"/>
        </w:rPr>
        <w:t>”</w:t>
      </w:r>
      <w:r>
        <w:rPr>
          <w:rFonts w:ascii="Times New Roman" w:hAnsi="Calibri" w:eastAsia="宋体" w:cs="Times New Roman"/>
          <w:sz w:val="21"/>
        </w:rPr>
        <w:t>。当复盘、合规、运行保障与迭代方向真正连接起来，智慧工地建设便不再是项目结束即告终止的一段经历，而会成为企业和行业不断提升工程治理现代化水平的长期路径。</w:t>
      </w:r>
    </w:p>
    <w:p w14:paraId="639AE4F6">
      <w:pPr>
        <w:rPr>
          <w:rFonts w:hint="eastAsia"/>
        </w:rPr>
      </w:pPr>
    </w:p>
    <w:p w14:paraId="6F9D6EAC">
      <w:pPr>
        <w:bidi w:val="0"/>
        <w:sectPr>
          <w:headerReference r:id="rId41" w:type="default"/>
          <w:footerReference r:id="rId43" w:type="default"/>
          <w:headerReference r:id="rId42" w:type="even"/>
          <w:footerReference r:id="rId44" w:type="even"/>
          <w:pgSz w:w="10431" w:h="14740"/>
          <w:pgMar w:top="1440" w:right="1800" w:bottom="1440" w:left="1800" w:header="851" w:footer="992" w:gutter="0"/>
          <w:pgNumType w:fmt="decimal"/>
          <w:cols w:space="425" w:num="1"/>
          <w:docGrid w:type="lines" w:linePitch="312" w:charSpace="0"/>
        </w:sectPr>
      </w:pPr>
      <w:bookmarkStart w:id="47" w:name="_Toc3619"/>
    </w:p>
    <w:p w14:paraId="7A089DB4">
      <w:pPr>
        <w:bidi w:val="0"/>
        <w:sectPr>
          <w:pgSz w:w="10431" w:h="14740"/>
          <w:pgMar w:top="1440" w:right="1800" w:bottom="1440" w:left="1800" w:header="851" w:footer="992" w:gutter="0"/>
          <w:pgNumType w:fmt="decimal"/>
          <w:cols w:space="425" w:num="1"/>
          <w:docGrid w:type="lines" w:linePitch="312" w:charSpace="0"/>
        </w:sectPr>
      </w:pPr>
    </w:p>
    <w:p w14:paraId="35884170">
      <w:pPr>
        <w:pStyle w:val="2"/>
        <w:bidi w:val="0"/>
        <w:jc w:val="center"/>
      </w:pPr>
      <w:r>
        <w:t>结语</w:t>
      </w:r>
      <w:bookmarkEnd w:id="47"/>
    </w:p>
    <w:p w14:paraId="2ECA473D">
      <w:pPr>
        <w:rPr>
          <w:rFonts w:hint="eastAsia"/>
          <w:lang w:val="en-US" w:eastAsia="zh-CN"/>
        </w:rPr>
      </w:pPr>
    </w:p>
    <w:p w14:paraId="36B2A80F">
      <w:pPr>
        <w:pStyle w:val="11"/>
        <w:rPr>
          <w:rFonts w:ascii="Times New Roman" w:hAnsi="Calibri" w:eastAsia="宋体" w:cs="Times New Roman"/>
          <w:sz w:val="21"/>
        </w:rPr>
      </w:pPr>
      <w:r>
        <w:rPr>
          <w:rFonts w:ascii="Times New Roman" w:hAnsi="Calibri" w:eastAsia="宋体" w:cs="Times New Roman"/>
          <w:sz w:val="21"/>
        </w:rPr>
        <w:t>智慧工地建设的真正价值，并不在于施工现场增加了多少设备、平台和模块，而在于工程管理开始由经验主导逐步走向数据支撑、过程受控与协同治理。本书围绕智慧工地的生成逻辑、实施机制、技术底座、业务场景、空间感知、竣工交付、监管评价与持续优化，力求呈现一条从项目策划到成果验收、从现场应用到经验沉淀的完整知识链条。</w:t>
      </w:r>
    </w:p>
    <w:p w14:paraId="2286BC19">
      <w:pPr>
        <w:pStyle w:val="11"/>
        <w:rPr>
          <w:rFonts w:ascii="Times New Roman" w:hAnsi="Calibri" w:eastAsia="宋体" w:cs="Times New Roman"/>
          <w:sz w:val="21"/>
        </w:rPr>
        <w:sectPr>
          <w:headerReference r:id="rId45" w:type="default"/>
          <w:footerReference r:id="rId47" w:type="default"/>
          <w:headerReference r:id="rId46" w:type="even"/>
          <w:footerReference r:id="rId48" w:type="even"/>
          <w:pgSz w:w="10431" w:h="14740"/>
          <w:pgMar w:top="1440" w:right="1800" w:bottom="1440" w:left="1800" w:header="851" w:footer="992" w:gutter="0"/>
          <w:pgNumType w:fmt="decimal"/>
          <w:cols w:space="425" w:num="1"/>
          <w:docGrid w:type="lines" w:linePitch="312" w:charSpace="0"/>
        </w:sectPr>
      </w:pPr>
      <w:r>
        <w:rPr>
          <w:rFonts w:ascii="Times New Roman" w:hAnsi="Calibri" w:eastAsia="宋体" w:cs="Times New Roman"/>
          <w:sz w:val="21"/>
        </w:rPr>
        <w:t>面对建筑业数字化转型不断深化的新形势，智慧工地已经不再只是单项技术应用的集合，而正在成为工程现场治理方式重构的重要抓手。今后的建设重点，也不会停留在功能叠加和设备铺设层面，而将更多转向业务贯通、规则统一、数据合规、组织协同与持续迭代。本书希望能够为行业实践提供一种较为系统的认识框架，也为后续研究与应用留出继续深化的空间。智慧工地建设仍在发展之中，但可以确定的是，只有真正立足工程现场、服务项目治理、回应实际问题，数字化建设才会转化为建筑业高质量发展的长期能力。</w:t>
      </w:r>
    </w:p>
    <w:p w14:paraId="3880FA0C">
      <w:pPr>
        <w:bidi w:val="0"/>
        <w:sectPr>
          <w:footerReference r:id="rId49" w:type="default"/>
          <w:footerReference r:id="rId50" w:type="even"/>
          <w:pgSz w:w="10431" w:h="14740"/>
          <w:pgMar w:top="1440" w:right="1800" w:bottom="1440" w:left="1800" w:header="851" w:footer="992" w:gutter="0"/>
          <w:pgNumType w:fmt="decimal"/>
          <w:cols w:space="425" w:num="1"/>
          <w:docGrid w:type="lines" w:linePitch="312" w:charSpace="0"/>
        </w:sectPr>
      </w:pPr>
      <w:bookmarkStart w:id="48" w:name="_Toc3181"/>
    </w:p>
    <w:p w14:paraId="2161B10F">
      <w:pPr>
        <w:pStyle w:val="2"/>
        <w:bidi w:val="0"/>
      </w:pPr>
      <w:r>
        <w:t>参考文献</w:t>
      </w:r>
      <w:bookmarkEnd w:id="48"/>
    </w:p>
    <w:p w14:paraId="008A0487">
      <w:pPr>
        <w:rPr>
          <w:rFonts w:hint="eastAsia"/>
          <w:lang w:val="en-US" w:eastAsia="zh-CN"/>
        </w:rPr>
      </w:pPr>
    </w:p>
    <w:p w14:paraId="4A6601DC">
      <w:pPr>
        <w:pStyle w:val="21"/>
        <w:numPr>
          <w:ilvl w:val="0"/>
          <w:numId w:val="0"/>
        </w:numPr>
        <w:ind w:left="0" w:leftChars="0" w:firstLine="403" w:firstLineChars="0"/>
        <w:rPr>
          <w:rFonts w:hint="eastAsia"/>
          <w:lang w:eastAsia="zh-CN"/>
        </w:rPr>
      </w:pPr>
      <w:r>
        <w:rPr>
          <w:rFonts w:hint="eastAsia" w:ascii="Times New Roman" w:hAnsi="Times New Roman" w:eastAsia="宋体" w:cs="Times New Roman"/>
          <w:sz w:val="18"/>
          <w:lang w:eastAsia="zh-CN"/>
        </w:rPr>
        <w:t>[</w:t>
      </w:r>
      <w:r>
        <w:rPr>
          <w:rFonts w:hint="default" w:ascii="Times New Roman" w:hAnsi="Times New Roman" w:eastAsia="仿宋" w:cs="Times New Roman"/>
          <w:sz w:val="18"/>
        </w:rPr>
        <w:t>1</w:t>
      </w:r>
      <w:r>
        <w:rPr>
          <w:rFonts w:hint="eastAsia" w:ascii="Times New Roman" w:hAnsi="Times New Roman" w:eastAsia="宋体" w:cs="Times New Roman"/>
          <w:sz w:val="18"/>
          <w:lang w:eastAsia="zh-CN"/>
        </w:rPr>
        <w:t>]</w:t>
      </w:r>
      <w:r>
        <w:t>张成英，姜涌，官名昊，林澎，陈禄阳，辛鲁超</w:t>
      </w:r>
      <w:r>
        <w:rPr>
          <w:rFonts w:hint="eastAsia"/>
          <w:lang w:eastAsia="zh-CN"/>
        </w:rPr>
        <w:t>．</w:t>
      </w:r>
      <w:r>
        <w:t>建设工程数字化管理的建筑信息模型构件编码标准及应用</w:t>
      </w:r>
      <w:r>
        <w:rPr>
          <w:rFonts w:hint="eastAsia" w:ascii="Times New Roman" w:hAnsi="Times New Roman" w:eastAsia="宋体" w:cs="Times New Roman"/>
          <w:lang w:eastAsia="zh-CN"/>
        </w:rPr>
        <w:t>[</w:t>
      </w:r>
      <w:r>
        <w:rPr>
          <w:rFonts w:ascii="Times New Roman" w:hAnsi="Times New Roman" w:eastAsia="宋体" w:cs="Times New Roman"/>
        </w:rPr>
        <w:t>J</w:t>
      </w:r>
      <w:r>
        <w:rPr>
          <w:rFonts w:hint="eastAsia" w:ascii="Times New Roman" w:hAnsi="Times New Roman" w:eastAsia="宋体" w:cs="Times New Roman"/>
          <w:lang w:eastAsia="zh-CN"/>
        </w:rPr>
        <w:t>]</w:t>
      </w:r>
      <w:r>
        <w:rPr>
          <w:rFonts w:hint="eastAsia"/>
          <w:lang w:eastAsia="zh-CN"/>
        </w:rPr>
        <w:t>．</w:t>
      </w:r>
      <w:r>
        <w:t>建筑技术</w:t>
      </w:r>
      <w:r>
        <w:rPr>
          <w:rFonts w:hint="eastAsia"/>
          <w:lang w:eastAsia="zh-CN"/>
        </w:rPr>
        <w:t>，</w:t>
      </w:r>
      <w:r>
        <w:rPr>
          <w:rFonts w:hint="default" w:ascii="Times New Roman" w:hAnsi="Times New Roman" w:eastAsia="宋体" w:cs="Times New Roman"/>
        </w:rPr>
        <w:t>2025(1)</w:t>
      </w:r>
      <w:r>
        <w:rPr>
          <w:rFonts w:hint="eastAsia" w:ascii="Times New Roman" w:hAnsi="Times New Roman" w:eastAsia="宋体" w:cs="Times New Roman"/>
          <w:lang w:eastAsia="zh-CN"/>
        </w:rPr>
        <w:t>：</w:t>
      </w:r>
      <w:r>
        <w:rPr>
          <w:rFonts w:ascii="Times New Roman" w:hAnsi="Times New Roman" w:eastAsia="宋体" w:cs="Times New Roman"/>
        </w:rPr>
        <w:t>4</w:t>
      </w:r>
      <w:r>
        <w:t>-</w:t>
      </w:r>
      <w:r>
        <w:rPr>
          <w:rFonts w:ascii="Times New Roman" w:hAnsi="Times New Roman" w:eastAsia="宋体" w:cs="Times New Roman"/>
        </w:rPr>
        <w:t>7</w:t>
      </w:r>
      <w:r>
        <w:rPr>
          <w:rFonts w:hint="eastAsia"/>
          <w:lang w:eastAsia="zh-CN"/>
        </w:rPr>
        <w:t>．</w:t>
      </w:r>
    </w:p>
    <w:p w14:paraId="72432B35">
      <w:pPr>
        <w:pStyle w:val="21"/>
        <w:numPr>
          <w:ilvl w:val="0"/>
          <w:numId w:val="0"/>
        </w:numPr>
        <w:ind w:left="0" w:leftChars="0" w:firstLine="403" w:firstLineChars="0"/>
        <w:rPr>
          <w:rFonts w:hint="default"/>
          <w:lang w:val="en-US" w:eastAsia="zh-CN"/>
        </w:rPr>
      </w:pPr>
      <w:r>
        <w:rPr>
          <w:rFonts w:hint="eastAsia" w:ascii="Times New Roman" w:hAnsi="Times New Roman" w:eastAsia="宋体" w:cs="Times New Roman"/>
          <w:sz w:val="18"/>
          <w:lang w:eastAsia="zh-CN"/>
        </w:rPr>
        <w:t>[</w:t>
      </w:r>
      <w:r>
        <w:rPr>
          <w:rFonts w:hint="default" w:ascii="Times New Roman" w:hAnsi="Times New Roman" w:eastAsia="仿宋" w:cs="Times New Roman"/>
          <w:sz w:val="18"/>
        </w:rPr>
        <w:t>2</w:t>
      </w:r>
      <w:r>
        <w:rPr>
          <w:rFonts w:hint="eastAsia" w:ascii="Times New Roman" w:hAnsi="Times New Roman" w:eastAsia="宋体" w:cs="Times New Roman"/>
          <w:sz w:val="18"/>
          <w:lang w:eastAsia="zh-CN"/>
        </w:rPr>
        <w:t>]</w:t>
      </w:r>
      <w:r>
        <w:t>侯朝，郝丁默，杨阳，刘占省</w:t>
      </w:r>
      <w:r>
        <w:rPr>
          <w:rFonts w:hint="eastAsia"/>
          <w:lang w:eastAsia="zh-CN"/>
        </w:rPr>
        <w:t>．</w:t>
      </w:r>
      <w:r>
        <w:t>智能建造及智慧工地管理系统在施工中的应用</w:t>
      </w:r>
      <w:r>
        <w:rPr>
          <w:rFonts w:hint="eastAsia" w:ascii="Times New Roman" w:hAnsi="Times New Roman" w:eastAsia="宋体" w:cs="Times New Roman"/>
          <w:lang w:eastAsia="zh-CN"/>
        </w:rPr>
        <w:t>[</w:t>
      </w:r>
      <w:r>
        <w:rPr>
          <w:rFonts w:ascii="Times New Roman" w:hAnsi="Times New Roman" w:eastAsia="宋体" w:cs="Times New Roman"/>
        </w:rPr>
        <w:t>J</w:t>
      </w:r>
      <w:r>
        <w:rPr>
          <w:rFonts w:hint="eastAsia" w:ascii="Times New Roman" w:hAnsi="Times New Roman" w:eastAsia="宋体" w:cs="Times New Roman"/>
          <w:lang w:eastAsia="zh-CN"/>
        </w:rPr>
        <w:t>]</w:t>
      </w:r>
      <w:r>
        <w:t>. 建筑技术，</w:t>
      </w:r>
      <w:r>
        <w:rPr>
          <w:rFonts w:ascii="Times New Roman" w:hAnsi="Times New Roman" w:eastAsia="宋体" w:cs="Times New Roman"/>
        </w:rPr>
        <w:t>2025</w:t>
      </w:r>
      <w:r>
        <w:t>，</w:t>
      </w:r>
      <w:r>
        <w:rPr>
          <w:rFonts w:hint="default" w:ascii="Times New Roman" w:hAnsi="Times New Roman" w:eastAsia="宋体" w:cs="Times New Roman"/>
        </w:rPr>
        <w:t>56(1)</w:t>
      </w:r>
      <w:r>
        <w:rPr>
          <w:rFonts w:hint="eastAsia" w:ascii="Times New Roman" w:hAnsi="Times New Roman" w:eastAsia="宋体" w:cs="Times New Roman"/>
          <w:lang w:eastAsia="zh-CN"/>
        </w:rPr>
        <w:t>：</w:t>
      </w:r>
      <w:r>
        <w:rPr>
          <w:rFonts w:ascii="Times New Roman" w:hAnsi="Times New Roman" w:eastAsia="宋体" w:cs="Times New Roman"/>
        </w:rPr>
        <w:t>27</w:t>
      </w:r>
      <w:r>
        <w:t>-</w:t>
      </w:r>
      <w:r>
        <w:rPr>
          <w:rFonts w:ascii="Times New Roman" w:hAnsi="Times New Roman" w:eastAsia="宋体" w:cs="Times New Roman"/>
        </w:rPr>
        <w:t>30</w:t>
      </w:r>
      <w:r>
        <w:rPr>
          <w:rFonts w:hint="eastAsia"/>
          <w:lang w:eastAsia="zh-CN"/>
        </w:rPr>
        <w:t>．</w:t>
      </w:r>
    </w:p>
    <w:p w14:paraId="357A0239">
      <w:pPr>
        <w:pStyle w:val="21"/>
        <w:numPr>
          <w:ilvl w:val="0"/>
          <w:numId w:val="0"/>
        </w:numPr>
        <w:ind w:left="0" w:leftChars="0" w:firstLine="403" w:firstLineChars="0"/>
        <w:rPr>
          <w:rFonts w:hint="default"/>
          <w:lang w:val="en-US" w:eastAsia="zh-CN"/>
        </w:rPr>
      </w:pPr>
      <w:r>
        <w:rPr>
          <w:rFonts w:hint="eastAsia" w:ascii="Times New Roman" w:hAnsi="Times New Roman" w:eastAsia="宋体" w:cs="Times New Roman"/>
          <w:sz w:val="18"/>
          <w:lang w:eastAsia="zh-CN"/>
        </w:rPr>
        <w:t>[</w:t>
      </w:r>
      <w:r>
        <w:rPr>
          <w:rFonts w:hint="default" w:ascii="Times New Roman" w:hAnsi="Times New Roman" w:eastAsia="仿宋" w:cs="Times New Roman"/>
          <w:sz w:val="18"/>
        </w:rPr>
        <w:t>3</w:t>
      </w:r>
      <w:r>
        <w:rPr>
          <w:rFonts w:hint="eastAsia" w:ascii="Times New Roman" w:hAnsi="Times New Roman" w:eastAsia="宋体" w:cs="Times New Roman"/>
          <w:sz w:val="18"/>
          <w:lang w:eastAsia="zh-CN"/>
        </w:rPr>
        <w:t>]</w:t>
      </w:r>
      <w:r>
        <w:t>张云翼，林佳瑞，张建平.</w:t>
      </w:r>
      <w:r>
        <w:rPr>
          <w:rFonts w:ascii="Times New Roman" w:hAnsi="Times New Roman" w:eastAsia="宋体" w:cs="Times New Roman"/>
        </w:rPr>
        <w:t>BIM</w:t>
      </w:r>
      <w:r>
        <w:t>与云、大数据、物联网等技术的集成应用现状与未来</w:t>
      </w:r>
      <w:r>
        <w:rPr>
          <w:rFonts w:hint="eastAsia" w:ascii="Times New Roman" w:hAnsi="Times New Roman" w:eastAsia="宋体" w:cs="Times New Roman"/>
          <w:lang w:eastAsia="zh-CN"/>
        </w:rPr>
        <w:t>[</w:t>
      </w:r>
      <w:r>
        <w:rPr>
          <w:rFonts w:ascii="Times New Roman" w:hAnsi="Times New Roman" w:eastAsia="宋体" w:cs="Times New Roman"/>
        </w:rPr>
        <w:t>J</w:t>
      </w:r>
      <w:r>
        <w:rPr>
          <w:rFonts w:hint="eastAsia" w:ascii="Times New Roman" w:hAnsi="Times New Roman" w:eastAsia="宋体" w:cs="Times New Roman"/>
          <w:lang w:eastAsia="zh-CN"/>
        </w:rPr>
        <w:t>]</w:t>
      </w:r>
      <w:r>
        <w:rPr>
          <w:rFonts w:hint="eastAsia"/>
          <w:lang w:eastAsia="zh-CN"/>
        </w:rPr>
        <w:t>．</w:t>
      </w:r>
      <w:r>
        <w:t>图学学报，</w:t>
      </w:r>
      <w:r>
        <w:rPr>
          <w:rFonts w:ascii="Times New Roman" w:hAnsi="Times New Roman" w:eastAsia="宋体" w:cs="Times New Roman"/>
        </w:rPr>
        <w:t>2018</w:t>
      </w:r>
      <w:r>
        <w:t>，</w:t>
      </w:r>
      <w:r>
        <w:rPr>
          <w:rFonts w:hint="default" w:ascii="Times New Roman" w:hAnsi="Times New Roman" w:eastAsia="宋体" w:cs="Times New Roman"/>
        </w:rPr>
        <w:t>39</w:t>
      </w:r>
      <w:r>
        <w:rPr>
          <w:rFonts w:hint="default" w:ascii="Times New Roman" w:hAnsi="Times New Roman" w:cs="Times New Roman"/>
        </w:rPr>
        <w:t>(</w:t>
      </w:r>
      <w:r>
        <w:rPr>
          <w:rFonts w:hint="default" w:ascii="Times New Roman" w:hAnsi="Times New Roman" w:eastAsia="宋体" w:cs="Times New Roman"/>
        </w:rPr>
        <w:t>5</w:t>
      </w:r>
      <w:r>
        <w:rPr>
          <w:rFonts w:hint="default" w:ascii="Times New Roman" w:hAnsi="Times New Roman" w:cs="Times New Roman"/>
        </w:rPr>
        <w:t>)</w:t>
      </w:r>
      <w:r>
        <w:rPr>
          <w:rFonts w:hint="eastAsia" w:ascii="Times New Roman" w:hAnsi="Times New Roman" w:eastAsia="宋体" w:cs="Times New Roman"/>
          <w:lang w:eastAsia="zh-CN"/>
        </w:rPr>
        <w:t>：</w:t>
      </w:r>
      <w:r>
        <w:rPr>
          <w:rFonts w:ascii="Times New Roman" w:hAnsi="Times New Roman" w:eastAsia="宋体" w:cs="Times New Roman"/>
        </w:rPr>
        <w:t>806</w:t>
      </w:r>
      <w:r>
        <w:t>-</w:t>
      </w:r>
      <w:r>
        <w:rPr>
          <w:rFonts w:ascii="Times New Roman" w:hAnsi="Times New Roman" w:eastAsia="宋体" w:cs="Times New Roman"/>
        </w:rPr>
        <w:t>812</w:t>
      </w:r>
      <w:r>
        <w:rPr>
          <w:rFonts w:hint="eastAsia"/>
          <w:lang w:eastAsia="zh-CN"/>
        </w:rPr>
        <w:t>．</w:t>
      </w:r>
      <w:r>
        <w:t xml:space="preserve"> </w:t>
      </w:r>
    </w:p>
    <w:p w14:paraId="2DDC240D">
      <w:pPr>
        <w:pStyle w:val="21"/>
        <w:numPr>
          <w:ilvl w:val="0"/>
          <w:numId w:val="0"/>
        </w:numPr>
        <w:ind w:left="0" w:leftChars="0" w:firstLine="403" w:firstLineChars="0"/>
        <w:rPr>
          <w:rFonts w:hint="default"/>
          <w:lang w:val="en-US" w:eastAsia="zh-CN"/>
        </w:rPr>
      </w:pPr>
      <w:r>
        <w:rPr>
          <w:rFonts w:hint="eastAsia" w:ascii="Times New Roman" w:hAnsi="Times New Roman" w:eastAsia="宋体" w:cs="Times New Roman"/>
          <w:sz w:val="18"/>
          <w:lang w:eastAsia="zh-CN"/>
        </w:rPr>
        <w:t>[</w:t>
      </w:r>
      <w:r>
        <w:rPr>
          <w:rFonts w:hint="default" w:ascii="仿宋" w:hAnsi="Calibri" w:eastAsia="仿宋" w:cs="Times New Roman"/>
          <w:sz w:val="18"/>
        </w:rPr>
        <w:t>4</w:t>
      </w:r>
      <w:r>
        <w:rPr>
          <w:rFonts w:hint="eastAsia" w:ascii="Times New Roman" w:hAnsi="Times New Roman" w:eastAsia="宋体" w:cs="Times New Roman"/>
          <w:sz w:val="18"/>
          <w:lang w:eastAsia="zh-CN"/>
        </w:rPr>
        <w:t>]</w:t>
      </w:r>
      <w:r>
        <w:t>王佳敏.全生命周期理论下的政府投资项目管理研究</w:t>
      </w:r>
      <w:r>
        <w:rPr>
          <w:rFonts w:hint="eastAsia" w:ascii="Times New Roman" w:hAnsi="Times New Roman" w:eastAsia="宋体" w:cs="Times New Roman"/>
          <w:lang w:eastAsia="zh-CN"/>
        </w:rPr>
        <w:t>[</w:t>
      </w:r>
      <w:r>
        <w:rPr>
          <w:rFonts w:ascii="Times New Roman" w:hAnsi="Times New Roman" w:eastAsia="宋体" w:cs="Times New Roman"/>
        </w:rPr>
        <w:t>J</w:t>
      </w:r>
      <w:r>
        <w:rPr>
          <w:rFonts w:hint="eastAsia" w:ascii="Times New Roman" w:hAnsi="Times New Roman" w:eastAsia="宋体" w:cs="Times New Roman"/>
          <w:lang w:eastAsia="zh-CN"/>
        </w:rPr>
        <w:t>]</w:t>
      </w:r>
      <w:r>
        <w:rPr>
          <w:rFonts w:hint="eastAsia"/>
          <w:lang w:eastAsia="zh-CN"/>
        </w:rPr>
        <w:t>．</w:t>
      </w:r>
      <w:r>
        <w:t>中国科技投资，</w:t>
      </w:r>
      <w:r>
        <w:rPr>
          <w:rFonts w:hint="default" w:ascii="Times New Roman" w:hAnsi="Times New Roman" w:eastAsia="宋体" w:cs="Times New Roman"/>
        </w:rPr>
        <w:t>2025(28)</w:t>
      </w:r>
      <w:r>
        <w:rPr>
          <w:rFonts w:hint="eastAsia" w:ascii="Times New Roman" w:hAnsi="Times New Roman" w:eastAsia="宋体" w:cs="Times New Roman"/>
          <w:lang w:eastAsia="zh-CN"/>
        </w:rPr>
        <w:t>：</w:t>
      </w:r>
      <w:r>
        <w:rPr>
          <w:rFonts w:ascii="Times New Roman" w:hAnsi="Times New Roman" w:eastAsia="宋体" w:cs="Times New Roman"/>
        </w:rPr>
        <w:t>19</w:t>
      </w:r>
      <w:r>
        <w:t>-</w:t>
      </w:r>
      <w:r>
        <w:rPr>
          <w:rFonts w:ascii="Times New Roman" w:hAnsi="Times New Roman" w:eastAsia="宋体" w:cs="Times New Roman"/>
        </w:rPr>
        <w:t>21</w:t>
      </w:r>
      <w:r>
        <w:rPr>
          <w:rFonts w:hint="eastAsia"/>
          <w:lang w:eastAsia="zh-CN"/>
        </w:rPr>
        <w:t>．</w:t>
      </w:r>
    </w:p>
    <w:p w14:paraId="5A2F77EC">
      <w:pPr>
        <w:pStyle w:val="21"/>
        <w:numPr>
          <w:ilvl w:val="0"/>
          <w:numId w:val="0"/>
        </w:numPr>
        <w:ind w:left="0" w:leftChars="0" w:firstLine="403" w:firstLineChars="0"/>
        <w:rPr>
          <w:rFonts w:hint="default"/>
          <w:lang w:val="en-US" w:eastAsia="zh-CN"/>
        </w:rPr>
      </w:pPr>
      <w:r>
        <w:rPr>
          <w:rFonts w:hint="eastAsia" w:ascii="Times New Roman" w:hAnsi="Times New Roman" w:eastAsia="宋体" w:cs="Times New Roman"/>
          <w:sz w:val="18"/>
          <w:lang w:eastAsia="zh-CN"/>
        </w:rPr>
        <w:t>[</w:t>
      </w:r>
      <w:r>
        <w:rPr>
          <w:rFonts w:hint="default" w:ascii="仿宋" w:hAnsi="Calibri" w:eastAsia="仿宋" w:cs="Times New Roman"/>
          <w:sz w:val="18"/>
        </w:rPr>
        <w:t>5</w:t>
      </w:r>
      <w:r>
        <w:rPr>
          <w:rFonts w:hint="eastAsia" w:ascii="Times New Roman" w:hAnsi="Times New Roman" w:eastAsia="宋体" w:cs="Times New Roman"/>
          <w:sz w:val="18"/>
          <w:lang w:eastAsia="zh-CN"/>
        </w:rPr>
        <w:t>]</w:t>
      </w:r>
      <w:r>
        <w:t>孙刚，姜晓峰，贾小岗，等</w:t>
      </w:r>
      <w:r>
        <w:rPr>
          <w:rFonts w:hint="eastAsia"/>
          <w:lang w:eastAsia="zh-CN"/>
        </w:rPr>
        <w:t>．</w:t>
      </w:r>
      <w:r>
        <w:t>基于</w:t>
      </w:r>
      <w:r>
        <w:rPr>
          <w:rFonts w:ascii="Times New Roman" w:hAnsi="Times New Roman" w:eastAsia="宋体" w:cs="Times New Roman"/>
        </w:rPr>
        <w:t>BIM</w:t>
      </w:r>
      <w:r>
        <w:t>技术的政府投资工程全生命周期数字化管理研究</w:t>
      </w:r>
      <w:r>
        <w:rPr>
          <w:rFonts w:hint="eastAsia" w:ascii="Times New Roman" w:hAnsi="Times New Roman" w:eastAsia="宋体" w:cs="Times New Roman"/>
          <w:lang w:eastAsia="zh-CN"/>
        </w:rPr>
        <w:t>[</w:t>
      </w:r>
      <w:r>
        <w:rPr>
          <w:rFonts w:ascii="Times New Roman" w:hAnsi="Times New Roman" w:eastAsia="宋体" w:cs="Times New Roman"/>
        </w:rPr>
        <w:t>J</w:t>
      </w:r>
      <w:r>
        <w:rPr>
          <w:rFonts w:hint="eastAsia" w:ascii="Times New Roman" w:hAnsi="Times New Roman" w:eastAsia="宋体" w:cs="Times New Roman"/>
          <w:lang w:eastAsia="zh-CN"/>
        </w:rPr>
        <w:t>]</w:t>
      </w:r>
      <w:r>
        <w:rPr>
          <w:rFonts w:hint="eastAsia"/>
          <w:lang w:eastAsia="zh-CN"/>
        </w:rPr>
        <w:t>．</w:t>
      </w:r>
      <w:r>
        <w:t>施工技术（中英文）</w:t>
      </w:r>
      <w:r>
        <w:rPr>
          <w:rFonts w:hint="eastAsia"/>
          <w:lang w:eastAsia="zh-CN"/>
        </w:rPr>
        <w:t>，</w:t>
      </w:r>
      <w:r>
        <w:rPr>
          <w:rFonts w:ascii="Times New Roman" w:hAnsi="Times New Roman" w:eastAsia="宋体" w:cs="Times New Roman"/>
        </w:rPr>
        <w:t>2024</w:t>
      </w:r>
      <w:r>
        <w:t>,</w:t>
      </w:r>
      <w:r>
        <w:rPr>
          <w:rFonts w:hint="default" w:ascii="Times New Roman" w:hAnsi="Times New Roman" w:eastAsia="宋体" w:cs="Times New Roman"/>
        </w:rPr>
        <w:t>53(4)</w:t>
      </w:r>
      <w:r>
        <w:rPr>
          <w:rFonts w:hint="eastAsia" w:ascii="Times New Roman" w:hAnsi="Times New Roman" w:eastAsia="宋体" w:cs="Times New Roman"/>
          <w:lang w:eastAsia="zh-CN"/>
        </w:rPr>
        <w:t>：</w:t>
      </w:r>
      <w:r>
        <w:rPr>
          <w:rFonts w:ascii="Times New Roman" w:hAnsi="Times New Roman" w:eastAsia="宋体" w:cs="Times New Roman"/>
        </w:rPr>
        <w:t>139</w:t>
      </w:r>
      <w:r>
        <w:t>-</w:t>
      </w:r>
      <w:r>
        <w:rPr>
          <w:rFonts w:ascii="Times New Roman" w:hAnsi="Times New Roman" w:eastAsia="宋体" w:cs="Times New Roman"/>
        </w:rPr>
        <w:t>144</w:t>
      </w:r>
      <w:r>
        <w:rPr>
          <w:rFonts w:hint="eastAsia"/>
          <w:lang w:eastAsia="zh-CN"/>
        </w:rPr>
        <w:t>．</w:t>
      </w:r>
    </w:p>
    <w:p w14:paraId="0B19B219">
      <w:pPr>
        <w:pStyle w:val="21"/>
        <w:numPr>
          <w:ilvl w:val="0"/>
          <w:numId w:val="0"/>
        </w:numPr>
        <w:ind w:left="0" w:leftChars="0" w:firstLine="403" w:firstLineChars="0"/>
        <w:rPr>
          <w:rFonts w:hint="default"/>
          <w:lang w:val="en-US" w:eastAsia="zh-CN"/>
        </w:rPr>
      </w:pPr>
      <w:r>
        <w:rPr>
          <w:rFonts w:hint="eastAsia" w:ascii="Times New Roman" w:hAnsi="Times New Roman" w:eastAsia="宋体" w:cs="Times New Roman"/>
          <w:sz w:val="18"/>
          <w:lang w:eastAsia="zh-CN"/>
        </w:rPr>
        <w:t>[</w:t>
      </w:r>
      <w:r>
        <w:rPr>
          <w:rFonts w:hint="default" w:ascii="仿宋" w:hAnsi="Calibri" w:eastAsia="仿宋" w:cs="Times New Roman"/>
          <w:sz w:val="18"/>
        </w:rPr>
        <w:t>6</w:t>
      </w:r>
      <w:r>
        <w:rPr>
          <w:rFonts w:hint="eastAsia" w:ascii="Times New Roman" w:hAnsi="Times New Roman" w:eastAsia="宋体" w:cs="Times New Roman"/>
          <w:sz w:val="18"/>
          <w:lang w:eastAsia="zh-CN"/>
        </w:rPr>
        <w:t>]</w:t>
      </w:r>
      <w:r>
        <w:t>卢少辉</w:t>
      </w:r>
      <w:r>
        <w:rPr>
          <w:rFonts w:hint="eastAsia"/>
          <w:lang w:eastAsia="zh-CN"/>
        </w:rPr>
        <w:t>．</w:t>
      </w:r>
      <w:r>
        <w:t>推进智慧工地建设和政府质量安全数字化监管的探析</w:t>
      </w:r>
      <w:r>
        <w:rPr>
          <w:rFonts w:hint="eastAsia" w:ascii="Times New Roman" w:hAnsi="Times New Roman" w:eastAsia="宋体" w:cs="Times New Roman"/>
          <w:lang w:eastAsia="zh-CN"/>
        </w:rPr>
        <w:t>[</w:t>
      </w:r>
      <w:r>
        <w:rPr>
          <w:rFonts w:ascii="Times New Roman" w:hAnsi="Times New Roman" w:eastAsia="宋体" w:cs="Times New Roman"/>
        </w:rPr>
        <w:t>J</w:t>
      </w:r>
      <w:r>
        <w:rPr>
          <w:rFonts w:hint="eastAsia" w:ascii="Times New Roman" w:hAnsi="Times New Roman" w:eastAsia="宋体" w:cs="Times New Roman"/>
          <w:lang w:eastAsia="zh-CN"/>
        </w:rPr>
        <w:t>]</w:t>
      </w:r>
      <w:r>
        <w:rPr>
          <w:rFonts w:hint="eastAsia"/>
          <w:lang w:eastAsia="zh-CN"/>
        </w:rPr>
        <w:t>．</w:t>
      </w:r>
      <w:r>
        <w:t>工程质量，</w:t>
      </w:r>
      <w:r>
        <w:rPr>
          <w:rFonts w:ascii="Times New Roman" w:hAnsi="Times New Roman" w:eastAsia="宋体" w:cs="Times New Roman"/>
        </w:rPr>
        <w:t>2024</w:t>
      </w:r>
      <w:r>
        <w:t>，</w:t>
      </w:r>
      <w:r>
        <w:rPr>
          <w:rFonts w:hint="default" w:ascii="Times New Roman" w:hAnsi="Times New Roman" w:eastAsia="宋体" w:cs="Times New Roman"/>
        </w:rPr>
        <w:t>42</w:t>
      </w:r>
      <w:r>
        <w:rPr>
          <w:rFonts w:hint="default" w:ascii="Times New Roman" w:hAnsi="Times New Roman" w:cs="Times New Roman"/>
        </w:rPr>
        <w:t>(</w:t>
      </w:r>
      <w:r>
        <w:rPr>
          <w:rFonts w:hint="default" w:ascii="Times New Roman" w:hAnsi="Times New Roman" w:eastAsia="宋体" w:cs="Times New Roman"/>
        </w:rPr>
        <w:t>1</w:t>
      </w:r>
      <w:r>
        <w:rPr>
          <w:rFonts w:hint="default" w:ascii="Times New Roman" w:hAnsi="Times New Roman" w:cs="Times New Roman"/>
        </w:rPr>
        <w:t>)</w:t>
      </w:r>
      <w:r>
        <w:rPr>
          <w:rFonts w:hint="eastAsia" w:ascii="Times New Roman" w:hAnsi="Times New Roman" w:eastAsia="宋体" w:cs="Times New Roman"/>
          <w:lang w:eastAsia="zh-CN"/>
        </w:rPr>
        <w:t>：</w:t>
      </w:r>
      <w:r>
        <w:rPr>
          <w:rFonts w:ascii="Times New Roman" w:hAnsi="Times New Roman" w:eastAsia="宋体" w:cs="Times New Roman"/>
        </w:rPr>
        <w:t>68</w:t>
      </w:r>
      <w:r>
        <w:t>-</w:t>
      </w:r>
      <w:r>
        <w:rPr>
          <w:rFonts w:ascii="Times New Roman" w:hAnsi="Times New Roman" w:eastAsia="宋体" w:cs="Times New Roman"/>
        </w:rPr>
        <w:t>71</w:t>
      </w:r>
      <w:r>
        <w:rPr>
          <w:rFonts w:hint="eastAsia"/>
          <w:lang w:eastAsia="zh-CN"/>
        </w:rPr>
        <w:t>．</w:t>
      </w:r>
    </w:p>
    <w:p w14:paraId="62D23CD1">
      <w:pPr>
        <w:pStyle w:val="21"/>
        <w:numPr>
          <w:ilvl w:val="0"/>
          <w:numId w:val="0"/>
        </w:numPr>
        <w:ind w:left="0" w:leftChars="0" w:firstLine="403" w:firstLineChars="0"/>
        <w:rPr>
          <w:rFonts w:hint="default"/>
          <w:lang w:val="en-US" w:eastAsia="zh-CN"/>
        </w:rPr>
      </w:pPr>
      <w:r>
        <w:rPr>
          <w:rFonts w:hint="eastAsia" w:ascii="Times New Roman" w:hAnsi="Times New Roman" w:eastAsia="宋体" w:cs="Times New Roman"/>
          <w:sz w:val="18"/>
          <w:lang w:eastAsia="zh-CN"/>
        </w:rPr>
        <w:t>[</w:t>
      </w:r>
      <w:r>
        <w:rPr>
          <w:rFonts w:hint="default" w:ascii="仿宋" w:hAnsi="Calibri" w:eastAsia="仿宋" w:cs="Times New Roman"/>
          <w:sz w:val="18"/>
        </w:rPr>
        <w:t>7</w:t>
      </w:r>
      <w:r>
        <w:rPr>
          <w:rFonts w:hint="eastAsia" w:ascii="Times New Roman" w:hAnsi="Times New Roman" w:eastAsia="宋体" w:cs="Times New Roman"/>
          <w:sz w:val="18"/>
          <w:lang w:eastAsia="zh-CN"/>
        </w:rPr>
        <w:t>]</w:t>
      </w:r>
      <w:r>
        <w:t>刁尚东</w:t>
      </w:r>
      <w:r>
        <w:rPr>
          <w:rFonts w:hint="eastAsia"/>
          <w:lang w:eastAsia="zh-CN"/>
        </w:rPr>
        <w:t>．</w:t>
      </w:r>
      <w:r>
        <w:t>智慧代建体系构建与关键技术</w:t>
      </w:r>
      <w:r>
        <w:rPr>
          <w:rFonts w:hint="eastAsia" w:ascii="Times New Roman" w:hAnsi="Times New Roman" w:eastAsia="宋体" w:cs="Times New Roman"/>
          <w:lang w:eastAsia="zh-CN"/>
        </w:rPr>
        <w:t>：</w:t>
      </w:r>
      <w:r>
        <w:t>数字化转型升级研究与实践</w:t>
      </w:r>
      <w:r>
        <w:rPr>
          <w:rFonts w:hint="eastAsia" w:ascii="Times New Roman" w:hAnsi="Times New Roman" w:eastAsia="宋体" w:cs="Times New Roman"/>
          <w:lang w:eastAsia="zh-CN"/>
        </w:rPr>
        <w:t>[</w:t>
      </w:r>
      <w:r>
        <w:rPr>
          <w:rFonts w:ascii="Times New Roman" w:hAnsi="Times New Roman" w:eastAsia="宋体" w:cs="Times New Roman"/>
        </w:rPr>
        <w:t>M</w:t>
      </w:r>
      <w:r>
        <w:rPr>
          <w:rFonts w:hint="eastAsia" w:ascii="Times New Roman" w:hAnsi="Times New Roman" w:eastAsia="宋体" w:cs="Times New Roman"/>
          <w:lang w:eastAsia="zh-CN"/>
        </w:rPr>
        <w:t>]</w:t>
      </w:r>
      <w:r>
        <w:rPr>
          <w:rFonts w:hint="eastAsia"/>
          <w:lang w:eastAsia="zh-CN"/>
        </w:rPr>
        <w:t>．</w:t>
      </w:r>
      <w:r>
        <w:t>北京</w:t>
      </w:r>
      <w:r>
        <w:rPr>
          <w:rFonts w:hint="eastAsia" w:ascii="Times New Roman" w:hAnsi="Times New Roman" w:eastAsia="宋体" w:cs="Times New Roman"/>
          <w:lang w:eastAsia="zh-CN"/>
        </w:rPr>
        <w:t>：</w:t>
      </w:r>
      <w:r>
        <w:rPr>
          <w:rFonts w:hint="default" w:ascii="Times New Roman" w:hAnsi="Times New Roman" w:cs="Times New Roman"/>
        </w:rPr>
        <w:t xml:space="preserve"> </w:t>
      </w:r>
      <w:r>
        <w:t>中国建筑工业出版社</w:t>
      </w:r>
      <w:r>
        <w:rPr>
          <w:rFonts w:hint="eastAsia"/>
          <w:lang w:eastAsia="zh-CN"/>
        </w:rPr>
        <w:t>，</w:t>
      </w:r>
      <w:r>
        <w:rPr>
          <w:rFonts w:ascii="Times New Roman" w:hAnsi="Times New Roman" w:eastAsia="宋体" w:cs="Times New Roman"/>
        </w:rPr>
        <w:t>2022</w:t>
      </w:r>
      <w:r>
        <w:rPr>
          <w:rFonts w:hint="eastAsia"/>
          <w:lang w:eastAsia="zh-CN"/>
        </w:rPr>
        <w:t>．</w:t>
      </w:r>
    </w:p>
    <w:p w14:paraId="61C6154B">
      <w:pPr>
        <w:pStyle w:val="21"/>
        <w:numPr>
          <w:ilvl w:val="0"/>
          <w:numId w:val="0"/>
        </w:numPr>
        <w:ind w:left="0" w:leftChars="0" w:firstLine="403" w:firstLineChars="0"/>
        <w:rPr>
          <w:rFonts w:hint="default"/>
          <w:lang w:val="en-US" w:eastAsia="zh-CN"/>
        </w:rPr>
      </w:pPr>
      <w:r>
        <w:rPr>
          <w:rFonts w:hint="eastAsia" w:ascii="Times New Roman" w:hAnsi="Times New Roman" w:eastAsia="宋体" w:cs="Times New Roman"/>
          <w:sz w:val="18"/>
          <w:lang w:eastAsia="zh-CN"/>
        </w:rPr>
        <w:t>[</w:t>
      </w:r>
      <w:r>
        <w:rPr>
          <w:rFonts w:hint="default" w:ascii="仿宋" w:hAnsi="Calibri" w:eastAsia="仿宋" w:cs="Times New Roman"/>
          <w:sz w:val="18"/>
        </w:rPr>
        <w:t>8</w:t>
      </w:r>
      <w:r>
        <w:rPr>
          <w:rFonts w:hint="eastAsia" w:ascii="Times New Roman" w:hAnsi="Times New Roman" w:eastAsia="宋体" w:cs="Times New Roman"/>
          <w:sz w:val="18"/>
          <w:lang w:eastAsia="zh-CN"/>
        </w:rPr>
        <w:t>]</w:t>
      </w:r>
      <w:r>
        <w:t>伍栋</w:t>
      </w:r>
      <w:r>
        <w:rPr>
          <w:rFonts w:hint="eastAsia"/>
          <w:lang w:eastAsia="zh-CN"/>
        </w:rPr>
        <w:t>．</w:t>
      </w:r>
      <w:r>
        <w:t>智慧工地现场施工管理的数字化设计与应用</w:t>
      </w:r>
      <w:r>
        <w:rPr>
          <w:rFonts w:hint="eastAsia" w:ascii="Times New Roman" w:hAnsi="Times New Roman" w:eastAsia="宋体" w:cs="Times New Roman"/>
          <w:lang w:eastAsia="zh-CN"/>
        </w:rPr>
        <w:t>[</w:t>
      </w:r>
      <w:r>
        <w:rPr>
          <w:rFonts w:ascii="Times New Roman" w:hAnsi="Times New Roman" w:eastAsia="宋体" w:cs="Times New Roman"/>
        </w:rPr>
        <w:t>J</w:t>
      </w:r>
      <w:r>
        <w:rPr>
          <w:rFonts w:hint="eastAsia" w:ascii="Times New Roman" w:hAnsi="Times New Roman" w:eastAsia="宋体" w:cs="Times New Roman"/>
          <w:lang w:eastAsia="zh-CN"/>
        </w:rPr>
        <w:t>]</w:t>
      </w:r>
      <w:r>
        <w:rPr>
          <w:rFonts w:hint="eastAsia"/>
          <w:lang w:eastAsia="zh-CN"/>
        </w:rPr>
        <w:t>．</w:t>
      </w:r>
      <w:r>
        <w:t>智能建筑与智慧城市</w:t>
      </w:r>
      <w:r>
        <w:rPr>
          <w:rFonts w:hint="eastAsia"/>
          <w:lang w:eastAsia="zh-CN"/>
        </w:rPr>
        <w:t>，</w:t>
      </w:r>
      <w:r>
        <w:rPr>
          <w:rFonts w:hint="default" w:ascii="Times New Roman" w:hAnsi="Times New Roman" w:eastAsia="宋体" w:cs="Times New Roman"/>
        </w:rPr>
        <w:t>2024(5)</w:t>
      </w:r>
      <w:r>
        <w:rPr>
          <w:rFonts w:hint="eastAsia"/>
          <w:lang w:eastAsia="zh-CN"/>
        </w:rPr>
        <w:t>．</w:t>
      </w:r>
    </w:p>
    <w:p w14:paraId="765B3A0E">
      <w:pPr>
        <w:pStyle w:val="21"/>
        <w:numPr>
          <w:ilvl w:val="0"/>
          <w:numId w:val="0"/>
        </w:numPr>
        <w:ind w:left="0" w:leftChars="0" w:firstLine="403" w:firstLineChars="0"/>
        <w:rPr>
          <w:rFonts w:hint="default"/>
          <w:lang w:val="en-US" w:eastAsia="zh-CN"/>
        </w:rPr>
      </w:pPr>
      <w:r>
        <w:rPr>
          <w:rFonts w:hint="eastAsia" w:ascii="Times New Roman" w:hAnsi="Times New Roman" w:eastAsia="宋体" w:cs="Times New Roman"/>
          <w:sz w:val="18"/>
          <w:lang w:eastAsia="zh-CN"/>
        </w:rPr>
        <w:t>[</w:t>
      </w:r>
      <w:r>
        <w:rPr>
          <w:rFonts w:hint="default" w:ascii="仿宋" w:hAnsi="Calibri" w:eastAsia="仿宋" w:cs="Times New Roman"/>
          <w:sz w:val="18"/>
        </w:rPr>
        <w:t>9</w:t>
      </w:r>
      <w:r>
        <w:rPr>
          <w:rFonts w:hint="eastAsia" w:ascii="Times New Roman" w:hAnsi="Times New Roman" w:eastAsia="宋体" w:cs="Times New Roman"/>
          <w:sz w:val="18"/>
          <w:lang w:eastAsia="zh-CN"/>
        </w:rPr>
        <w:t>]</w:t>
      </w:r>
      <w:r>
        <w:t>闫涛</w:t>
      </w:r>
      <w:r>
        <w:rPr>
          <w:rFonts w:hint="eastAsia"/>
          <w:lang w:eastAsia="zh-CN"/>
        </w:rPr>
        <w:t>．</w:t>
      </w:r>
      <w:r>
        <w:t>基于</w:t>
      </w:r>
      <w:r>
        <w:rPr>
          <w:rFonts w:ascii="Times New Roman" w:hAnsi="Times New Roman" w:eastAsia="宋体" w:cs="Times New Roman"/>
        </w:rPr>
        <w:t>BIM</w:t>
      </w:r>
      <w:r>
        <w:t>+</w:t>
      </w:r>
      <w:r>
        <w:rPr>
          <w:rFonts w:ascii="Times New Roman" w:hAnsi="Times New Roman" w:eastAsia="宋体" w:cs="Times New Roman"/>
        </w:rPr>
        <w:t>AIoT</w:t>
      </w:r>
      <w:r>
        <w:t>的市政工程智慧工地平台开发与应用</w:t>
      </w:r>
      <w:r>
        <w:rPr>
          <w:rFonts w:hint="eastAsia" w:ascii="Times New Roman" w:hAnsi="Times New Roman" w:eastAsia="宋体" w:cs="Times New Roman"/>
          <w:lang w:eastAsia="zh-CN"/>
        </w:rPr>
        <w:t>[</w:t>
      </w:r>
      <w:r>
        <w:rPr>
          <w:rFonts w:ascii="Times New Roman" w:hAnsi="Times New Roman" w:eastAsia="宋体" w:cs="Times New Roman"/>
        </w:rPr>
        <w:t>J</w:t>
      </w:r>
      <w:r>
        <w:rPr>
          <w:rFonts w:hint="eastAsia" w:ascii="Times New Roman" w:hAnsi="Times New Roman" w:eastAsia="宋体" w:cs="Times New Roman"/>
          <w:lang w:eastAsia="zh-CN"/>
        </w:rPr>
        <w:t>]</w:t>
      </w:r>
      <w:r>
        <w:rPr>
          <w:rFonts w:hint="eastAsia"/>
          <w:lang w:eastAsia="zh-CN"/>
        </w:rPr>
        <w:t>．</w:t>
      </w:r>
      <w:r>
        <w:t xml:space="preserve">城市道桥与防洪, </w:t>
      </w:r>
      <w:r>
        <w:rPr>
          <w:rFonts w:hint="default" w:ascii="Times New Roman" w:hAnsi="Times New Roman" w:eastAsia="宋体" w:cs="Times New Roman"/>
        </w:rPr>
        <w:t>2024(1)</w:t>
      </w:r>
      <w:r>
        <w:rPr>
          <w:rFonts w:hint="eastAsia" w:ascii="Times New Roman" w:hAnsi="Times New Roman" w:eastAsia="宋体" w:cs="Times New Roman"/>
          <w:lang w:eastAsia="zh-CN"/>
        </w:rPr>
        <w:t>：</w:t>
      </w:r>
      <w:r>
        <w:rPr>
          <w:rFonts w:ascii="Times New Roman" w:hAnsi="Times New Roman" w:eastAsia="宋体" w:cs="Times New Roman"/>
        </w:rPr>
        <w:t>237</w:t>
      </w:r>
      <w:r>
        <w:t>-</w:t>
      </w:r>
      <w:r>
        <w:rPr>
          <w:rFonts w:ascii="Times New Roman" w:hAnsi="Times New Roman" w:eastAsia="宋体" w:cs="Times New Roman"/>
        </w:rPr>
        <w:t>240</w:t>
      </w:r>
      <w:r>
        <w:rPr>
          <w:rFonts w:hint="eastAsia"/>
          <w:lang w:eastAsia="zh-CN"/>
        </w:rPr>
        <w:t>．</w:t>
      </w:r>
    </w:p>
    <w:p w14:paraId="1620BFF5">
      <w:pPr>
        <w:pStyle w:val="21"/>
        <w:numPr>
          <w:ilvl w:val="0"/>
          <w:numId w:val="0"/>
        </w:numPr>
        <w:ind w:left="0" w:leftChars="0" w:firstLine="403" w:firstLineChars="0"/>
        <w:sectPr>
          <w:headerReference r:id="rId51" w:type="default"/>
          <w:footerReference r:id="rId53" w:type="default"/>
          <w:headerReference r:id="rId52" w:type="even"/>
          <w:footerReference r:id="rId54" w:type="even"/>
          <w:pgSz w:w="10431" w:h="14740"/>
          <w:pgMar w:top="1440" w:right="1800" w:bottom="1440" w:left="1800" w:header="851" w:footer="992" w:gutter="0"/>
          <w:pgNumType w:fmt="decimal"/>
          <w:cols w:space="425" w:num="1"/>
          <w:docGrid w:type="lines" w:linePitch="312" w:charSpace="0"/>
        </w:sectPr>
      </w:pPr>
      <w:r>
        <w:rPr>
          <w:rFonts w:hint="eastAsia" w:ascii="Times New Roman" w:hAnsi="Times New Roman" w:eastAsia="宋体" w:cs="Times New Roman"/>
          <w:sz w:val="18"/>
          <w:lang w:eastAsia="zh-CN"/>
        </w:rPr>
        <w:t>[</w:t>
      </w:r>
      <w:r>
        <w:rPr>
          <w:rFonts w:hint="default" w:ascii="仿宋" w:hAnsi="Calibri" w:eastAsia="仿宋" w:cs="Times New Roman"/>
          <w:sz w:val="18"/>
        </w:rPr>
        <w:t>10</w:t>
      </w:r>
      <w:r>
        <w:rPr>
          <w:rFonts w:hint="eastAsia" w:ascii="Times New Roman" w:hAnsi="Times New Roman" w:eastAsia="宋体" w:cs="Times New Roman"/>
          <w:sz w:val="18"/>
          <w:lang w:eastAsia="zh-CN"/>
        </w:rPr>
        <w:t>]</w:t>
      </w:r>
      <w:r>
        <w:t>王建军</w:t>
      </w:r>
      <w:r>
        <w:rPr>
          <w:rFonts w:hint="eastAsia"/>
          <w:lang w:eastAsia="zh-CN"/>
        </w:rPr>
        <w:t>．</w:t>
      </w:r>
      <w:r>
        <w:t>智能建造视域下建筑工程施工全过程数字化探析</w:t>
      </w:r>
      <w:r>
        <w:rPr>
          <w:rFonts w:hint="eastAsia" w:ascii="Times New Roman" w:hAnsi="Times New Roman" w:eastAsia="宋体" w:cs="Times New Roman"/>
          <w:lang w:eastAsia="zh-CN"/>
        </w:rPr>
        <w:t>[</w:t>
      </w:r>
      <w:r>
        <w:rPr>
          <w:rFonts w:ascii="Times New Roman" w:hAnsi="Times New Roman" w:eastAsia="宋体" w:cs="Times New Roman"/>
        </w:rPr>
        <w:t>J</w:t>
      </w:r>
      <w:r>
        <w:rPr>
          <w:rFonts w:hint="eastAsia" w:ascii="Times New Roman" w:hAnsi="Times New Roman" w:eastAsia="宋体" w:cs="Times New Roman"/>
          <w:lang w:eastAsia="zh-CN"/>
        </w:rPr>
        <w:t>]</w:t>
      </w:r>
      <w:r>
        <w:rPr>
          <w:rFonts w:hint="eastAsia"/>
          <w:lang w:eastAsia="zh-CN"/>
        </w:rPr>
        <w:t>．</w:t>
      </w:r>
      <w:r>
        <w:t>建设科技，</w:t>
      </w:r>
      <w:r>
        <w:rPr>
          <w:rFonts w:hint="default" w:ascii="Times New Roman" w:hAnsi="Times New Roman" w:eastAsia="宋体" w:cs="Times New Roman"/>
        </w:rPr>
        <w:t>2024</w:t>
      </w:r>
      <w:r>
        <w:rPr>
          <w:rFonts w:hint="default" w:ascii="Times New Roman" w:hAnsi="Times New Roman" w:cs="Times New Roman"/>
        </w:rPr>
        <w:t>(</w:t>
      </w:r>
      <w:r>
        <w:rPr>
          <w:rFonts w:hint="default" w:ascii="Times New Roman" w:hAnsi="Times New Roman" w:eastAsia="宋体" w:cs="Times New Roman"/>
        </w:rPr>
        <w:t>9</w:t>
      </w:r>
      <w:r>
        <w:rPr>
          <w:rFonts w:hint="default" w:ascii="Times New Roman" w:hAnsi="Times New Roman" w:cs="Times New Roman"/>
        </w:rPr>
        <w:t>)</w:t>
      </w:r>
      <w:r>
        <w:rPr>
          <w:rFonts w:hint="eastAsia"/>
          <w:lang w:eastAsia="zh-CN"/>
        </w:rPr>
        <w:t>．</w:t>
      </w:r>
    </w:p>
    <w:p w14:paraId="313C5133">
      <w:pPr>
        <w:rPr>
          <w:rFonts w:hint="eastAsia"/>
          <w:lang w:val="en-US" w:eastAsia="zh-CN"/>
        </w:rPr>
        <w:sectPr>
          <w:headerReference r:id="rId55" w:type="default"/>
          <w:headerReference r:id="rId56" w:type="even"/>
          <w:pgSz w:w="10431" w:h="14740"/>
          <w:pgMar w:top="1440" w:right="1800" w:bottom="1440" w:left="1800" w:header="851" w:footer="992" w:gutter="0"/>
          <w:pgNumType w:fmt="decimal"/>
          <w:cols w:space="425" w:num="1"/>
          <w:docGrid w:type="lines" w:linePitch="312" w:charSpace="0"/>
        </w:sectPr>
      </w:pPr>
    </w:p>
    <w:p w14:paraId="7F907C8E">
      <w:pPr>
        <w:rPr>
          <w:rFonts w:hint="eastAsia"/>
        </w:rPr>
      </w:pPr>
    </w:p>
    <w:sectPr>
      <w:type w:val="continuous"/>
      <w:pgSz w:w="10431" w:h="14740"/>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Nirmala UI">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05586">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3A67C">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2C873">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60D88D">
                          <w:pPr>
                            <w:pStyle w:val="1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B60D88D">
                    <w:pPr>
                      <w:pStyle w:val="12"/>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D3479">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8EAD1">
                          <w:pPr>
                            <w:pStyle w:val="1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938EAD1">
                    <w:pPr>
                      <w:pStyle w:val="12"/>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A43BE">
    <w:pPr>
      <w:pStyle w:val="12"/>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1ABE9C">
                          <w:pPr>
                            <w:pStyle w:val="12"/>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81ABE9C">
                    <w:pPr>
                      <w:pStyle w:val="12"/>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2A48B">
    <w:pPr>
      <w:pStyle w:val="12"/>
    </w:pPr>
    <w:r>
      <w:rPr>
        <w:sz w:val="1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049EAD">
                          <w:pPr>
                            <w:pStyle w:val="12"/>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3D049EAD">
                    <w:pPr>
                      <w:pStyle w:val="12"/>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A2D2D">
    <w:pPr>
      <w:pStyle w:val="12"/>
    </w:pPr>
    <w:r>
      <w:rPr>
        <w:sz w:val="18"/>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6B79E9">
                          <w:pPr>
                            <w:pStyle w:val="12"/>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66B79E9">
                    <w:pPr>
                      <w:pStyle w:val="12"/>
                    </w:pPr>
                    <w:r>
                      <w:fldChar w:fldCharType="begin"/>
                    </w:r>
                    <w:r>
                      <w:instrText xml:space="preserve"> PAGE  \* MERGEFORMAT </w:instrText>
                    </w:r>
                    <w:r>
                      <w:fldChar w:fldCharType="separate"/>
                    </w:r>
                    <w:r>
                      <w:t>23</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173D9">
    <w:pPr>
      <w:pStyle w:val="12"/>
    </w:pPr>
    <w:r>
      <w:rPr>
        <w:sz w:val="18"/>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A9AA2C">
                          <w:pPr>
                            <w:pStyle w:val="12"/>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9A9AA2C">
                    <w:pPr>
                      <w:pStyle w:val="12"/>
                    </w:pPr>
                    <w:r>
                      <w:fldChar w:fldCharType="begin"/>
                    </w:r>
                    <w:r>
                      <w:instrText xml:space="preserve"> PAGE  \* MERGEFORMAT </w:instrText>
                    </w:r>
                    <w:r>
                      <w:fldChar w:fldCharType="separate"/>
                    </w:r>
                    <w:r>
                      <w:t>24</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8F03E">
    <w:pPr>
      <w:pStyle w:val="12"/>
    </w:pPr>
    <w:r>
      <w:rPr>
        <w:sz w:val="18"/>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096CAB">
                          <w:pPr>
                            <w:pStyle w:val="12"/>
                          </w:pPr>
                          <w:r>
                            <w:fldChar w:fldCharType="begin"/>
                          </w:r>
                          <w:r>
                            <w:instrText xml:space="preserve"> PAGE  \* MERGEFORMAT </w:instrText>
                          </w:r>
                          <w:r>
                            <w:fldChar w:fldCharType="separate"/>
                          </w:r>
                          <w:r>
                            <w:t>41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D096CAB">
                    <w:pPr>
                      <w:pStyle w:val="12"/>
                    </w:pPr>
                    <w:r>
                      <w:fldChar w:fldCharType="begin"/>
                    </w:r>
                    <w:r>
                      <w:instrText xml:space="preserve"> PAGE  \* MERGEFORMAT </w:instrText>
                    </w:r>
                    <w:r>
                      <w:fldChar w:fldCharType="separate"/>
                    </w:r>
                    <w:r>
                      <w:t>41</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2A1C2">
    <w:pPr>
      <w:pStyle w:val="12"/>
    </w:pPr>
    <w:r>
      <w:rPr>
        <w:sz w:val="18"/>
      </w:rP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46EE78">
                          <w:pPr>
                            <w:pStyle w:val="12"/>
                          </w:pPr>
                          <w:r>
                            <w:fldChar w:fldCharType="begin"/>
                          </w:r>
                          <w:r>
                            <w:instrText xml:space="preserve"> PAGE  \* MERGEFORMAT </w:instrText>
                          </w:r>
                          <w:r>
                            <w:fldChar w:fldCharType="separate"/>
                          </w:r>
                          <w:r>
                            <w:t>42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5546EE78">
                    <w:pPr>
                      <w:pStyle w:val="12"/>
                    </w:pPr>
                    <w:r>
                      <w:fldChar w:fldCharType="begin"/>
                    </w:r>
                    <w:r>
                      <w:instrText xml:space="preserve"> PAGE  \* MERGEFORMAT </w:instrText>
                    </w:r>
                    <w:r>
                      <w:fldChar w:fldCharType="separate"/>
                    </w:r>
                    <w:r>
                      <w:t>42</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F3405">
    <w:pPr>
      <w:pStyle w:val="12"/>
    </w:pPr>
    <w:r>
      <w:rPr>
        <w:sz w:val="18"/>
      </w:rPr>
      <mc:AlternateContent>
        <mc:Choice Requires="wps">
          <w:drawing>
            <wp:anchor distT="0" distB="0" distL="114300" distR="114300" simplePos="0" relativeHeight="251667456"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848B6F">
                          <w:pPr>
                            <w:pStyle w:val="12"/>
                          </w:pPr>
                          <w:r>
                            <w:fldChar w:fldCharType="begin"/>
                          </w:r>
                          <w:r>
                            <w:instrText xml:space="preserve"> PAGE  \* MERGEFORMAT </w:instrText>
                          </w:r>
                          <w:r>
                            <w:fldChar w:fldCharType="separate"/>
                          </w:r>
                          <w:r>
                            <w:t>67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71848B6F">
                    <w:pPr>
                      <w:pStyle w:val="12"/>
                    </w:pPr>
                    <w:r>
                      <w:fldChar w:fldCharType="begin"/>
                    </w:r>
                    <w:r>
                      <w:instrText xml:space="preserve"> PAGE  \* MERGEFORMAT </w:instrText>
                    </w:r>
                    <w:r>
                      <w:fldChar w:fldCharType="separate"/>
                    </w:r>
                    <w:r>
                      <w:t>67</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DE2CD">
    <w:pPr>
      <w:pStyle w:val="12"/>
    </w:pPr>
    <w:r>
      <w:rPr>
        <w:sz w:val="18"/>
      </w:rPr>
      <mc:AlternateContent>
        <mc:Choice Requires="wps">
          <w:drawing>
            <wp:anchor distT="0" distB="0" distL="114300" distR="114300" simplePos="0" relativeHeight="25166848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324E0E">
                          <w:pPr>
                            <w:pStyle w:val="12"/>
                          </w:pPr>
                          <w:r>
                            <w:fldChar w:fldCharType="begin"/>
                          </w:r>
                          <w:r>
                            <w:instrText xml:space="preserve"> PAGE  \* MERGEFORMAT </w:instrText>
                          </w:r>
                          <w:r>
                            <w:fldChar w:fldCharType="separate"/>
                          </w:r>
                          <w:r>
                            <w:t>68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26324E0E">
                    <w:pPr>
                      <w:pStyle w:val="12"/>
                    </w:pPr>
                    <w:r>
                      <w:fldChar w:fldCharType="begin"/>
                    </w:r>
                    <w:r>
                      <w:instrText xml:space="preserve"> PAGE  \* MERGEFORMAT </w:instrText>
                    </w:r>
                    <w:r>
                      <w:fldChar w:fldCharType="separate"/>
                    </w:r>
                    <w:r>
                      <w:t>68</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F882E">
    <w:pPr>
      <w:pStyle w:val="12"/>
    </w:pPr>
    <w:r>
      <w:rPr>
        <w:sz w:val="18"/>
      </w:rPr>
      <mc:AlternateContent>
        <mc:Choice Requires="wps">
          <w:drawing>
            <wp:anchor distT="0" distB="0" distL="114300" distR="114300" simplePos="0" relativeHeight="25166950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1A2B73">
                          <w:pPr>
                            <w:pStyle w:val="12"/>
                          </w:pPr>
                          <w:r>
                            <w:fldChar w:fldCharType="begin"/>
                          </w:r>
                          <w:r>
                            <w:instrText xml:space="preserve"> PAGE  \* MERGEFORMAT </w:instrText>
                          </w:r>
                          <w:r>
                            <w:fldChar w:fldCharType="separate"/>
                          </w:r>
                          <w:r>
                            <w:t>93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041A2B73">
                    <w:pPr>
                      <w:pStyle w:val="12"/>
                    </w:pPr>
                    <w:r>
                      <w:fldChar w:fldCharType="begin"/>
                    </w:r>
                    <w:r>
                      <w:instrText xml:space="preserve"> PAGE  \* MERGEFORMAT </w:instrText>
                    </w:r>
                    <w:r>
                      <w:fldChar w:fldCharType="separate"/>
                    </w:r>
                    <w:r>
                      <w:t>93</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09AFB">
    <w:pPr>
      <w:pStyle w:val="12"/>
    </w:pPr>
    <w:r>
      <w:rPr>
        <w:sz w:val="18"/>
      </w:rPr>
      <mc:AlternateContent>
        <mc:Choice Requires="wps">
          <w:drawing>
            <wp:anchor distT="0" distB="0" distL="114300" distR="114300" simplePos="0" relativeHeight="25167052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E8070">
                          <w:pPr>
                            <w:pStyle w:val="12"/>
                          </w:pPr>
                          <w:r>
                            <w:fldChar w:fldCharType="begin"/>
                          </w:r>
                          <w:r>
                            <w:instrText xml:space="preserve"> PAGE  \* MERGEFORMAT </w:instrText>
                          </w:r>
                          <w:r>
                            <w:fldChar w:fldCharType="separate"/>
                          </w:r>
                          <w:r>
                            <w:t>94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764E8070">
                    <w:pPr>
                      <w:pStyle w:val="12"/>
                    </w:pPr>
                    <w:r>
                      <w:fldChar w:fldCharType="begin"/>
                    </w:r>
                    <w:r>
                      <w:instrText xml:space="preserve"> PAGE  \* MERGEFORMAT </w:instrText>
                    </w:r>
                    <w:r>
                      <w:fldChar w:fldCharType="separate"/>
                    </w:r>
                    <w:r>
                      <w:t>94</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406DF">
    <w:pPr>
      <w:pStyle w:val="12"/>
    </w:pPr>
    <w:r>
      <w:rPr>
        <w:sz w:val="18"/>
      </w:rPr>
      <mc:AlternateContent>
        <mc:Choice Requires="wps">
          <w:drawing>
            <wp:anchor distT="0" distB="0" distL="114300" distR="114300" simplePos="0" relativeHeight="25167155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CF0689">
                          <w:pPr>
                            <w:pStyle w:val="12"/>
                          </w:pPr>
                          <w:r>
                            <w:fldChar w:fldCharType="begin"/>
                          </w:r>
                          <w:r>
                            <w:instrText xml:space="preserve"> PAGE  \* MERGEFORMAT </w:instrText>
                          </w:r>
                          <w:r>
                            <w:fldChar w:fldCharType="separate"/>
                          </w:r>
                          <w:r>
                            <w:t>121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65CF0689">
                    <w:pPr>
                      <w:pStyle w:val="12"/>
                    </w:pPr>
                    <w:r>
                      <w:fldChar w:fldCharType="begin"/>
                    </w:r>
                    <w:r>
                      <w:instrText xml:space="preserve"> PAGE  \* MERGEFORMAT </w:instrText>
                    </w:r>
                    <w:r>
                      <w:fldChar w:fldCharType="separate"/>
                    </w:r>
                    <w:r>
                      <w:t>121</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D0C71">
    <w:pPr>
      <w:pStyle w:val="12"/>
    </w:pPr>
    <w:r>
      <w:rPr>
        <w:sz w:val="18"/>
      </w:rPr>
      <mc:AlternateContent>
        <mc:Choice Requires="wps">
          <w:drawing>
            <wp:anchor distT="0" distB="0" distL="114300" distR="114300" simplePos="0" relativeHeight="25167257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1F0AF8">
                          <w:pPr>
                            <w:pStyle w:val="12"/>
                          </w:pPr>
                          <w:r>
                            <w:fldChar w:fldCharType="begin"/>
                          </w:r>
                          <w:r>
                            <w:instrText xml:space="preserve"> PAGE  \* MERGEFORMAT </w:instrText>
                          </w:r>
                          <w:r>
                            <w:fldChar w:fldCharType="separate"/>
                          </w:r>
                          <w:r>
                            <w:t>122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31F0AF8">
                    <w:pPr>
                      <w:pStyle w:val="12"/>
                    </w:pPr>
                    <w:r>
                      <w:fldChar w:fldCharType="begin"/>
                    </w:r>
                    <w:r>
                      <w:instrText xml:space="preserve"> PAGE  \* MERGEFORMAT </w:instrText>
                    </w:r>
                    <w:r>
                      <w:fldChar w:fldCharType="separate"/>
                    </w:r>
                    <w:r>
                      <w:t>122</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7F28">
    <w:pPr>
      <w:pStyle w:val="12"/>
    </w:pPr>
    <w:r>
      <w:rPr>
        <w:sz w:val="18"/>
      </w:rPr>
      <mc:AlternateContent>
        <mc:Choice Requires="wps">
          <w:drawing>
            <wp:anchor distT="0" distB="0" distL="114300" distR="114300" simplePos="0" relativeHeight="25167360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F22098">
                          <w:pPr>
                            <w:pStyle w:val="12"/>
                          </w:pPr>
                          <w:r>
                            <w:fldChar w:fldCharType="begin"/>
                          </w:r>
                          <w:r>
                            <w:instrText xml:space="preserve"> PAGE  \* MERGEFORMAT </w:instrText>
                          </w:r>
                          <w:r>
                            <w:fldChar w:fldCharType="separate"/>
                          </w:r>
                          <w:r>
                            <w:t>145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44F22098">
                    <w:pPr>
                      <w:pStyle w:val="12"/>
                    </w:pPr>
                    <w:r>
                      <w:fldChar w:fldCharType="begin"/>
                    </w:r>
                    <w:r>
                      <w:instrText xml:space="preserve"> PAGE  \* MERGEFORMAT </w:instrText>
                    </w:r>
                    <w:r>
                      <w:fldChar w:fldCharType="separate"/>
                    </w:r>
                    <w:r>
                      <w:t>145</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1B30D">
    <w:pPr>
      <w:pStyle w:val="12"/>
    </w:pPr>
    <w:r>
      <w:rPr>
        <w:sz w:val="18"/>
      </w:rPr>
      <mc:AlternateContent>
        <mc:Choice Requires="wps">
          <w:drawing>
            <wp:anchor distT="0" distB="0" distL="114300" distR="114300" simplePos="0" relativeHeight="25167462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CBC2BE">
                          <w:pPr>
                            <w:pStyle w:val="12"/>
                          </w:pPr>
                          <w:r>
                            <w:fldChar w:fldCharType="begin"/>
                          </w:r>
                          <w:r>
                            <w:instrText xml:space="preserve"> PAGE  \* MERGEFORMAT </w:instrText>
                          </w:r>
                          <w:r>
                            <w:fldChar w:fldCharType="separate"/>
                          </w:r>
                          <w:r>
                            <w:t>146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17CBC2BE">
                    <w:pPr>
                      <w:pStyle w:val="12"/>
                    </w:pPr>
                    <w:r>
                      <w:fldChar w:fldCharType="begin"/>
                    </w:r>
                    <w:r>
                      <w:instrText xml:space="preserve"> PAGE  \* MERGEFORMAT </w:instrText>
                    </w:r>
                    <w:r>
                      <w:fldChar w:fldCharType="separate"/>
                    </w:r>
                    <w:r>
                      <w:t>146</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75140">
    <w:pPr>
      <w:pStyle w:val="12"/>
    </w:pPr>
    <w:r>
      <w:rPr>
        <w:sz w:val="18"/>
      </w:rPr>
      <mc:AlternateContent>
        <mc:Choice Requires="wps">
          <w:drawing>
            <wp:anchor distT="0" distB="0" distL="114300" distR="114300" simplePos="0" relativeHeight="25167564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E2696B">
                          <w:pPr>
                            <w:pStyle w:val="12"/>
                          </w:pPr>
                          <w:r>
                            <w:fldChar w:fldCharType="begin"/>
                          </w:r>
                          <w:r>
                            <w:instrText xml:space="preserve"> PAGE  \* MERGEFORMAT </w:instrText>
                          </w:r>
                          <w:r>
                            <w:fldChar w:fldCharType="separate"/>
                          </w:r>
                          <w:r>
                            <w:t>167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75E2696B">
                    <w:pPr>
                      <w:pStyle w:val="12"/>
                    </w:pPr>
                    <w:r>
                      <w:fldChar w:fldCharType="begin"/>
                    </w:r>
                    <w:r>
                      <w:instrText xml:space="preserve"> PAGE  \* MERGEFORMAT </w:instrText>
                    </w:r>
                    <w:r>
                      <w:fldChar w:fldCharType="separate"/>
                    </w:r>
                    <w:r>
                      <w:t>167</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C20C5">
    <w:pPr>
      <w:pStyle w:val="12"/>
    </w:pPr>
    <w:r>
      <w:rPr>
        <w:sz w:val="18"/>
      </w:rPr>
      <mc:AlternateContent>
        <mc:Choice Requires="wps">
          <w:drawing>
            <wp:anchor distT="0" distB="0" distL="114300" distR="114300" simplePos="0" relativeHeight="25167667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01EB37">
                          <w:pPr>
                            <w:pStyle w:val="12"/>
                          </w:pPr>
                          <w:r>
                            <w:fldChar w:fldCharType="begin"/>
                          </w:r>
                          <w:r>
                            <w:instrText xml:space="preserve"> PAGE  \* MERGEFORMAT </w:instrText>
                          </w:r>
                          <w:r>
                            <w:fldChar w:fldCharType="separate"/>
                          </w:r>
                          <w:r>
                            <w:t>168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0D01EB37">
                    <w:pPr>
                      <w:pStyle w:val="12"/>
                    </w:pPr>
                    <w:r>
                      <w:fldChar w:fldCharType="begin"/>
                    </w:r>
                    <w:r>
                      <w:instrText xml:space="preserve"> PAGE  \* MERGEFORMAT </w:instrText>
                    </w:r>
                    <w:r>
                      <w:fldChar w:fldCharType="separate"/>
                    </w:r>
                    <w:r>
                      <w:t>168</w:t>
                    </w:r>
                    <w: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44664">
    <w:pPr>
      <w:pStyle w:val="12"/>
    </w:pPr>
    <w:r>
      <w:rPr>
        <w:sz w:val="18"/>
      </w:rPr>
      <mc:AlternateContent>
        <mc:Choice Requires="wps">
          <w:drawing>
            <wp:anchor distT="0" distB="0" distL="114300" distR="114300" simplePos="0" relativeHeight="25167769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7238ED">
                          <w:pPr>
                            <w:pStyle w:val="12"/>
                          </w:pPr>
                          <w:r>
                            <w:fldChar w:fldCharType="begin"/>
                          </w:r>
                          <w:r>
                            <w:instrText xml:space="preserve"> PAGE  \* MERGEFORMAT </w:instrText>
                          </w:r>
                          <w:r>
                            <w:fldChar w:fldCharType="separate"/>
                          </w:r>
                          <w:r>
                            <w:t>167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0A7238ED">
                    <w:pPr>
                      <w:pStyle w:val="12"/>
                    </w:pPr>
                    <w:r>
                      <w:fldChar w:fldCharType="begin"/>
                    </w:r>
                    <w:r>
                      <w:instrText xml:space="preserve"> PAGE  \* MERGEFORMAT </w:instrText>
                    </w:r>
                    <w:r>
                      <w:fldChar w:fldCharType="separate"/>
                    </w:r>
                    <w:r>
                      <w:t>167</w:t>
                    </w:r>
                    <w: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A1734">
    <w:pPr>
      <w:pStyle w:val="12"/>
    </w:pPr>
    <w:r>
      <w:rPr>
        <w:sz w:val="18"/>
      </w:rPr>
      <mc:AlternateContent>
        <mc:Choice Requires="wps">
          <w:drawing>
            <wp:anchor distT="0" distB="0" distL="114300" distR="114300" simplePos="0" relativeHeight="25167872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54B1DD">
                          <w:pPr>
                            <w:pStyle w:val="12"/>
                          </w:pPr>
                          <w:r>
                            <w:fldChar w:fldCharType="begin"/>
                          </w:r>
                          <w:r>
                            <w:instrText xml:space="preserve"> PAGE  \* MERGEFORMAT </w:instrText>
                          </w:r>
                          <w:r>
                            <w:fldChar w:fldCharType="separate"/>
                          </w:r>
                          <w:r>
                            <w:t>168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6E54B1DD">
                    <w:pPr>
                      <w:pStyle w:val="12"/>
                    </w:pPr>
                    <w:r>
                      <w:fldChar w:fldCharType="begin"/>
                    </w:r>
                    <w:r>
                      <w:instrText xml:space="preserve"> PAGE  \* MERGEFORMAT </w:instrText>
                    </w:r>
                    <w:r>
                      <w:fldChar w:fldCharType="separate"/>
                    </w:r>
                    <w:r>
                      <w:t>168</w:t>
                    </w:r>
                    <w: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28B6E">
    <w:pPr>
      <w:pStyle w:val="12"/>
    </w:pPr>
    <w:r>
      <w:rPr>
        <w:sz w:val="18"/>
      </w:rPr>
      <mc:AlternateContent>
        <mc:Choice Requires="wps">
          <w:drawing>
            <wp:anchor distT="0" distB="0" distL="114300" distR="114300" simplePos="0" relativeHeight="25167974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A47F85">
                          <w:pPr>
                            <w:pStyle w:val="12"/>
                          </w:pPr>
                          <w:r>
                            <w:fldChar w:fldCharType="begin"/>
                          </w:r>
                          <w:r>
                            <w:instrText xml:space="preserve"> PAGE  \* MERGEFORMAT </w:instrText>
                          </w:r>
                          <w:r>
                            <w:fldChar w:fldCharType="separate"/>
                          </w:r>
                          <w:r>
                            <w:t>167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74A47F85">
                    <w:pPr>
                      <w:pStyle w:val="12"/>
                    </w:pPr>
                    <w:r>
                      <w:fldChar w:fldCharType="begin"/>
                    </w:r>
                    <w:r>
                      <w:instrText xml:space="preserve"> PAGE  \* MERGEFORMAT </w:instrText>
                    </w:r>
                    <w:r>
                      <w:fldChar w:fldCharType="separate"/>
                    </w:r>
                    <w:r>
                      <w:t>167</w:t>
                    </w:r>
                    <w:r>
                      <w:fldChar w:fldCharType="end"/>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7C70B">
    <w:pPr>
      <w:pStyle w:val="12"/>
    </w:pPr>
    <w:r>
      <w:rPr>
        <w:sz w:val="18"/>
      </w:rPr>
      <mc:AlternateContent>
        <mc:Choice Requires="wps">
          <w:drawing>
            <wp:anchor distT="0" distB="0" distL="114300" distR="114300" simplePos="0" relativeHeight="25168076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E818B1">
                          <w:pPr>
                            <w:pStyle w:val="12"/>
                          </w:pPr>
                          <w:r>
                            <w:fldChar w:fldCharType="begin"/>
                          </w:r>
                          <w:r>
                            <w:instrText xml:space="preserve"> PAGE  \* MERGEFORMAT </w:instrText>
                          </w:r>
                          <w:r>
                            <w:fldChar w:fldCharType="separate"/>
                          </w:r>
                          <w:r>
                            <w:t>168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39E818B1">
                    <w:pPr>
                      <w:pStyle w:val="12"/>
                    </w:pPr>
                    <w:r>
                      <w:fldChar w:fldCharType="begin"/>
                    </w:r>
                    <w:r>
                      <w:instrText xml:space="preserve"> PAGE  \* MERGEFORMAT </w:instrText>
                    </w:r>
                    <w:r>
                      <w:fldChar w:fldCharType="separate"/>
                    </w:r>
                    <w:r>
                      <w:t>168</w:t>
                    </w:r>
                    <w:r>
                      <w:fldChar w:fldCharType="end"/>
                    </w:r>
                  </w:p>
                </w:txbxContent>
              </v:textbox>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B240A">
    <w:pPr>
      <w:pStyle w:val="12"/>
    </w:pPr>
    <w:r>
      <w:rPr>
        <w:sz w:val="18"/>
      </w:rPr>
      <mc:AlternateContent>
        <mc:Choice Requires="wps">
          <w:drawing>
            <wp:anchor distT="0" distB="0" distL="114300" distR="114300" simplePos="0" relativeHeight="25168179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1D5B91">
                          <w:pPr>
                            <w:pStyle w:val="12"/>
                          </w:pPr>
                          <w:r>
                            <w:fldChar w:fldCharType="begin"/>
                          </w:r>
                          <w:r>
                            <w:instrText xml:space="preserve"> PAGE  \* MERGEFORMAT </w:instrText>
                          </w:r>
                          <w:r>
                            <w:fldChar w:fldCharType="separate"/>
                          </w:r>
                          <w:r>
                            <w:t>167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391D5B91">
                    <w:pPr>
                      <w:pStyle w:val="12"/>
                    </w:pPr>
                    <w:r>
                      <w:fldChar w:fldCharType="begin"/>
                    </w:r>
                    <w:r>
                      <w:instrText xml:space="preserve"> PAGE  \* MERGEFORMAT </w:instrText>
                    </w:r>
                    <w:r>
                      <w:fldChar w:fldCharType="separate"/>
                    </w:r>
                    <w:r>
                      <w:t>167</w:t>
                    </w:r>
                    <w:r>
                      <w:fldChar w:fldCharType="end"/>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CF8D9">
    <w:pPr>
      <w:pStyle w:val="12"/>
    </w:pPr>
    <w:r>
      <w:rPr>
        <w:sz w:val="18"/>
      </w:rPr>
      <mc:AlternateContent>
        <mc:Choice Requires="wps">
          <w:drawing>
            <wp:anchor distT="0" distB="0" distL="114300" distR="114300" simplePos="0" relativeHeight="251682816" behindDoc="0" locked="0" layoutInCell="1" allowOverlap="1">
              <wp:simplePos x="0" y="0"/>
              <wp:positionH relativeFrom="margin">
                <wp:align>outside</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4A384B">
                          <w:pPr>
                            <w:pStyle w:val="12"/>
                          </w:pPr>
                          <w:r>
                            <w:fldChar w:fldCharType="begin"/>
                          </w:r>
                          <w:r>
                            <w:instrText xml:space="preserve"> PAGE  \* MERGEFORMAT </w:instrText>
                          </w:r>
                          <w:r>
                            <w:fldChar w:fldCharType="separate"/>
                          </w:r>
                          <w:r>
                            <w:t>168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514A384B">
                    <w:pPr>
                      <w:pStyle w:val="12"/>
                    </w:pPr>
                    <w:r>
                      <w:fldChar w:fldCharType="begin"/>
                    </w:r>
                    <w:r>
                      <w:instrText xml:space="preserve"> PAGE  \* MERGEFORMAT </w:instrText>
                    </w:r>
                    <w:r>
                      <w:fldChar w:fldCharType="separate"/>
                    </w:r>
                    <w:r>
                      <w:t>168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1D303">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7A708">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09E79">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50FDA">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DC7D7">
    <w:pPr>
      <w:pStyle w:val="1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BAFD9">
    <w:pPr>
      <w:pStyle w:val="1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238B6">
    <w:pPr>
      <w:pStyle w:val="13"/>
      <w:pBdr>
        <w:bottom w:val="threeDEmboss" w:color="auto" w:sz="18" w:space="1"/>
      </w:pBdr>
      <w:jc w:val="right"/>
    </w:pPr>
    <w:r>
      <w:rPr>
        <w:rFonts w:hint="eastAsia"/>
      </w:rPr>
      <w:t>第一章 智慧工地的生成逻辑与价值定位</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089EA">
    <w:pPr>
      <w:pStyle w:val="13"/>
      <w:pBdr>
        <w:bottom w:val="threeDEmboss" w:color="auto" w:sz="18" w:space="1"/>
      </w:pBdr>
    </w:pPr>
    <w:r>
      <w:rPr>
        <w:rFonts w:hint="eastAsia"/>
      </w:rPr>
      <w:t>智慧工地建设与工程现场数字化管理</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69A73">
    <w:pPr>
      <w:pStyle w:val="13"/>
      <w:pBdr>
        <w:bottom w:val="threeDEmboss" w:color="auto" w:sz="18" w:space="1"/>
      </w:pBdr>
      <w:jc w:val="right"/>
    </w:pPr>
    <w:r>
      <w:rPr>
        <w:rFonts w:hint="eastAsia"/>
      </w:rPr>
      <w:t>第二章 智慧工地建设目标与实施机制</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29A8B">
    <w:pPr>
      <w:pStyle w:val="13"/>
      <w:pBdr>
        <w:bottom w:val="threeDEmboss" w:color="auto" w:sz="18" w:space="1"/>
      </w:pBdr>
    </w:pPr>
    <w:r>
      <w:rPr>
        <w:rFonts w:hint="eastAsia"/>
      </w:rPr>
      <w:t>智慧工地建设与工程现场数字化管理</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BF19C">
    <w:pPr>
      <w:pStyle w:val="13"/>
      <w:pBdr>
        <w:bottom w:val="threeDEmboss" w:color="auto" w:sz="18" w:space="1"/>
      </w:pBdr>
      <w:jc w:val="right"/>
    </w:pPr>
    <w:r>
      <w:rPr>
        <w:rFonts w:hint="eastAsia"/>
      </w:rPr>
      <w:t>第三章 工程现场数据底座与平台架构</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82397">
    <w:pPr>
      <w:pStyle w:val="13"/>
      <w:pBdr>
        <w:bottom w:val="threeDEmboss" w:color="auto" w:sz="18" w:space="1"/>
      </w:pBdr>
    </w:pPr>
    <w:r>
      <w:rPr>
        <w:rFonts w:hint="eastAsia"/>
      </w:rPr>
      <w:t>智慧工地建设与工程现场数字化管理</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92324">
    <w:pPr>
      <w:pStyle w:val="13"/>
      <w:pBdr>
        <w:bottom w:val="threeDEmboss" w:color="auto" w:sz="18" w:space="1"/>
      </w:pBdr>
      <w:jc w:val="right"/>
    </w:pPr>
    <w:r>
      <w:rPr>
        <w:rFonts w:hint="eastAsia"/>
      </w:rPr>
      <w:t>第四章 施工现场生产组织的数字化重构</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F8B61">
    <w:pPr>
      <w:pStyle w:val="13"/>
      <w:pBdr>
        <w:bottom w:val="threeDEmboss" w:color="auto" w:sz="18" w:space="1"/>
      </w:pBdr>
    </w:pPr>
    <w:r>
      <w:rPr>
        <w:rFonts w:hint="eastAsia"/>
      </w:rPr>
      <w:t>智慧工地建设与工程现场数字化管理</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3511C">
    <w:pPr>
      <w:pStyle w:val="13"/>
      <w:pBdr>
        <w:bottom w:val="threeDEmboss" w:color="auto" w:sz="18" w:space="1"/>
      </w:pBdr>
      <w:jc w:val="right"/>
    </w:pPr>
    <w:r>
      <w:rPr>
        <w:rFonts w:hint="eastAsia"/>
      </w:rPr>
      <w:t>第五章 工程投资评审与造价合同管理</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8E40A">
    <w:pPr>
      <w:pStyle w:val="13"/>
      <w:pBdr>
        <w:bottom w:val="threeDEmboss" w:color="auto" w:sz="18" w:space="1"/>
      </w:pBdr>
    </w:pPr>
    <w:r>
      <w:rPr>
        <w:rFonts w:hint="eastAsia"/>
      </w:rPr>
      <w:t>智慧工地建设与工程现场数字化管理</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118A6">
    <w:pPr>
      <w:pStyle w:val="13"/>
      <w:pBdr>
        <w:bottom w:val="threeDEmboss" w:color="auto" w:sz="18" w:space="1"/>
      </w:pBdr>
      <w:jc w:val="right"/>
    </w:pPr>
    <w:r>
      <w:rPr>
        <w:rFonts w:hint="eastAsia"/>
      </w:rPr>
      <w:t>第六章 政府投资项目与专项工程数字化实施</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37FEA">
    <w:pPr>
      <w:pStyle w:val="13"/>
      <w:pBdr>
        <w:bottom w:val="threeDEmboss" w:color="auto" w:sz="18" w:space="1"/>
      </w:pBdr>
    </w:pPr>
    <w:r>
      <w:rPr>
        <w:rFonts w:hint="eastAsia"/>
      </w:rPr>
      <w:t>智慧工地建设与工程现场数字化管理</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9BA0C">
    <w:pPr>
      <w:pStyle w:val="13"/>
      <w:pBdr>
        <w:bottom w:val="threeDEmboss" w:color="auto" w:sz="18" w:space="1"/>
      </w:pBdr>
      <w:jc w:val="right"/>
    </w:pPr>
    <w:r>
      <w:rPr>
        <w:rFonts w:hint="eastAsia"/>
      </w:rPr>
      <w:t>第七章 工地空间感知与测绘联动应用</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25F85">
    <w:pPr>
      <w:pStyle w:val="13"/>
      <w:pBdr>
        <w:bottom w:val="threeDEmboss" w:color="auto" w:sz="18" w:space="1"/>
      </w:pBdr>
    </w:pPr>
    <w:r>
      <w:rPr>
        <w:rFonts w:hint="eastAsia"/>
      </w:rPr>
      <w:t>智慧工地建设与工程现场数字化管理</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E5F90">
    <w:pPr>
      <w:pStyle w:val="13"/>
      <w:pBdr>
        <w:bottom w:val="threeDEmboss" w:color="auto" w:sz="18" w:space="1"/>
      </w:pBdr>
      <w:jc w:val="right"/>
      <w:rPr>
        <w:rFonts w:hint="eastAsia" w:eastAsia="黑体"/>
        <w:lang w:eastAsia="zh-CN"/>
      </w:rPr>
    </w:pPr>
    <w:r>
      <w:rPr>
        <w:rFonts w:hint="eastAsia"/>
        <w:lang w:eastAsia="zh-CN"/>
      </w:rPr>
      <w:t>第八章 竣工交付监管评价与持续优化</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A2AA3">
    <w:pPr>
      <w:pStyle w:val="13"/>
      <w:pBdr>
        <w:bottom w:val="threeDEmboss" w:color="auto" w:sz="18" w:space="1"/>
      </w:pBdr>
    </w:pPr>
    <w:r>
      <w:rPr>
        <w:rFonts w:hint="eastAsia"/>
      </w:rPr>
      <w:t>智慧工地建设与工程现场数字化管理</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2AC11">
    <w:pPr>
      <w:pStyle w:val="13"/>
      <w:pBdr>
        <w:bottom w:val="threeDEmboss" w:color="auto" w:sz="18" w:space="1"/>
      </w:pBdr>
      <w:jc w:val="right"/>
      <w:rPr>
        <w:rFonts w:hint="eastAsia" w:eastAsia="黑体"/>
        <w:lang w:eastAsia="zh-CN"/>
      </w:rPr>
    </w:pPr>
    <w:r>
      <w:rPr>
        <w:rFonts w:hint="eastAsia"/>
        <w:lang w:val="en-US" w:eastAsia="zh-CN"/>
      </w:rPr>
      <w:t>结语</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C6B37">
    <w:pPr>
      <w:pStyle w:val="13"/>
      <w:pBdr>
        <w:bottom w:val="threeDEmboss" w:color="auto" w:sz="18" w:space="1"/>
      </w:pBdr>
    </w:pPr>
    <w:r>
      <w:rPr>
        <w:rFonts w:hint="eastAsia"/>
      </w:rPr>
      <w:t>智慧工地建设与工程现场数字化管理</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F0C46">
    <w:pPr>
      <w:pStyle w:val="13"/>
      <w:pBdr>
        <w:bottom w:val="threeDEmboss" w:color="auto" w:sz="18" w:space="1"/>
      </w:pBdr>
      <w:jc w:val="right"/>
      <w:rPr>
        <w:rFonts w:hint="eastAsia" w:eastAsia="黑体"/>
        <w:lang w:eastAsia="zh-CN"/>
      </w:rPr>
    </w:pPr>
    <w:r>
      <w:rPr>
        <w:rFonts w:hint="eastAsia"/>
        <w:lang w:val="en-US" w:eastAsia="zh-CN"/>
      </w:rPr>
      <w:t>参考文献</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51457">
    <w:pPr>
      <w:pStyle w:val="13"/>
      <w:pBdr>
        <w:bottom w:val="threeDEmboss" w:color="auto" w:sz="18" w:space="1"/>
      </w:pBdr>
    </w:pPr>
    <w:r>
      <w:rPr>
        <w:rFonts w:hint="eastAsia"/>
      </w:rPr>
      <w:t>智慧工地建设与工程现场数字化管理</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3E91B">
    <w:pPr>
      <w:pStyle w:val="13"/>
      <w:pBdr>
        <w:bottom w:val="threeDEmboss" w:color="auto" w:sz="18" w:space="1"/>
      </w:pBdr>
      <w:jc w:val="right"/>
      <w:rPr>
        <w:rFonts w:hint="eastAsia" w:eastAsia="黑体"/>
        <w:lang w:eastAsia="zh-CN"/>
      </w:rPr>
    </w:pPr>
    <w:r>
      <w:rPr>
        <w:rFonts w:hint="eastAsia"/>
        <w:lang w:val="en-US" w:eastAsia="zh-CN"/>
      </w:rPr>
      <w:t>结语</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38CF2">
    <w:pPr>
      <w:pStyle w:val="13"/>
      <w:pBdr>
        <w:bottom w:val="threeDEmboss" w:color="auto" w:sz="18" w:space="1"/>
      </w:pBdr>
    </w:pPr>
    <w:r>
      <w:rPr>
        <w:rFonts w:hint="eastAsia"/>
      </w:rPr>
      <w:t>智慧工地建设与工程现场数字化管理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930F2"/>
    <w:rsid w:val="00F40F02"/>
    <w:rsid w:val="01994742"/>
    <w:rsid w:val="028A7148"/>
    <w:rsid w:val="02913FE8"/>
    <w:rsid w:val="03176D46"/>
    <w:rsid w:val="032A679F"/>
    <w:rsid w:val="0339648C"/>
    <w:rsid w:val="03D6303A"/>
    <w:rsid w:val="055F2D63"/>
    <w:rsid w:val="05FC2D90"/>
    <w:rsid w:val="080662B1"/>
    <w:rsid w:val="090D6A51"/>
    <w:rsid w:val="0A392305"/>
    <w:rsid w:val="0AB85201"/>
    <w:rsid w:val="0AF71C60"/>
    <w:rsid w:val="0B7818C7"/>
    <w:rsid w:val="0BE7048F"/>
    <w:rsid w:val="0C7C6B36"/>
    <w:rsid w:val="0C831895"/>
    <w:rsid w:val="0CD9735F"/>
    <w:rsid w:val="0CF30966"/>
    <w:rsid w:val="0D1C0429"/>
    <w:rsid w:val="0DBD599D"/>
    <w:rsid w:val="0EB202DA"/>
    <w:rsid w:val="0F3D21CF"/>
    <w:rsid w:val="110B0B23"/>
    <w:rsid w:val="11FF19BD"/>
    <w:rsid w:val="130E67BC"/>
    <w:rsid w:val="1392046C"/>
    <w:rsid w:val="141170ED"/>
    <w:rsid w:val="141605EF"/>
    <w:rsid w:val="15367D49"/>
    <w:rsid w:val="158B37CF"/>
    <w:rsid w:val="16291966"/>
    <w:rsid w:val="165F37ED"/>
    <w:rsid w:val="16D57191"/>
    <w:rsid w:val="18516552"/>
    <w:rsid w:val="187F07B5"/>
    <w:rsid w:val="1A0B6F13"/>
    <w:rsid w:val="1A11219B"/>
    <w:rsid w:val="1C441948"/>
    <w:rsid w:val="1D443474"/>
    <w:rsid w:val="1DE218CD"/>
    <w:rsid w:val="201448AD"/>
    <w:rsid w:val="20AC6B99"/>
    <w:rsid w:val="22480F66"/>
    <w:rsid w:val="232D001F"/>
    <w:rsid w:val="23A351B6"/>
    <w:rsid w:val="23F64FD6"/>
    <w:rsid w:val="24477B24"/>
    <w:rsid w:val="24EE63D5"/>
    <w:rsid w:val="253C49B6"/>
    <w:rsid w:val="25B64A05"/>
    <w:rsid w:val="264476BB"/>
    <w:rsid w:val="26CF1F6E"/>
    <w:rsid w:val="27180F6F"/>
    <w:rsid w:val="27E86904"/>
    <w:rsid w:val="28710B1F"/>
    <w:rsid w:val="287F390C"/>
    <w:rsid w:val="28D51027"/>
    <w:rsid w:val="29030293"/>
    <w:rsid w:val="298355B7"/>
    <w:rsid w:val="29FB0650"/>
    <w:rsid w:val="2A05570C"/>
    <w:rsid w:val="2A630C91"/>
    <w:rsid w:val="2A8E27E3"/>
    <w:rsid w:val="2B2175C3"/>
    <w:rsid w:val="2C1F687A"/>
    <w:rsid w:val="2C7548FE"/>
    <w:rsid w:val="2D474981"/>
    <w:rsid w:val="2DB256DE"/>
    <w:rsid w:val="2F06028A"/>
    <w:rsid w:val="2F3421C5"/>
    <w:rsid w:val="2F8D7364"/>
    <w:rsid w:val="2FB642BA"/>
    <w:rsid w:val="30093CDB"/>
    <w:rsid w:val="311A6E3E"/>
    <w:rsid w:val="314F1D1B"/>
    <w:rsid w:val="32F94E22"/>
    <w:rsid w:val="334B645E"/>
    <w:rsid w:val="33F6401E"/>
    <w:rsid w:val="354374A0"/>
    <w:rsid w:val="35C66F06"/>
    <w:rsid w:val="36F53292"/>
    <w:rsid w:val="37947887"/>
    <w:rsid w:val="37C26BA2"/>
    <w:rsid w:val="38324B63"/>
    <w:rsid w:val="387E5915"/>
    <w:rsid w:val="3AAD7959"/>
    <w:rsid w:val="3B156AEC"/>
    <w:rsid w:val="3BCB453B"/>
    <w:rsid w:val="3C035A0C"/>
    <w:rsid w:val="3CEB1B25"/>
    <w:rsid w:val="3E3C0549"/>
    <w:rsid w:val="3F4B30F8"/>
    <w:rsid w:val="42701998"/>
    <w:rsid w:val="43076E92"/>
    <w:rsid w:val="43A74070"/>
    <w:rsid w:val="43EB27F3"/>
    <w:rsid w:val="44B41B7B"/>
    <w:rsid w:val="44E956E5"/>
    <w:rsid w:val="45392515"/>
    <w:rsid w:val="45D75EBE"/>
    <w:rsid w:val="469276E4"/>
    <w:rsid w:val="46C10A14"/>
    <w:rsid w:val="47533695"/>
    <w:rsid w:val="479E23CD"/>
    <w:rsid w:val="48284B85"/>
    <w:rsid w:val="483002E2"/>
    <w:rsid w:val="48953B2C"/>
    <w:rsid w:val="496137C4"/>
    <w:rsid w:val="4A5C007C"/>
    <w:rsid w:val="4B902123"/>
    <w:rsid w:val="4BAE2601"/>
    <w:rsid w:val="4C116E70"/>
    <w:rsid w:val="4C3B452B"/>
    <w:rsid w:val="4C456250"/>
    <w:rsid w:val="4CED1AFC"/>
    <w:rsid w:val="4D4D6EA4"/>
    <w:rsid w:val="4E346480"/>
    <w:rsid w:val="4E3B5550"/>
    <w:rsid w:val="4EAA13E0"/>
    <w:rsid w:val="50764823"/>
    <w:rsid w:val="50861787"/>
    <w:rsid w:val="50DA16EE"/>
    <w:rsid w:val="515A5746"/>
    <w:rsid w:val="53D04A03"/>
    <w:rsid w:val="544B0BD7"/>
    <w:rsid w:val="54F84143"/>
    <w:rsid w:val="569C7EAE"/>
    <w:rsid w:val="57183535"/>
    <w:rsid w:val="57AD0DA8"/>
    <w:rsid w:val="57F02454"/>
    <w:rsid w:val="5B811314"/>
    <w:rsid w:val="5C232CB8"/>
    <w:rsid w:val="5C892CF4"/>
    <w:rsid w:val="5CA97B29"/>
    <w:rsid w:val="5CDA369A"/>
    <w:rsid w:val="5DF64801"/>
    <w:rsid w:val="5E483371"/>
    <w:rsid w:val="5EF75E29"/>
    <w:rsid w:val="5EFA5771"/>
    <w:rsid w:val="5F177652"/>
    <w:rsid w:val="5F585836"/>
    <w:rsid w:val="5FAD7236"/>
    <w:rsid w:val="60FF53B7"/>
    <w:rsid w:val="61734BA9"/>
    <w:rsid w:val="63D276A3"/>
    <w:rsid w:val="646F165D"/>
    <w:rsid w:val="64D4770D"/>
    <w:rsid w:val="65A6262A"/>
    <w:rsid w:val="67C26AD4"/>
    <w:rsid w:val="68B46FB1"/>
    <w:rsid w:val="693A417E"/>
    <w:rsid w:val="6A4E2B88"/>
    <w:rsid w:val="6B315DDD"/>
    <w:rsid w:val="6B39132A"/>
    <w:rsid w:val="6C9A4CF5"/>
    <w:rsid w:val="6CC6277F"/>
    <w:rsid w:val="6CE05B8C"/>
    <w:rsid w:val="6DA93623"/>
    <w:rsid w:val="6E3B37C2"/>
    <w:rsid w:val="6F10216C"/>
    <w:rsid w:val="6FAE148A"/>
    <w:rsid w:val="717C5582"/>
    <w:rsid w:val="71C73400"/>
    <w:rsid w:val="739642C7"/>
    <w:rsid w:val="73DF4B63"/>
    <w:rsid w:val="73FE5837"/>
    <w:rsid w:val="74731EE0"/>
    <w:rsid w:val="751E60B7"/>
    <w:rsid w:val="75615B7C"/>
    <w:rsid w:val="75EE5817"/>
    <w:rsid w:val="76633529"/>
    <w:rsid w:val="7733051E"/>
    <w:rsid w:val="78D35FB1"/>
    <w:rsid w:val="7AC1749D"/>
    <w:rsid w:val="7AF953D6"/>
    <w:rsid w:val="7BE53972"/>
    <w:rsid w:val="7D12664D"/>
    <w:rsid w:val="7EE32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黑体" w:cstheme="minorBidi"/>
      <w:kern w:val="2"/>
      <w:sz w:val="21"/>
      <w:szCs w:val="24"/>
      <w:lang w:val="en-US" w:eastAsia="zh-CN" w:bidi="ar-SA"/>
    </w:rPr>
  </w:style>
  <w:style w:type="paragraph" w:styleId="2">
    <w:name w:val="heading 1"/>
    <w:next w:val="1"/>
    <w:qFormat/>
    <w:uiPriority w:val="0"/>
    <w:pPr>
      <w:keepNext/>
      <w:keepLines w:val="0"/>
      <w:pageBreakBefore/>
      <w:widowControl/>
      <w:bidi w:val="0"/>
      <w:spacing w:before="550" w:beforeLines="550" w:after="550" w:afterLines="550" w:line="240" w:lineRule="auto"/>
      <w:jc w:val="center"/>
      <w:outlineLvl w:val="0"/>
    </w:pPr>
    <w:rPr>
      <w:rFonts w:ascii="宋体" w:hAnsi="宋体" w:eastAsia="黑体" w:cs="宋体"/>
      <w:b/>
      <w:bCs/>
      <w:kern w:val="44"/>
      <w:sz w:val="40"/>
      <w:szCs w:val="30"/>
    </w:rPr>
  </w:style>
  <w:style w:type="paragraph" w:styleId="3">
    <w:name w:val="heading 2"/>
    <w:next w:val="1"/>
    <w:unhideWhenUsed/>
    <w:qFormat/>
    <w:uiPriority w:val="0"/>
    <w:pPr>
      <w:keepNext/>
      <w:keepLines w:val="0"/>
      <w:pageBreakBefore w:val="0"/>
      <w:widowControl/>
      <w:kinsoku/>
      <w:wordWrap/>
      <w:overflowPunct/>
      <w:topLinePunct w:val="0"/>
      <w:autoSpaceDE/>
      <w:autoSpaceDN/>
      <w:bidi w:val="0"/>
      <w:adjustRightInd/>
      <w:spacing w:before="100" w:beforeLines="100" w:after="100" w:afterLines="100" w:line="240" w:lineRule="auto"/>
      <w:ind w:left="0" w:leftChars="0" w:firstLine="0" w:firstLineChars="0"/>
      <w:jc w:val="center"/>
      <w:textAlignment w:val="auto"/>
      <w:outlineLvl w:val="1"/>
    </w:pPr>
    <w:rPr>
      <w:rFonts w:ascii="宋体" w:hAnsi="宋体" w:eastAsia="黑体" w:cs="宋体"/>
      <w:b/>
      <w:bCs/>
      <w:kern w:val="44"/>
      <w:sz w:val="30"/>
      <w:szCs w:val="30"/>
    </w:rPr>
  </w:style>
  <w:style w:type="paragraph" w:styleId="4">
    <w:name w:val="heading 3"/>
    <w:next w:val="1"/>
    <w:unhideWhenUsed/>
    <w:qFormat/>
    <w:uiPriority w:val="0"/>
    <w:pPr>
      <w:keepNext/>
      <w:widowControl w:val="0"/>
      <w:topLinePunct w:val="0"/>
      <w:bidi w:val="0"/>
      <w:spacing w:before="50" w:beforeLines="50" w:after="50" w:afterLines="50" w:afterAutospacing="0" w:line="276" w:lineRule="auto"/>
      <w:ind w:left="0" w:leftChars="0" w:firstLine="422" w:firstLineChars="0"/>
      <w:outlineLvl w:val="2"/>
    </w:pPr>
    <w:rPr>
      <w:rFonts w:ascii="黑体" w:hAnsi="黑体" w:eastAsia="黑体" w:cs="黑体"/>
      <w:b/>
      <w:sz w:val="21"/>
    </w:rPr>
  </w:style>
  <w:style w:type="paragraph" w:styleId="5">
    <w:name w:val="heading 4"/>
    <w:next w:val="1"/>
    <w:unhideWhenUsed/>
    <w:qFormat/>
    <w:uiPriority w:val="0"/>
    <w:pPr>
      <w:widowControl w:val="0"/>
      <w:bidi w:val="0"/>
      <w:spacing w:afterAutospacing="0" w:line="276" w:lineRule="auto"/>
      <w:ind w:firstLine="420" w:firstLineChars="200"/>
      <w:outlineLvl w:val="3"/>
    </w:pPr>
    <w:rPr>
      <w:rFonts w:ascii="Times New Roman" w:hAnsi="Calibri" w:eastAsia="宋体" w:cs="Times New Roman"/>
      <w:sz w:val="21"/>
    </w:rPr>
  </w:style>
  <w:style w:type="paragraph" w:styleId="6">
    <w:name w:val="heading 5"/>
    <w:next w:val="1"/>
    <w:semiHidden/>
    <w:unhideWhenUsed/>
    <w:qFormat/>
    <w:uiPriority w:val="0"/>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7">
    <w:name w:val="heading 6"/>
    <w:next w:val="1"/>
    <w:semiHidden/>
    <w:unhideWhenUsed/>
    <w:qFormat/>
    <w:uiPriority w:val="0"/>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8">
    <w:name w:val="heading 7"/>
    <w:next w:val="1"/>
    <w:semiHidden/>
    <w:unhideWhenUsed/>
    <w:qFormat/>
    <w:uiPriority w:val="0"/>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0">
    <w:name w:val="heading 9"/>
    <w:next w:val="1"/>
    <w:semiHidden/>
    <w:unhideWhenUsed/>
    <w:qFormat/>
    <w:uiPriority w:val="0"/>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bidi w:val="0"/>
      <w:spacing w:afterAutospacing="0" w:line="276" w:lineRule="auto"/>
      <w:ind w:firstLine="420" w:firstLineChars="200"/>
      <w:outlineLvl w:val="9"/>
    </w:pPr>
    <w:rPr>
      <w:rFonts w:ascii="Times New Roman" w:hAnsi="Calibri" w:eastAsia="宋体" w:cs="Times New Roman"/>
      <w:sz w:val="21"/>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Subtitle"/>
    <w:qFormat/>
    <w:uiPriority w:val="0"/>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16">
    <w:name w:val="toc 2"/>
    <w:basedOn w:val="1"/>
    <w:next w:val="1"/>
    <w:qFormat/>
    <w:uiPriority w:val="0"/>
    <w:pPr>
      <w:ind w:left="420" w:leftChars="200"/>
    </w:pPr>
    <w:rPr>
      <w:rFonts w:ascii="Arial" w:hAnsi="Arial" w:eastAsia="宋体"/>
    </w:rPr>
  </w:style>
  <w:style w:type="paragraph" w:styleId="17">
    <w:name w:val="Title"/>
    <w:qFormat/>
    <w:uiPriority w:val="0"/>
    <w:pPr>
      <w:keepNext w:val="0"/>
      <w:keepLines w:val="0"/>
      <w:pageBreakBefore w:val="0"/>
      <w:widowControl w:val="0"/>
      <w:kinsoku/>
      <w:wordWrap/>
      <w:overflowPunct/>
      <w:topLinePunct w:val="0"/>
      <w:autoSpaceDE/>
      <w:autoSpaceDN/>
      <w:bidi w:val="0"/>
      <w:adjustRightInd/>
      <w:spacing w:before="3121" w:beforeLines="1000"/>
      <w:jc w:val="center"/>
      <w:textAlignment w:val="auto"/>
      <w:outlineLvl w:val="9"/>
    </w:pPr>
    <w:rPr>
      <w:rFonts w:ascii="黑体" w:hAnsi="黑体" w:eastAsia="黑体" w:cs="黑体"/>
      <w:b/>
      <w:bCs/>
      <w:kern w:val="2"/>
      <w:sz w:val="72"/>
      <w:szCs w:val="72"/>
      <w:lang w:bidi="ar-SA"/>
    </w:rPr>
  </w:style>
  <w:style w:type="character" w:styleId="20">
    <w:name w:val="Emphasis"/>
    <w:basedOn w:val="19"/>
    <w:qFormat/>
    <w:uiPriority w:val="0"/>
    <w:rPr>
      <w:i/>
    </w:rPr>
  </w:style>
  <w:style w:type="paragraph" w:customStyle="1" w:styleId="21">
    <w:name w:val="参考文献条目"/>
    <w:next w:val="1"/>
    <w:qFormat/>
    <w:uiPriority w:val="0"/>
    <w:pPr>
      <w:widowControl w:val="0"/>
      <w:bidi w:val="0"/>
      <w:spacing w:afterAutospacing="0" w:line="276" w:lineRule="auto"/>
      <w:ind w:left="0" w:leftChars="0" w:firstLine="403" w:firstLineChars="0"/>
      <w:outlineLvl w:val="9"/>
    </w:pPr>
    <w:rPr>
      <w:rFonts w:ascii="仿宋" w:hAnsi="Calibri" w:eastAsia="仿宋" w:cs="Times New Roman"/>
      <w:sz w:val="18"/>
    </w:rPr>
  </w:style>
  <w:style w:type="paragraph" w:customStyle="1" w:styleId="22">
    <w:name w:val="参考文献标题"/>
    <w:next w:val="1"/>
    <w:qFormat/>
    <w:uiPriority w:val="0"/>
    <w:pPr>
      <w:keepNext/>
      <w:keepLines w:val="0"/>
      <w:pageBreakBefore/>
      <w:widowControl/>
      <w:bidi w:val="0"/>
      <w:spacing w:before="550" w:beforeLines="550" w:after="550" w:afterLines="550" w:line="240" w:lineRule="auto"/>
      <w:jc w:val="center"/>
      <w:outlineLvl w:val="0"/>
    </w:pPr>
    <w:rPr>
      <w:rFonts w:ascii="宋体" w:hAnsi="宋体" w:eastAsia="黑体" w:cs="宋体"/>
      <w:b/>
      <w:bCs/>
      <w:kern w:val="44"/>
      <w:sz w:val="40"/>
      <w:szCs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theme" Target="theme/theme1.xml"/><Relationship Id="rId56" Type="http://schemas.openxmlformats.org/officeDocument/2006/relationships/header" Target="header28.xml"/><Relationship Id="rId55" Type="http://schemas.openxmlformats.org/officeDocument/2006/relationships/header" Target="header27.xml"/><Relationship Id="rId54" Type="http://schemas.openxmlformats.org/officeDocument/2006/relationships/footer" Target="footer26.xml"/><Relationship Id="rId53" Type="http://schemas.openxmlformats.org/officeDocument/2006/relationships/footer" Target="footer25.xml"/><Relationship Id="rId52" Type="http://schemas.openxmlformats.org/officeDocument/2006/relationships/header" Target="header26.xml"/><Relationship Id="rId51" Type="http://schemas.openxmlformats.org/officeDocument/2006/relationships/header" Target="header25.xml"/><Relationship Id="rId50" Type="http://schemas.openxmlformats.org/officeDocument/2006/relationships/footer" Target="footer24.xml"/><Relationship Id="rId5" Type="http://schemas.openxmlformats.org/officeDocument/2006/relationships/footer" Target="footer1.xml"/><Relationship Id="rId49" Type="http://schemas.openxmlformats.org/officeDocument/2006/relationships/footer" Target="footer23.xml"/><Relationship Id="rId48" Type="http://schemas.openxmlformats.org/officeDocument/2006/relationships/footer" Target="footer22.xml"/><Relationship Id="rId47" Type="http://schemas.openxmlformats.org/officeDocument/2006/relationships/footer" Target="footer21.xml"/><Relationship Id="rId46" Type="http://schemas.openxmlformats.org/officeDocument/2006/relationships/header" Target="header24.xml"/><Relationship Id="rId45" Type="http://schemas.openxmlformats.org/officeDocument/2006/relationships/header" Target="header23.xml"/><Relationship Id="rId44" Type="http://schemas.openxmlformats.org/officeDocument/2006/relationships/footer" Target="footer20.xml"/><Relationship Id="rId43" Type="http://schemas.openxmlformats.org/officeDocument/2006/relationships/footer" Target="footer19.xml"/><Relationship Id="rId42" Type="http://schemas.openxmlformats.org/officeDocument/2006/relationships/header" Target="header22.xml"/><Relationship Id="rId41" Type="http://schemas.openxmlformats.org/officeDocument/2006/relationships/header" Target="header21.xml"/><Relationship Id="rId40" Type="http://schemas.openxmlformats.org/officeDocument/2006/relationships/footer" Target="footer18.xml"/><Relationship Id="rId4" Type="http://schemas.openxmlformats.org/officeDocument/2006/relationships/header" Target="header2.xml"/><Relationship Id="rId39" Type="http://schemas.openxmlformats.org/officeDocument/2006/relationships/footer" Target="footer17.xml"/><Relationship Id="rId38" Type="http://schemas.openxmlformats.org/officeDocument/2006/relationships/header" Target="header20.xml"/><Relationship Id="rId37" Type="http://schemas.openxmlformats.org/officeDocument/2006/relationships/header" Target="header19.xml"/><Relationship Id="rId36" Type="http://schemas.openxmlformats.org/officeDocument/2006/relationships/footer" Target="footer16.xml"/><Relationship Id="rId35" Type="http://schemas.openxmlformats.org/officeDocument/2006/relationships/footer" Target="footer15.xml"/><Relationship Id="rId34" Type="http://schemas.openxmlformats.org/officeDocument/2006/relationships/header" Target="header18.xml"/><Relationship Id="rId33" Type="http://schemas.openxmlformats.org/officeDocument/2006/relationships/header" Target="header17.xml"/><Relationship Id="rId32" Type="http://schemas.openxmlformats.org/officeDocument/2006/relationships/footer" Target="footer14.xml"/><Relationship Id="rId31" Type="http://schemas.openxmlformats.org/officeDocument/2006/relationships/footer" Target="footer13.xml"/><Relationship Id="rId30" Type="http://schemas.openxmlformats.org/officeDocument/2006/relationships/header" Target="header16.xml"/><Relationship Id="rId3" Type="http://schemas.openxmlformats.org/officeDocument/2006/relationships/header" Target="header1.xml"/><Relationship Id="rId29" Type="http://schemas.openxmlformats.org/officeDocument/2006/relationships/header" Target="header15.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footer" Target="footer10.xml"/><Relationship Id="rId23" Type="http://schemas.openxmlformats.org/officeDocument/2006/relationships/footer" Target="footer9.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194</Pages>
  <Words>43380</Words>
  <Characters>43480</Characters>
  <Lines>0</Lines>
  <Paragraphs>0</Paragraphs>
  <TotalTime>0</TotalTime>
  <ScaleCrop>false</ScaleCrop>
  <LinksUpToDate>false</LinksUpToDate>
  <CharactersWithSpaces>43702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2026-02-05T00:51:00Z</dcterms:created>
  <dc:creator>Administrator</dc:creator>
  <cp:lastModifiedBy>流岚</cp:lastModifiedBy>
  <dcterms:modified xsi:type="dcterms:W3CDTF">2026-04-14T08:04:58Z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E90813901A6F42448030A8AA1FC12061_12</vt:lpwstr>
  </property>
  <property fmtid="{D5CDD505-2E9C-101B-9397-08002B2CF9AE}" pid="4" name="KSOTemplateDocerSaveRecord">
    <vt:lpwstr>eyJoZGlkIjoiN2JmN2UxNDdjN2RhMmFmMTI1YzBmNjZhOTg0NmVhODciLCJ1c2VySWQiOiI3NzY3MzcxNTUifQ==</vt:lpwstr>
  </property>
</Properties>
</file>