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6E14" w14:textId="5779E8F6" w:rsidR="00B207E5" w:rsidRDefault="00DC1619">
      <w:r>
        <w:t>Numerik 1</w:t>
      </w:r>
    </w:p>
    <w:p w14:paraId="3FBDCB0D" w14:textId="1AB58D6C" w:rsidR="001228A1" w:rsidRDefault="00940FD6">
      <w:r>
        <w:t>Dieses Skript ist für die Lehrveranstaltung Numerische Mathematik 1 im Bachelor Mathematik gedacht.</w:t>
      </w:r>
    </w:p>
    <w:p w14:paraId="41FF3017" w14:textId="26FA7D18" w:rsidR="00940FD6" w:rsidRDefault="00940FD6"/>
    <w:p w14:paraId="158ECE38" w14:textId="77777777" w:rsidR="00303929" w:rsidRDefault="00303929"/>
    <w:p w14:paraId="3F078381" w14:textId="77777777" w:rsidR="001228A1" w:rsidRDefault="001228A1"/>
    <w:p w14:paraId="0443454E" w14:textId="77777777" w:rsidR="001228A1" w:rsidRDefault="001228A1"/>
    <w:p w14:paraId="7AEB13E2" w14:textId="1E4CD2E4" w:rsidR="00DC1619" w:rsidRDefault="002001F1">
      <w:r>
        <w:t>Inhaltsverzeichnis:</w:t>
      </w:r>
    </w:p>
    <w:p w14:paraId="2835FE13" w14:textId="3A95C4DA" w:rsidR="008750DD" w:rsidRDefault="008750DD" w:rsidP="0052485B">
      <w:pPr>
        <w:pStyle w:val="Listenabsatz"/>
      </w:pPr>
      <w:r>
        <w:t>Einleitung</w:t>
      </w:r>
    </w:p>
    <w:p w14:paraId="465F1D94" w14:textId="7398C03D" w:rsidR="002001F1" w:rsidRDefault="002001F1" w:rsidP="008D2B13">
      <w:pPr>
        <w:pStyle w:val="Listenabsatz"/>
        <w:numPr>
          <w:ilvl w:val="0"/>
          <w:numId w:val="1"/>
        </w:numPr>
      </w:pPr>
      <w:r>
        <w:t>Hardware</w:t>
      </w:r>
    </w:p>
    <w:p w14:paraId="26F07EFF" w14:textId="410DB14D" w:rsidR="002001F1" w:rsidRDefault="002001F1" w:rsidP="002001F1">
      <w:pPr>
        <w:pStyle w:val="Listenabsatz"/>
        <w:numPr>
          <w:ilvl w:val="0"/>
          <w:numId w:val="1"/>
        </w:numPr>
      </w:pPr>
      <w:r>
        <w:t>Lineare Algebra</w:t>
      </w:r>
    </w:p>
    <w:p w14:paraId="59DF1D24" w14:textId="7B8672B2" w:rsidR="002001F1" w:rsidRDefault="002001F1" w:rsidP="00E31F12">
      <w:pPr>
        <w:pStyle w:val="Listenabsatz"/>
        <w:numPr>
          <w:ilvl w:val="0"/>
          <w:numId w:val="1"/>
        </w:numPr>
      </w:pPr>
      <w:r>
        <w:t>Spektralmethoden</w:t>
      </w:r>
      <w:r w:rsidR="00867B77">
        <w:br/>
        <w:t>(anwendung Integration)</w:t>
      </w:r>
    </w:p>
    <w:p w14:paraId="6C4FBD50" w14:textId="20479F96" w:rsidR="00412E40" w:rsidRDefault="00412E40" w:rsidP="004410ED"/>
    <w:p w14:paraId="76C1FC6E" w14:textId="613F7F56" w:rsidR="00CA20DE" w:rsidRDefault="00CA20DE">
      <w:r>
        <w:br w:type="page"/>
      </w:r>
    </w:p>
    <w:sdt>
      <w:sdtPr>
        <w:rPr>
          <w:rFonts w:asciiTheme="minorHAnsi" w:eastAsiaTheme="minorHAnsi" w:hAnsiTheme="minorHAnsi" w:cstheme="minorBidi"/>
          <w:color w:val="auto"/>
          <w:sz w:val="22"/>
          <w:szCs w:val="22"/>
          <w:lang w:eastAsia="en-US"/>
        </w:rPr>
        <w:id w:val="-248889125"/>
        <w:docPartObj>
          <w:docPartGallery w:val="Table of Contents"/>
          <w:docPartUnique/>
        </w:docPartObj>
      </w:sdtPr>
      <w:sdtEndPr>
        <w:rPr>
          <w:b/>
          <w:bCs/>
        </w:rPr>
      </w:sdtEndPr>
      <w:sdtContent>
        <w:p w14:paraId="35E45BBD" w14:textId="19035FF1" w:rsidR="00FD5A12" w:rsidRDefault="00FD5A12">
          <w:pPr>
            <w:pStyle w:val="Inhaltsverzeichnisberschrift"/>
          </w:pPr>
          <w:r>
            <w:t>Inhaltsverzeichnis</w:t>
          </w:r>
        </w:p>
        <w:p w14:paraId="1FA6818C" w14:textId="3F7C84C8" w:rsidR="00CB7C6F" w:rsidRDefault="00FD5A12">
          <w:pPr>
            <w:pStyle w:val="Verzeichnis1"/>
            <w:tabs>
              <w:tab w:val="right" w:leader="dot" w:pos="7814"/>
            </w:tabs>
            <w:rPr>
              <w:rFonts w:eastAsiaTheme="minorEastAsia"/>
              <w:noProof/>
              <w:lang w:eastAsia="de-DE"/>
            </w:rPr>
          </w:pPr>
          <w:r>
            <w:fldChar w:fldCharType="begin"/>
          </w:r>
          <w:r>
            <w:instrText xml:space="preserve"> TOC \o "1-3" \h \z \u </w:instrText>
          </w:r>
          <w:r>
            <w:fldChar w:fldCharType="separate"/>
          </w:r>
          <w:hyperlink w:anchor="_Toc122551554" w:history="1">
            <w:r w:rsidR="00CB7C6F" w:rsidRPr="007404F9">
              <w:rPr>
                <w:rStyle w:val="Hyperlink"/>
                <w:noProof/>
              </w:rPr>
              <w:t>Einleitung</w:t>
            </w:r>
            <w:r w:rsidR="00CB7C6F">
              <w:rPr>
                <w:noProof/>
                <w:webHidden/>
              </w:rPr>
              <w:tab/>
            </w:r>
            <w:r w:rsidR="00CB7C6F">
              <w:rPr>
                <w:noProof/>
                <w:webHidden/>
              </w:rPr>
              <w:fldChar w:fldCharType="begin"/>
            </w:r>
            <w:r w:rsidR="00CB7C6F">
              <w:rPr>
                <w:noProof/>
                <w:webHidden/>
              </w:rPr>
              <w:instrText xml:space="preserve"> PAGEREF _Toc122551554 \h </w:instrText>
            </w:r>
            <w:r w:rsidR="00CB7C6F">
              <w:rPr>
                <w:noProof/>
                <w:webHidden/>
              </w:rPr>
            </w:r>
            <w:r w:rsidR="00CB7C6F">
              <w:rPr>
                <w:noProof/>
                <w:webHidden/>
              </w:rPr>
              <w:fldChar w:fldCharType="separate"/>
            </w:r>
            <w:r w:rsidR="00CB7C6F">
              <w:rPr>
                <w:noProof/>
                <w:webHidden/>
              </w:rPr>
              <w:t>3</w:t>
            </w:r>
            <w:r w:rsidR="00CB7C6F">
              <w:rPr>
                <w:noProof/>
                <w:webHidden/>
              </w:rPr>
              <w:fldChar w:fldCharType="end"/>
            </w:r>
          </w:hyperlink>
        </w:p>
        <w:p w14:paraId="51C49453" w14:textId="32613420" w:rsidR="00CB7C6F" w:rsidRDefault="00CB7C6F">
          <w:pPr>
            <w:pStyle w:val="Verzeichnis1"/>
            <w:tabs>
              <w:tab w:val="left" w:pos="440"/>
              <w:tab w:val="right" w:leader="dot" w:pos="7814"/>
            </w:tabs>
            <w:rPr>
              <w:rFonts w:eastAsiaTheme="minorEastAsia"/>
              <w:noProof/>
              <w:lang w:eastAsia="de-DE"/>
            </w:rPr>
          </w:pPr>
          <w:hyperlink w:anchor="_Toc122551555" w:history="1">
            <w:r w:rsidRPr="007404F9">
              <w:rPr>
                <w:rStyle w:val="Hyperlink"/>
                <w:noProof/>
              </w:rPr>
              <w:t>1.</w:t>
            </w:r>
            <w:r>
              <w:rPr>
                <w:rFonts w:eastAsiaTheme="minorEastAsia"/>
                <w:noProof/>
                <w:lang w:eastAsia="de-DE"/>
              </w:rPr>
              <w:tab/>
            </w:r>
            <w:r w:rsidRPr="007404F9">
              <w:rPr>
                <w:rStyle w:val="Hyperlink"/>
                <w:noProof/>
              </w:rPr>
              <w:t>Hardware</w:t>
            </w:r>
            <w:r>
              <w:rPr>
                <w:noProof/>
                <w:webHidden/>
              </w:rPr>
              <w:tab/>
            </w:r>
            <w:r>
              <w:rPr>
                <w:noProof/>
                <w:webHidden/>
              </w:rPr>
              <w:fldChar w:fldCharType="begin"/>
            </w:r>
            <w:r>
              <w:rPr>
                <w:noProof/>
                <w:webHidden/>
              </w:rPr>
              <w:instrText xml:space="preserve"> PAGEREF _Toc122551555 \h </w:instrText>
            </w:r>
            <w:r>
              <w:rPr>
                <w:noProof/>
                <w:webHidden/>
              </w:rPr>
            </w:r>
            <w:r>
              <w:rPr>
                <w:noProof/>
                <w:webHidden/>
              </w:rPr>
              <w:fldChar w:fldCharType="separate"/>
            </w:r>
            <w:r>
              <w:rPr>
                <w:noProof/>
                <w:webHidden/>
              </w:rPr>
              <w:t>4</w:t>
            </w:r>
            <w:r>
              <w:rPr>
                <w:noProof/>
                <w:webHidden/>
              </w:rPr>
              <w:fldChar w:fldCharType="end"/>
            </w:r>
          </w:hyperlink>
        </w:p>
        <w:p w14:paraId="7D7B2464" w14:textId="6A0EC5FF" w:rsidR="00CB7C6F" w:rsidRDefault="00CB7C6F">
          <w:pPr>
            <w:pStyle w:val="Verzeichnis2"/>
            <w:tabs>
              <w:tab w:val="left" w:pos="880"/>
              <w:tab w:val="right" w:leader="dot" w:pos="7814"/>
            </w:tabs>
            <w:rPr>
              <w:rFonts w:eastAsiaTheme="minorEastAsia"/>
              <w:noProof/>
              <w:lang w:eastAsia="de-DE"/>
            </w:rPr>
          </w:pPr>
          <w:hyperlink w:anchor="_Toc122551556" w:history="1">
            <w:r w:rsidRPr="007404F9">
              <w:rPr>
                <w:rStyle w:val="Hyperlink"/>
                <w:noProof/>
              </w:rPr>
              <w:t>1.1.</w:t>
            </w:r>
            <w:r>
              <w:rPr>
                <w:rFonts w:eastAsiaTheme="minorEastAsia"/>
                <w:noProof/>
                <w:lang w:eastAsia="de-DE"/>
              </w:rPr>
              <w:tab/>
            </w:r>
            <w:r w:rsidRPr="007404F9">
              <w:rPr>
                <w:rStyle w:val="Hyperlink"/>
                <w:noProof/>
              </w:rPr>
              <w:t>Schaltungen und boolesche Algebra</w:t>
            </w:r>
            <w:r>
              <w:rPr>
                <w:noProof/>
                <w:webHidden/>
              </w:rPr>
              <w:tab/>
            </w:r>
            <w:r>
              <w:rPr>
                <w:noProof/>
                <w:webHidden/>
              </w:rPr>
              <w:fldChar w:fldCharType="begin"/>
            </w:r>
            <w:r>
              <w:rPr>
                <w:noProof/>
                <w:webHidden/>
              </w:rPr>
              <w:instrText xml:space="preserve"> PAGEREF _Toc122551556 \h </w:instrText>
            </w:r>
            <w:r>
              <w:rPr>
                <w:noProof/>
                <w:webHidden/>
              </w:rPr>
            </w:r>
            <w:r>
              <w:rPr>
                <w:noProof/>
                <w:webHidden/>
              </w:rPr>
              <w:fldChar w:fldCharType="separate"/>
            </w:r>
            <w:r>
              <w:rPr>
                <w:noProof/>
                <w:webHidden/>
              </w:rPr>
              <w:t>5</w:t>
            </w:r>
            <w:r>
              <w:rPr>
                <w:noProof/>
                <w:webHidden/>
              </w:rPr>
              <w:fldChar w:fldCharType="end"/>
            </w:r>
          </w:hyperlink>
        </w:p>
        <w:p w14:paraId="78301446" w14:textId="7831790F" w:rsidR="00CB7C6F" w:rsidRDefault="00CB7C6F">
          <w:pPr>
            <w:pStyle w:val="Verzeichnis1"/>
            <w:tabs>
              <w:tab w:val="left" w:pos="440"/>
              <w:tab w:val="right" w:leader="dot" w:pos="7814"/>
            </w:tabs>
            <w:rPr>
              <w:rFonts w:eastAsiaTheme="minorEastAsia"/>
              <w:noProof/>
              <w:lang w:eastAsia="de-DE"/>
            </w:rPr>
          </w:pPr>
          <w:hyperlink w:anchor="_Toc122551557" w:history="1">
            <w:r w:rsidRPr="007404F9">
              <w:rPr>
                <w:rStyle w:val="Hyperlink"/>
                <w:noProof/>
              </w:rPr>
              <w:t>2.</w:t>
            </w:r>
            <w:r>
              <w:rPr>
                <w:rFonts w:eastAsiaTheme="minorEastAsia"/>
                <w:noProof/>
                <w:lang w:eastAsia="de-DE"/>
              </w:rPr>
              <w:tab/>
            </w:r>
            <w:r w:rsidRPr="007404F9">
              <w:rPr>
                <w:rStyle w:val="Hyperlink"/>
                <w:noProof/>
              </w:rPr>
              <w:t>Gleichungssysteme</w:t>
            </w:r>
            <w:r>
              <w:rPr>
                <w:noProof/>
                <w:webHidden/>
              </w:rPr>
              <w:tab/>
            </w:r>
            <w:r>
              <w:rPr>
                <w:noProof/>
                <w:webHidden/>
              </w:rPr>
              <w:fldChar w:fldCharType="begin"/>
            </w:r>
            <w:r>
              <w:rPr>
                <w:noProof/>
                <w:webHidden/>
              </w:rPr>
              <w:instrText xml:space="preserve"> PAGEREF _Toc122551557 \h </w:instrText>
            </w:r>
            <w:r>
              <w:rPr>
                <w:noProof/>
                <w:webHidden/>
              </w:rPr>
            </w:r>
            <w:r>
              <w:rPr>
                <w:noProof/>
                <w:webHidden/>
              </w:rPr>
              <w:fldChar w:fldCharType="separate"/>
            </w:r>
            <w:r>
              <w:rPr>
                <w:noProof/>
                <w:webHidden/>
              </w:rPr>
              <w:t>11</w:t>
            </w:r>
            <w:r>
              <w:rPr>
                <w:noProof/>
                <w:webHidden/>
              </w:rPr>
              <w:fldChar w:fldCharType="end"/>
            </w:r>
          </w:hyperlink>
        </w:p>
        <w:p w14:paraId="6786BCAF" w14:textId="0F0CB8C6" w:rsidR="00CB7C6F" w:rsidRDefault="00CB7C6F">
          <w:pPr>
            <w:pStyle w:val="Verzeichnis1"/>
            <w:tabs>
              <w:tab w:val="left" w:pos="440"/>
              <w:tab w:val="right" w:leader="dot" w:pos="7814"/>
            </w:tabs>
            <w:rPr>
              <w:rFonts w:eastAsiaTheme="minorEastAsia"/>
              <w:noProof/>
              <w:lang w:eastAsia="de-DE"/>
            </w:rPr>
          </w:pPr>
          <w:hyperlink w:anchor="_Toc122551558" w:history="1">
            <w:r w:rsidRPr="007404F9">
              <w:rPr>
                <w:rStyle w:val="Hyperlink"/>
                <w:noProof/>
              </w:rPr>
              <w:t>3.</w:t>
            </w:r>
            <w:r>
              <w:rPr>
                <w:rFonts w:eastAsiaTheme="minorEastAsia"/>
                <w:noProof/>
                <w:lang w:eastAsia="de-DE"/>
              </w:rPr>
              <w:tab/>
            </w:r>
            <w:r w:rsidRPr="007404F9">
              <w:rPr>
                <w:rStyle w:val="Hyperlink"/>
                <w:noProof/>
              </w:rPr>
              <w:t>Verallgemeinerte Spektralmethoden</w:t>
            </w:r>
            <w:r>
              <w:rPr>
                <w:noProof/>
                <w:webHidden/>
              </w:rPr>
              <w:tab/>
            </w:r>
            <w:r>
              <w:rPr>
                <w:noProof/>
                <w:webHidden/>
              </w:rPr>
              <w:fldChar w:fldCharType="begin"/>
            </w:r>
            <w:r>
              <w:rPr>
                <w:noProof/>
                <w:webHidden/>
              </w:rPr>
              <w:instrText xml:space="preserve"> PAGEREF _Toc122551558 \h </w:instrText>
            </w:r>
            <w:r>
              <w:rPr>
                <w:noProof/>
                <w:webHidden/>
              </w:rPr>
            </w:r>
            <w:r>
              <w:rPr>
                <w:noProof/>
                <w:webHidden/>
              </w:rPr>
              <w:fldChar w:fldCharType="separate"/>
            </w:r>
            <w:r>
              <w:rPr>
                <w:noProof/>
                <w:webHidden/>
              </w:rPr>
              <w:t>11</w:t>
            </w:r>
            <w:r>
              <w:rPr>
                <w:noProof/>
                <w:webHidden/>
              </w:rPr>
              <w:fldChar w:fldCharType="end"/>
            </w:r>
          </w:hyperlink>
        </w:p>
        <w:p w14:paraId="37017E22" w14:textId="54EE122E" w:rsidR="00CB7C6F" w:rsidRDefault="00CB7C6F">
          <w:pPr>
            <w:pStyle w:val="Verzeichnis2"/>
            <w:tabs>
              <w:tab w:val="left" w:pos="880"/>
              <w:tab w:val="right" w:leader="dot" w:pos="7814"/>
            </w:tabs>
            <w:rPr>
              <w:rFonts w:eastAsiaTheme="minorEastAsia"/>
              <w:noProof/>
              <w:lang w:eastAsia="de-DE"/>
            </w:rPr>
          </w:pPr>
          <w:hyperlink w:anchor="_Toc122551559" w:history="1">
            <w:r w:rsidRPr="007404F9">
              <w:rPr>
                <w:rStyle w:val="Hyperlink"/>
                <w:noProof/>
              </w:rPr>
              <w:t>3.1.</w:t>
            </w:r>
            <w:r>
              <w:rPr>
                <w:rFonts w:eastAsiaTheme="minorEastAsia"/>
                <w:noProof/>
                <w:lang w:eastAsia="de-DE"/>
              </w:rPr>
              <w:tab/>
            </w:r>
            <w:r w:rsidRPr="007404F9">
              <w:rPr>
                <w:rStyle w:val="Hyperlink"/>
                <w:noProof/>
              </w:rPr>
              <w:t>Anwendung: Integration</w:t>
            </w:r>
            <w:r>
              <w:rPr>
                <w:noProof/>
                <w:webHidden/>
              </w:rPr>
              <w:tab/>
            </w:r>
            <w:r>
              <w:rPr>
                <w:noProof/>
                <w:webHidden/>
              </w:rPr>
              <w:fldChar w:fldCharType="begin"/>
            </w:r>
            <w:r>
              <w:rPr>
                <w:noProof/>
                <w:webHidden/>
              </w:rPr>
              <w:instrText xml:space="preserve"> PAGEREF _Toc122551559 \h </w:instrText>
            </w:r>
            <w:r>
              <w:rPr>
                <w:noProof/>
                <w:webHidden/>
              </w:rPr>
            </w:r>
            <w:r>
              <w:rPr>
                <w:noProof/>
                <w:webHidden/>
              </w:rPr>
              <w:fldChar w:fldCharType="separate"/>
            </w:r>
            <w:r>
              <w:rPr>
                <w:noProof/>
                <w:webHidden/>
              </w:rPr>
              <w:t>11</w:t>
            </w:r>
            <w:r>
              <w:rPr>
                <w:noProof/>
                <w:webHidden/>
              </w:rPr>
              <w:fldChar w:fldCharType="end"/>
            </w:r>
          </w:hyperlink>
        </w:p>
        <w:p w14:paraId="14A03F2C" w14:textId="4F50C228" w:rsidR="00FD5A12" w:rsidRDefault="00FD5A12">
          <w:r>
            <w:rPr>
              <w:b/>
              <w:bCs/>
            </w:rPr>
            <w:fldChar w:fldCharType="end"/>
          </w:r>
        </w:p>
      </w:sdtContent>
    </w:sdt>
    <w:p w14:paraId="5C04F283" w14:textId="77777777" w:rsidR="00CA20DE" w:rsidRDefault="00CA20DE" w:rsidP="004410ED"/>
    <w:p w14:paraId="7381C672" w14:textId="77777777" w:rsidR="00E10E8B" w:rsidRDefault="00E10E8B" w:rsidP="004410ED"/>
    <w:p w14:paraId="27146CA2" w14:textId="77777777" w:rsidR="00E10E8B" w:rsidRDefault="00E10E8B" w:rsidP="004410ED"/>
    <w:p w14:paraId="2E7CF11C" w14:textId="54A70916" w:rsidR="00CA20DE" w:rsidRDefault="00AF3EC1" w:rsidP="004410ED">
      <w:r>
        <w:br w:type="page"/>
      </w:r>
    </w:p>
    <w:p w14:paraId="5E82906F" w14:textId="77777777" w:rsidR="004266C5" w:rsidRDefault="004266C5" w:rsidP="00912E85">
      <w:pPr>
        <w:pStyle w:val="berschrift1"/>
      </w:pPr>
      <w:bookmarkStart w:id="0" w:name="_Toc122551554"/>
      <w:r>
        <w:lastRenderedPageBreak/>
        <w:t>Einleitung</w:t>
      </w:r>
      <w:bookmarkEnd w:id="0"/>
    </w:p>
    <w:p w14:paraId="4D2D50D3" w14:textId="3CA07890" w:rsidR="004266C5" w:rsidRDefault="004266C5" w:rsidP="004410ED"/>
    <w:p w14:paraId="733DFD28" w14:textId="6A455A14" w:rsidR="00802924" w:rsidRDefault="00802924" w:rsidP="004410ED">
      <w:r>
        <w:t>Bei genauerer Betrachtung hat die Mathematik einige Besonderheiten, die sie von den meisten anderen Wissenschaften, den Naturwissenschaften, unterscheidet.</w:t>
      </w:r>
    </w:p>
    <w:p w14:paraId="019DA14A" w14:textId="613D0C2E" w:rsidR="00802924" w:rsidRDefault="003A54B1" w:rsidP="004410ED">
      <w:r>
        <w:t xml:space="preserve">Denn während </w:t>
      </w:r>
      <w:r w:rsidR="003856DD">
        <w:t>die</w:t>
      </w:r>
      <w:r>
        <w:t xml:space="preserve"> Naturwissenschaften Gegenstände untersuch</w:t>
      </w:r>
      <w:r w:rsidR="00F15073">
        <w:t>en</w:t>
      </w:r>
      <w:r>
        <w:t>, die sichtbar, hörbar, tastbar oder ganz einfach nur gegenwärtig im physischen Sinne sind, untersucht die Mathematik Zahlen.</w:t>
      </w:r>
    </w:p>
    <w:p w14:paraId="7791B95A" w14:textId="6FC1668E" w:rsidR="003A54B1" w:rsidRDefault="00B61C3C" w:rsidP="004410ED">
      <w:r>
        <w:t xml:space="preserve">Diese Zahlen haben, im Gegensatz zu physischen Gegenständen, keinen Körper, den man anfassen oder auf die Waage legen kann. Die Zahlen haben keinen Körper, der altern und sich verändern kann. Die Zahlen können weder sterben noch </w:t>
      </w:r>
      <w:r w:rsidR="008704A0">
        <w:t xml:space="preserve">zerstört werden. </w:t>
      </w:r>
      <w:r w:rsidR="0027389D">
        <w:t>Die Zahlen sind ein bisschen wie Sterne am Himmel, die immer da sind, auch wenn man sie nicht sieht, wenn die Sonne heller scheint oder man die Augen schließt. Dennoch sind die Sterne immer da. So sind auch die Zahlen immer da, allgegenwärtig, aber haben dennoch keine Form, keinen Körper und kein Gewicht.</w:t>
      </w:r>
    </w:p>
    <w:p w14:paraId="69884DD8" w14:textId="77777777" w:rsidR="0027389D" w:rsidRDefault="0027389D" w:rsidP="004410ED"/>
    <w:p w14:paraId="0CF727E3" w14:textId="169BDC4B" w:rsidR="00095B02" w:rsidRDefault="000A2EE6" w:rsidP="004410ED">
      <w:r>
        <w:t xml:space="preserve">Wie wechselwirken die Zahlen mit der physischen Welt? </w:t>
      </w:r>
      <w:r w:rsidR="00E85361">
        <w:t xml:space="preserve">Die Mathematik findet nur im Kopf statt. Irgendwie muss sich diese Mathematik mit der physischen Welt verbinden, denn ansonsten hätte sie gar keine Auswirkungen, wäre unsichtbar, und wir würden gar nichts von ihrer Existenz wissen. </w:t>
      </w:r>
      <w:r w:rsidR="00222427">
        <w:t xml:space="preserve">Beispielsweise indem man einen Stift und Papier zur Hand nimmt und schreibt, kann man der Mathematik eine physische Wirkung geben. </w:t>
      </w:r>
      <w:r w:rsidR="00A244DC">
        <w:t xml:space="preserve">Beispielsweise indem man Berechnungen anstellt und ein Haus </w:t>
      </w:r>
      <w:r w:rsidR="00606AE1">
        <w:t xml:space="preserve">oder ein Auto </w:t>
      </w:r>
      <w:r w:rsidR="00A244DC">
        <w:t xml:space="preserve">baut, kann man sichtbar machen, dass Mathematik nützlich ist und studiert werden muss. </w:t>
      </w:r>
      <w:r w:rsidR="00222427">
        <w:t xml:space="preserve"> </w:t>
      </w:r>
      <w:r w:rsidR="00444256">
        <w:t xml:space="preserve">Wir müssen die Mathematik in die Welt „hinaustragen“, damit sie nützlich ist. </w:t>
      </w:r>
      <w:r w:rsidR="005F3638">
        <w:t xml:space="preserve">Genau damit beschäftigt sich die Numerik. </w:t>
      </w:r>
      <w:r w:rsidR="00527306">
        <w:t>Wir verbinden die Mathematik mit der physischen Welt und schaffen eine Brücke, durch die die Mathematik Auswirkungen in der physischen Welt haben kann.</w:t>
      </w:r>
    </w:p>
    <w:p w14:paraId="745EF00D" w14:textId="536D7D04" w:rsidR="003426D8" w:rsidRDefault="00C93CB6" w:rsidP="004410ED">
      <w:r>
        <w:t>Die Numerik ist das Studium der Verbindung zwischen Mathematik und physischer Welt. Damit ist die Numerik nicht rein mathematisch und wir müssen oft die gewohnte Welt der Mathematik verlassen</w:t>
      </w:r>
      <w:r w:rsidR="00C10CA7">
        <w:t xml:space="preserve"> und studieren, wie sich die physische Welt verhält.</w:t>
      </w:r>
      <w:r>
        <w:t xml:space="preserve"> </w:t>
      </w:r>
      <w:r w:rsidR="00327AD2">
        <w:t>Darum betrachten wir im ersten Kapitel den Aufbau eines Computers, denn das hilft uns zu verstehen, wie wir aus Sicht der physischen Welt einen Zugang zur Mathematik erhalten.</w:t>
      </w:r>
    </w:p>
    <w:p w14:paraId="2A61DFAA" w14:textId="77777777" w:rsidR="002E4818" w:rsidRDefault="002E4818" w:rsidP="004410ED"/>
    <w:p w14:paraId="103745FE" w14:textId="27589920" w:rsidR="00412E40" w:rsidRDefault="00C76C68" w:rsidP="004410ED">
      <w:r>
        <w:t xml:space="preserve"> </w:t>
      </w:r>
    </w:p>
    <w:p w14:paraId="0B4A7108" w14:textId="41DEF8DA" w:rsidR="00BF28AC" w:rsidRDefault="00BF28AC" w:rsidP="004410ED"/>
    <w:p w14:paraId="21FD9ED6" w14:textId="77777777" w:rsidR="00BF28AC" w:rsidRDefault="00BF28AC" w:rsidP="004410ED"/>
    <w:p w14:paraId="0535FFA7" w14:textId="4A1E873F" w:rsidR="004410ED" w:rsidRDefault="004410ED" w:rsidP="004410ED">
      <w:r>
        <w:br w:type="page"/>
      </w:r>
    </w:p>
    <w:p w14:paraId="0AF07BF7" w14:textId="57943284" w:rsidR="0049417B" w:rsidRDefault="00CF6D03" w:rsidP="00702CD0">
      <w:pPr>
        <w:pStyle w:val="berschrift1"/>
        <w:numPr>
          <w:ilvl w:val="0"/>
          <w:numId w:val="3"/>
        </w:numPr>
      </w:pPr>
      <w:bookmarkStart w:id="1" w:name="_Toc122551555"/>
      <w:r>
        <w:lastRenderedPageBreak/>
        <w:t>Hardware</w:t>
      </w:r>
      <w:bookmarkEnd w:id="1"/>
    </w:p>
    <w:p w14:paraId="3C6517F8" w14:textId="2E425C18" w:rsidR="001A4009" w:rsidRDefault="001A4009"/>
    <w:p w14:paraId="42D3BD84" w14:textId="7367DC66" w:rsidR="00650764" w:rsidRDefault="00C709B2">
      <w:r>
        <w:t xml:space="preserve">Man stelle sich einen Menschen vor, der am Schreibtisch sitzt und eine </w:t>
      </w:r>
      <w:r w:rsidR="003F1D65">
        <w:t>Gleichung</w:t>
      </w:r>
      <w:r>
        <w:t xml:space="preserve"> der Analysis zu Papier </w:t>
      </w:r>
      <w:r w:rsidR="003F1D65">
        <w:t>schreibt.</w:t>
      </w:r>
      <w:r w:rsidR="00F97076">
        <w:t xml:space="preserve"> Dies bewerkstelligt er mit Bewegungen seiner Arme. </w:t>
      </w:r>
      <w:r w:rsidR="00E321C7">
        <w:t>Er braucht dazu Tinte und Papier.</w:t>
      </w:r>
      <w:r w:rsidR="00906662">
        <w:t xml:space="preserve"> Dazu kommt noch der ständige Energieverbrauch, den sein Körper während dem Ausführen der Tätigkeit notwendigerweise erleidet.</w:t>
      </w:r>
    </w:p>
    <w:p w14:paraId="727F1ABB" w14:textId="2574ADAC" w:rsidR="00906662" w:rsidRDefault="00AB66C4">
      <w:r>
        <w:t xml:space="preserve">Ähnlich verhält es sich auch mit einem Computer. Dieser ist im Allgemeinen nur dazu da, mathematische Berechnungen auszuführen. Dazu braucht er aber einen Körper, der in dem Falle aus Metall besteht, Energie (elektrische Energie) und Papier, wobei dies meist durch einen Bildschirm ersetzt wird. </w:t>
      </w:r>
      <w:r w:rsidR="00FC4868">
        <w:t xml:space="preserve">Darüber hinaus wäre es nützlich, auch noch ein Paar Augen zu haben, um Problemstellungen und Fragen lesen zu können. </w:t>
      </w:r>
      <w:r w:rsidR="005361C9">
        <w:t>Der Computer braucht also zusätzlich eine Kamera, oder einfacher, eine Tastatur, um Fragen einzugeben.</w:t>
      </w:r>
    </w:p>
    <w:p w14:paraId="62F8E93E" w14:textId="3FCB0D07" w:rsidR="005361C9" w:rsidRDefault="00D70C01">
      <w:r>
        <w:rPr>
          <w:noProof/>
        </w:rPr>
        <w:drawing>
          <wp:inline distT="0" distB="0" distL="0" distR="0" wp14:anchorId="6BBFA0A7" wp14:editId="5D1A92DE">
            <wp:extent cx="4968240" cy="3168015"/>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a:extLst>
                        <a:ext uri="{28A0092B-C50C-407E-A947-70E740481C1C}">
                          <a14:useLocalDpi xmlns:a14="http://schemas.microsoft.com/office/drawing/2010/main" val="0"/>
                        </a:ext>
                      </a:extLst>
                    </a:blip>
                    <a:stretch>
                      <a:fillRect/>
                    </a:stretch>
                  </pic:blipFill>
                  <pic:spPr>
                    <a:xfrm>
                      <a:off x="0" y="0"/>
                      <a:ext cx="4968240" cy="3168015"/>
                    </a:xfrm>
                    <a:prstGeom prst="rect">
                      <a:avLst/>
                    </a:prstGeom>
                  </pic:spPr>
                </pic:pic>
              </a:graphicData>
            </a:graphic>
          </wp:inline>
        </w:drawing>
      </w:r>
      <w:r w:rsidR="005361C9">
        <w:t xml:space="preserve"> </w:t>
      </w:r>
    </w:p>
    <w:p w14:paraId="7CB198BA" w14:textId="0FFD15B2" w:rsidR="005361C9" w:rsidRDefault="0078703B">
      <w:r>
        <w:t>Nun haben wir schon folgende Teile zusammengeklaubt:</w:t>
      </w:r>
    </w:p>
    <w:p w14:paraId="7B36027C" w14:textId="13E8F1A0" w:rsidR="0078703B" w:rsidRDefault="0078703B" w:rsidP="0078703B">
      <w:pPr>
        <w:pStyle w:val="Listenabsatz"/>
        <w:numPr>
          <w:ilvl w:val="0"/>
          <w:numId w:val="4"/>
        </w:numPr>
      </w:pPr>
      <w:r>
        <w:t>Tastatur (für Eingabe von Fragen und Problemstellungen)</w:t>
      </w:r>
    </w:p>
    <w:p w14:paraId="6A8A446A" w14:textId="62754206" w:rsidR="0078703B" w:rsidRDefault="0078703B" w:rsidP="0078703B">
      <w:pPr>
        <w:pStyle w:val="Listenabsatz"/>
        <w:numPr>
          <w:ilvl w:val="0"/>
          <w:numId w:val="4"/>
        </w:numPr>
      </w:pPr>
      <w:r>
        <w:t>Bildschirm (für Ausgabe von Lösungen und Berechnungsergebnissen)</w:t>
      </w:r>
    </w:p>
    <w:p w14:paraId="4772CA5A" w14:textId="2EC6A0E7" w:rsidR="0078703B" w:rsidRDefault="0078703B" w:rsidP="0078703B">
      <w:pPr>
        <w:pStyle w:val="Listenabsatz"/>
        <w:numPr>
          <w:ilvl w:val="0"/>
          <w:numId w:val="4"/>
        </w:numPr>
      </w:pPr>
      <w:r>
        <w:t>elektrische Energie (zum Betrieb)</w:t>
      </w:r>
    </w:p>
    <w:p w14:paraId="15179344" w14:textId="038D4406" w:rsidR="0078703B" w:rsidRDefault="0078703B" w:rsidP="0078703B">
      <w:pPr>
        <w:pStyle w:val="Listenabsatz"/>
        <w:numPr>
          <w:ilvl w:val="0"/>
          <w:numId w:val="4"/>
        </w:numPr>
      </w:pPr>
      <w:r>
        <w:t>einen Körper, der aus Metall besteht.</w:t>
      </w:r>
    </w:p>
    <w:p w14:paraId="1B4A4EF8" w14:textId="77777777" w:rsidR="002D7D9B" w:rsidRDefault="002D7D9B" w:rsidP="002D7D9B"/>
    <w:p w14:paraId="1376B316" w14:textId="1998F060" w:rsidR="002D7D9B" w:rsidRDefault="002D7D9B" w:rsidP="002D7D9B">
      <w:r>
        <w:br w:type="page"/>
      </w:r>
    </w:p>
    <w:p w14:paraId="0821A7AB" w14:textId="25951FCE" w:rsidR="00222942" w:rsidRDefault="00D940E5" w:rsidP="00222942">
      <w:r>
        <w:lastRenderedPageBreak/>
        <w:t>Wir unterteilen diese Dinge so:</w:t>
      </w:r>
    </w:p>
    <w:p w14:paraId="64F1DDA0" w14:textId="09A13729" w:rsidR="00D940E5" w:rsidRDefault="008A74BD" w:rsidP="008A74BD">
      <w:pPr>
        <w:pStyle w:val="Listenabsatz"/>
        <w:numPr>
          <w:ilvl w:val="0"/>
          <w:numId w:val="4"/>
        </w:numPr>
      </w:pPr>
      <w:r>
        <w:t>Die Tastatur und der Bildschirm werden zusammengefassend „Peripherie“ genannt. Wir schauen sie nicht genauer an, weil ihr Aufbau langweilig ist.</w:t>
      </w:r>
    </w:p>
    <w:p w14:paraId="08CDCBF5" w14:textId="0BC3A1B9" w:rsidR="00CD0F60" w:rsidRDefault="00CD0F60" w:rsidP="008A74BD">
      <w:pPr>
        <w:pStyle w:val="Listenabsatz"/>
        <w:numPr>
          <w:ilvl w:val="0"/>
          <w:numId w:val="4"/>
        </w:numPr>
      </w:pPr>
      <w:r>
        <w:t xml:space="preserve">Die elektrische Energie spielt die Rolle einer treibenden Kraft. </w:t>
      </w:r>
      <w:r w:rsidR="00187791">
        <w:t xml:space="preserve">Sie ist es, was verursacht, dass der Computer den Weg von der Eingabe eines Problems bis zu dessen Lösung schafft. </w:t>
      </w:r>
      <w:r w:rsidR="00E213D1">
        <w:t xml:space="preserve">Ansonsten würde sich der Computer nicht vorwärts bewegen. Insofern kommt der Energie eine bedeutende Rolle zu. </w:t>
      </w:r>
      <w:r w:rsidR="00D302D0">
        <w:t xml:space="preserve">Bekanntermaßen (Physik) bedeutet Energieverbrauch nichts anderes, als Arbeit zu verrichten. Der Computer verrichtet also im wahrsten Sinne des Wortes Arbeit. Diese Arbeit muss bezahlt werden, denn niemand arbeitet freiwillig (Annahme). </w:t>
      </w:r>
      <w:r w:rsidR="00471C13">
        <w:t>Es entstehen Stromkosten. Diese werden in Dollar ($) oder Euro (€) gemessen.</w:t>
      </w:r>
      <w:r w:rsidR="00E02351">
        <w:t xml:space="preserve"> Wir können annehmen, dass es einen linearen Zusammenhang zwischen Energieverbrauch und Stromkosten gibt. Wir wollen also, dass der Computer ein Problem löst, aber dabei nicht allzu viel Energie verbraucht. </w:t>
      </w:r>
      <w:r w:rsidR="001F653B">
        <w:t xml:space="preserve">Wenn ein Computer das schafft, dann nennen wir das „effizient“. </w:t>
      </w:r>
      <w:r w:rsidR="005F1A6C">
        <w:t>Wir versuchen in der Numerik, Computer so zu bauen, dass sie effizient sind. Dies ist ein wichtiger Punkt, damit die Mathematik in der physischen Welt angenommen wird. Wenn die Mathematik zwar fähig wäre, jedes Problem zu lösen, aber dabei so hohe (Strom-) Kosten verursacht, dass niemand bereit ist, dafür zu bezahlen, dann würde sich niemand für die Mathematik interessieren und sie würde schon bald in Vergessenheit geraten, oder zumindest in den Hintergrund treten.</w:t>
      </w:r>
    </w:p>
    <w:p w14:paraId="6B1FE542" w14:textId="54015680" w:rsidR="0052276C" w:rsidRDefault="0052276C" w:rsidP="008A74BD">
      <w:pPr>
        <w:pStyle w:val="Listenabsatz"/>
        <w:numPr>
          <w:ilvl w:val="0"/>
          <w:numId w:val="4"/>
        </w:numPr>
      </w:pPr>
      <w:r>
        <w:t>Den Körper eines Computers ohne dessen Peripherie nennen wir den Körper im engeren Sinne, den Körper eines Computers mit Peripherie nennen wir Körper im weiteren Sinne.</w:t>
      </w:r>
    </w:p>
    <w:p w14:paraId="52604271" w14:textId="77777777" w:rsidR="00907B23" w:rsidRDefault="00907B23" w:rsidP="006560C5"/>
    <w:p w14:paraId="19E2745F" w14:textId="31A3E976" w:rsidR="00650764" w:rsidRDefault="00252F6B">
      <w:r>
        <w:t>Wir untersuchen im Weiteren den Aufbau des Computers im engeren Sinne. Der Energieverbrauch wir an geeigneter Stelle wieder eingeführt.</w:t>
      </w:r>
    </w:p>
    <w:p w14:paraId="042588B9" w14:textId="2EFAC1A7" w:rsidR="00650764" w:rsidRDefault="00650764"/>
    <w:p w14:paraId="64E3F018" w14:textId="5911A9D5" w:rsidR="00650764" w:rsidRDefault="008D7F53" w:rsidP="004A3F06">
      <w:pPr>
        <w:pStyle w:val="berschrift2"/>
        <w:numPr>
          <w:ilvl w:val="1"/>
          <w:numId w:val="3"/>
        </w:numPr>
      </w:pPr>
      <w:bookmarkStart w:id="2" w:name="_Toc122551556"/>
      <w:r>
        <w:t>Schaltungen</w:t>
      </w:r>
      <w:r w:rsidR="00A65515">
        <w:t xml:space="preserve"> und boolesche Algebra</w:t>
      </w:r>
      <w:bookmarkEnd w:id="2"/>
    </w:p>
    <w:p w14:paraId="7FF56184" w14:textId="4F250ADA" w:rsidR="008D7F53" w:rsidRDefault="008D7F53">
      <w:r>
        <w:t xml:space="preserve">Die Grundlage der </w:t>
      </w:r>
      <w:r w:rsidR="008036A4">
        <w:t>Computer (auch „Rechner“ genannt)</w:t>
      </w:r>
      <w:r w:rsidR="00687627">
        <w:t xml:space="preserve"> </w:t>
      </w:r>
      <w:r w:rsidR="0062754C">
        <w:t xml:space="preserve">sind die (logischen) Schaltungen (von Signalen). </w:t>
      </w:r>
      <w:r w:rsidR="002F4F33">
        <w:t>Man kann sich diese vorstellen wie Weichen von Gleisen im Eisenbahnverkehr, die die zukünftige Fahrtrichtung des Zuges bestimmen.</w:t>
      </w:r>
      <w:r w:rsidR="00B33A8D">
        <w:t xml:space="preserve"> Diese Weichen entscheiden über den weiteren Verlauf des Zuges</w:t>
      </w:r>
      <w:r w:rsidR="002A749B">
        <w:t>. Im wesentlichen verbrauchen sie einen elektrischen Strom, um beispielsweise einen Elektromotor zu betreiben, der die Gleise umstellt.</w:t>
      </w:r>
      <w:r w:rsidR="00CC33CC">
        <w:t xml:space="preserve"> Wir können aber den elektrischen Stromfluss gut mit dem Fluss von Wasser oder Gasen vergleichen, die weil sichtbar leichter verständlich sind.</w:t>
      </w:r>
      <w:r w:rsidR="006D1638">
        <w:t xml:space="preserve"> Die Software „FluidSIM-P“</w:t>
      </w:r>
      <w:r w:rsidR="00EF581F">
        <w:t xml:space="preserve"> </w:t>
      </w:r>
      <w:r w:rsidR="007154EA">
        <w:t xml:space="preserve">visualisiert den Fluss von Gasen durch ein Rohrleitungssystem. Dabei können Rohre </w:t>
      </w:r>
      <w:r w:rsidR="00CE2183">
        <w:t xml:space="preserve">durch </w:t>
      </w:r>
      <w:r w:rsidR="008E066A">
        <w:t>einen seitlichen</w:t>
      </w:r>
      <w:r w:rsidR="00CE2183">
        <w:t xml:space="preserve"> Druck von Gasen </w:t>
      </w:r>
      <w:r w:rsidR="00886F44">
        <w:t>oder</w:t>
      </w:r>
      <w:r w:rsidR="00EE2317">
        <w:t xml:space="preserve"> metallischen</w:t>
      </w:r>
      <w:r w:rsidR="00886F44">
        <w:t xml:space="preserve"> Federn </w:t>
      </w:r>
      <w:r w:rsidR="00CE2183">
        <w:t>umgestellt werden.</w:t>
      </w:r>
    </w:p>
    <w:p w14:paraId="5B1E38F1" w14:textId="317B5709" w:rsidR="00C9171C" w:rsidRDefault="00C9171C">
      <w:r>
        <w:br w:type="page"/>
      </w:r>
    </w:p>
    <w:tbl>
      <w:tblPr>
        <w:tblStyle w:val="Tabellenraster"/>
        <w:tblW w:w="0" w:type="auto"/>
        <w:tblLook w:val="04A0" w:firstRow="1" w:lastRow="0" w:firstColumn="1" w:lastColumn="0" w:noHBand="0" w:noVBand="1"/>
      </w:tblPr>
      <w:tblGrid>
        <w:gridCol w:w="3456"/>
        <w:gridCol w:w="4358"/>
      </w:tblGrid>
      <w:tr w:rsidR="005F77AD" w14:paraId="25786913" w14:textId="77777777" w:rsidTr="005F77AD">
        <w:tc>
          <w:tcPr>
            <w:tcW w:w="3907" w:type="dxa"/>
          </w:tcPr>
          <w:p w14:paraId="3D0127DD" w14:textId="7A32EE6C" w:rsidR="005F77AD" w:rsidRDefault="00674F04">
            <w:r>
              <w:lastRenderedPageBreak/>
              <w:t>ODER</w:t>
            </w:r>
            <w:r w:rsidR="005F77AD">
              <w:t>-Gatter</w:t>
            </w:r>
          </w:p>
        </w:tc>
        <w:tc>
          <w:tcPr>
            <w:tcW w:w="3907" w:type="dxa"/>
          </w:tcPr>
          <w:p w14:paraId="70631DBA" w14:textId="57CB9288" w:rsidR="005F77AD" w:rsidRDefault="00674F04">
            <w:r>
              <w:t>UND</w:t>
            </w:r>
            <w:r w:rsidR="005F77AD">
              <w:t>-Gatter</w:t>
            </w:r>
          </w:p>
        </w:tc>
      </w:tr>
      <w:tr w:rsidR="005F77AD" w14:paraId="420BA22B" w14:textId="77777777" w:rsidTr="005F77AD">
        <w:tc>
          <w:tcPr>
            <w:tcW w:w="3907" w:type="dxa"/>
          </w:tcPr>
          <w:p w14:paraId="1763C529" w14:textId="70990EB8" w:rsidR="005F77AD" w:rsidRDefault="005F77AD">
            <w:r>
              <w:rPr>
                <w:noProof/>
              </w:rPr>
              <w:drawing>
                <wp:inline distT="0" distB="0" distL="0" distR="0" wp14:anchorId="3AD690FF" wp14:editId="5AE5EF00">
                  <wp:extent cx="2095500" cy="191386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3531" cy="1921203"/>
                          </a:xfrm>
                          <a:prstGeom prst="rect">
                            <a:avLst/>
                          </a:prstGeom>
                        </pic:spPr>
                      </pic:pic>
                    </a:graphicData>
                  </a:graphic>
                </wp:inline>
              </w:drawing>
            </w:r>
          </w:p>
        </w:tc>
        <w:tc>
          <w:tcPr>
            <w:tcW w:w="3907" w:type="dxa"/>
          </w:tcPr>
          <w:p w14:paraId="698F85C4" w14:textId="75BF1AD7" w:rsidR="005F77AD" w:rsidRDefault="005F77AD">
            <w:r>
              <w:rPr>
                <w:noProof/>
              </w:rPr>
              <w:drawing>
                <wp:inline distT="0" distB="0" distL="0" distR="0" wp14:anchorId="3F759328" wp14:editId="5356E559">
                  <wp:extent cx="2747832" cy="17335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7802" cy="1758766"/>
                          </a:xfrm>
                          <a:prstGeom prst="rect">
                            <a:avLst/>
                          </a:prstGeom>
                        </pic:spPr>
                      </pic:pic>
                    </a:graphicData>
                  </a:graphic>
                </wp:inline>
              </w:drawing>
            </w:r>
          </w:p>
        </w:tc>
      </w:tr>
      <w:tr w:rsidR="005F77AD" w14:paraId="154D671C" w14:textId="77777777" w:rsidTr="005F77AD">
        <w:tc>
          <w:tcPr>
            <w:tcW w:w="3907" w:type="dxa"/>
          </w:tcPr>
          <w:p w14:paraId="53593006" w14:textId="499BF3AC" w:rsidR="005F77AD" w:rsidRDefault="005F77AD">
            <w:r>
              <w:rPr>
                <w:noProof/>
              </w:rPr>
              <w:drawing>
                <wp:inline distT="0" distB="0" distL="0" distR="0" wp14:anchorId="7EDFE55F" wp14:editId="580AA117">
                  <wp:extent cx="2188210" cy="2005566"/>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595" cy="2029749"/>
                          </a:xfrm>
                          <a:prstGeom prst="rect">
                            <a:avLst/>
                          </a:prstGeom>
                        </pic:spPr>
                      </pic:pic>
                    </a:graphicData>
                  </a:graphic>
                </wp:inline>
              </w:drawing>
            </w:r>
          </w:p>
        </w:tc>
        <w:tc>
          <w:tcPr>
            <w:tcW w:w="3907" w:type="dxa"/>
          </w:tcPr>
          <w:p w14:paraId="1F943F4E" w14:textId="49A553C6" w:rsidR="005F77AD" w:rsidRDefault="005F77AD">
            <w:r>
              <w:rPr>
                <w:noProof/>
              </w:rPr>
              <w:drawing>
                <wp:inline distT="0" distB="0" distL="0" distR="0" wp14:anchorId="668BB875" wp14:editId="01889CCE">
                  <wp:extent cx="2726690" cy="1819884"/>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6050" cy="1832805"/>
                          </a:xfrm>
                          <a:prstGeom prst="rect">
                            <a:avLst/>
                          </a:prstGeom>
                        </pic:spPr>
                      </pic:pic>
                    </a:graphicData>
                  </a:graphic>
                </wp:inline>
              </w:drawing>
            </w:r>
          </w:p>
        </w:tc>
      </w:tr>
      <w:tr w:rsidR="005F77AD" w14:paraId="4AED250E" w14:textId="77777777" w:rsidTr="005F77AD">
        <w:tc>
          <w:tcPr>
            <w:tcW w:w="3907" w:type="dxa"/>
          </w:tcPr>
          <w:p w14:paraId="5579537E" w14:textId="763C78D3" w:rsidR="005F77AD" w:rsidRDefault="005F77AD">
            <w:r>
              <w:rPr>
                <w:noProof/>
              </w:rPr>
              <w:drawing>
                <wp:inline distT="0" distB="0" distL="0" distR="0" wp14:anchorId="08F42C4B" wp14:editId="251789BC">
                  <wp:extent cx="2188717" cy="209550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717" cy="2097415"/>
                          </a:xfrm>
                          <a:prstGeom prst="rect">
                            <a:avLst/>
                          </a:prstGeom>
                        </pic:spPr>
                      </pic:pic>
                    </a:graphicData>
                  </a:graphic>
                </wp:inline>
              </w:drawing>
            </w:r>
          </w:p>
        </w:tc>
        <w:tc>
          <w:tcPr>
            <w:tcW w:w="3907" w:type="dxa"/>
          </w:tcPr>
          <w:p w14:paraId="2A84FD10" w14:textId="622495F8" w:rsidR="005F77AD" w:rsidRDefault="005F77AD">
            <w:r>
              <w:rPr>
                <w:noProof/>
              </w:rPr>
              <w:drawing>
                <wp:inline distT="0" distB="0" distL="0" distR="0" wp14:anchorId="309A4767" wp14:editId="4C3DA132">
                  <wp:extent cx="2796540" cy="2075244"/>
                  <wp:effectExtent l="0" t="0" r="381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0162" cy="2092774"/>
                          </a:xfrm>
                          <a:prstGeom prst="rect">
                            <a:avLst/>
                          </a:prstGeom>
                        </pic:spPr>
                      </pic:pic>
                    </a:graphicData>
                  </a:graphic>
                </wp:inline>
              </w:drawing>
            </w:r>
          </w:p>
        </w:tc>
      </w:tr>
    </w:tbl>
    <w:p w14:paraId="63C6B3CF" w14:textId="77777777" w:rsidR="00C9171C" w:rsidRDefault="00C9171C"/>
    <w:p w14:paraId="1D8F9ADD" w14:textId="47A19AFE" w:rsidR="001A4009" w:rsidRDefault="002E0AC7">
      <w:r>
        <w:t xml:space="preserve">Dabei stehen </w:t>
      </w:r>
      <w:r w:rsidR="00431B37">
        <w:t xml:space="preserve">hellblaue Leitungen für niederen Luftdruck, dunkelblaue Leitungen für höheren Luftdruck. </w:t>
      </w:r>
      <w:r w:rsidR="00EF6656">
        <w:t>Die Blöcke werden Ventile, oder im Kontext von Rechnern auch Gatter genannt.</w:t>
      </w:r>
      <w:r w:rsidR="004100BA">
        <w:t xml:space="preserve"> Das unten angezeigte Dreieck ist jeweils die Quelle von Hochdruck-Luft. Die darüber liegenden Ventile sind Schalter, sie erlauben es, Druckluft durchzuleiten oder die darüberliegende Leitung zu entlüften (in die Umgebung).</w:t>
      </w:r>
      <w:r w:rsidR="00B35187">
        <w:t xml:space="preserve"> Ganz oben liegt ein Kolben, der mit Druckluft betrieben wird. Hoher Luftdruck führt dazu, dass der Kolben sich ausdehnt.</w:t>
      </w:r>
      <w:r w:rsidR="00144185">
        <w:t xml:space="preserve"> Bei niederem Luftdruck fährt er in seine ursprüngliche Haltung zurück. In der Mitte liegt ein Ventil, das die eigentliche Schaltung von Signalen vornimmt. Es ist in der Lage, eine UND- bzw. ODER-Schaltung durchzuführen.</w:t>
      </w:r>
    </w:p>
    <w:p w14:paraId="1DC3DDFD" w14:textId="6F784FA0" w:rsidR="00144185" w:rsidRDefault="00E40EE7">
      <w:r>
        <w:lastRenderedPageBreak/>
        <w:t>Diese Schaltungen sind die Grundlage der modernen Rechner-Technik.</w:t>
      </w:r>
    </w:p>
    <w:p w14:paraId="75939CD7" w14:textId="26E5FC87" w:rsidR="00E40EE7" w:rsidRDefault="00E40EE7">
      <w:r>
        <w:t>Die Verknüpfungstabellen sind wie im folgenden tabelliert:</w:t>
      </w:r>
    </w:p>
    <w:tbl>
      <w:tblPr>
        <w:tblStyle w:val="Tabellenraster"/>
        <w:tblW w:w="0" w:type="auto"/>
        <w:tblLook w:val="04A0" w:firstRow="1" w:lastRow="0" w:firstColumn="1" w:lastColumn="0" w:noHBand="0" w:noVBand="1"/>
      </w:tblPr>
      <w:tblGrid>
        <w:gridCol w:w="3907"/>
        <w:gridCol w:w="3907"/>
      </w:tblGrid>
      <w:tr w:rsidR="00E40EE7" w14:paraId="7068775E" w14:textId="77777777" w:rsidTr="00E40EE7">
        <w:tc>
          <w:tcPr>
            <w:tcW w:w="3907" w:type="dxa"/>
          </w:tcPr>
          <w:p w14:paraId="3943F06C" w14:textId="5CF3CDC1" w:rsidR="00E40EE7" w:rsidRDefault="00E40EE7">
            <w:r>
              <w:t>ODER-Gatter</w:t>
            </w:r>
          </w:p>
        </w:tc>
        <w:tc>
          <w:tcPr>
            <w:tcW w:w="3907" w:type="dxa"/>
          </w:tcPr>
          <w:p w14:paraId="7E6B2B48" w14:textId="1F7C3527" w:rsidR="00E40EE7" w:rsidRDefault="00E40EE7">
            <w:r>
              <w:t>UND-Gatter</w:t>
            </w:r>
          </w:p>
        </w:tc>
      </w:tr>
      <w:tr w:rsidR="00E40EE7" w14:paraId="06A9740C" w14:textId="77777777" w:rsidTr="00E40EE7">
        <w:tc>
          <w:tcPr>
            <w:tcW w:w="3907" w:type="dxa"/>
          </w:tcPr>
          <w:tbl>
            <w:tblPr>
              <w:tblStyle w:val="Tabellenraster"/>
              <w:tblW w:w="0" w:type="auto"/>
              <w:tblLook w:val="04A0" w:firstRow="1" w:lastRow="0" w:firstColumn="1" w:lastColumn="0" w:noHBand="0" w:noVBand="1"/>
            </w:tblPr>
            <w:tblGrid>
              <w:gridCol w:w="1227"/>
              <w:gridCol w:w="1227"/>
              <w:gridCol w:w="1227"/>
            </w:tblGrid>
            <w:tr w:rsidR="00CC44FC" w14:paraId="454B4374" w14:textId="77777777" w:rsidTr="00DA15B3">
              <w:tc>
                <w:tcPr>
                  <w:tcW w:w="1227" w:type="dxa"/>
                </w:tcPr>
                <w:p w14:paraId="63E187A9" w14:textId="451D6052" w:rsidR="00CC44FC" w:rsidRDefault="00CC44FC">
                  <w:r>
                    <w:t>A</w:t>
                  </w:r>
                </w:p>
              </w:tc>
              <w:tc>
                <w:tcPr>
                  <w:tcW w:w="1227" w:type="dxa"/>
                  <w:tcBorders>
                    <w:right w:val="single" w:sz="12" w:space="0" w:color="auto"/>
                  </w:tcBorders>
                </w:tcPr>
                <w:p w14:paraId="5E1E3E14" w14:textId="778DFC3E" w:rsidR="00CC44FC" w:rsidRDefault="00CC44FC">
                  <w:r>
                    <w:t>B</w:t>
                  </w:r>
                </w:p>
              </w:tc>
              <w:tc>
                <w:tcPr>
                  <w:tcW w:w="1227" w:type="dxa"/>
                  <w:tcBorders>
                    <w:top w:val="nil"/>
                    <w:left w:val="single" w:sz="12" w:space="0" w:color="auto"/>
                    <w:bottom w:val="nil"/>
                    <w:right w:val="nil"/>
                  </w:tcBorders>
                </w:tcPr>
                <w:p w14:paraId="49405D62" w14:textId="36BEF96F" w:rsidR="00CC44FC" w:rsidRDefault="00CC44FC">
                  <w:r>
                    <w:t>A ODER B</w:t>
                  </w:r>
                </w:p>
              </w:tc>
            </w:tr>
            <w:tr w:rsidR="00CC44FC" w14:paraId="71F8B205" w14:textId="77777777" w:rsidTr="00DA15B3">
              <w:tc>
                <w:tcPr>
                  <w:tcW w:w="1227" w:type="dxa"/>
                  <w:shd w:val="clear" w:color="auto" w:fill="FFC000"/>
                </w:tcPr>
                <w:p w14:paraId="7367A496" w14:textId="2E08CAF5" w:rsidR="00CC44FC" w:rsidRDefault="00CC44FC">
                  <w:r>
                    <w:t>0</w:t>
                  </w:r>
                </w:p>
              </w:tc>
              <w:tc>
                <w:tcPr>
                  <w:tcW w:w="1227" w:type="dxa"/>
                  <w:tcBorders>
                    <w:right w:val="single" w:sz="12" w:space="0" w:color="auto"/>
                  </w:tcBorders>
                  <w:shd w:val="clear" w:color="auto" w:fill="FFC000"/>
                </w:tcPr>
                <w:p w14:paraId="6A21FA76" w14:textId="225ED540" w:rsidR="00CC44FC" w:rsidRDefault="00CC44FC">
                  <w:r>
                    <w:t>0</w:t>
                  </w:r>
                </w:p>
              </w:tc>
              <w:tc>
                <w:tcPr>
                  <w:tcW w:w="1227" w:type="dxa"/>
                  <w:tcBorders>
                    <w:top w:val="nil"/>
                    <w:left w:val="single" w:sz="12" w:space="0" w:color="auto"/>
                    <w:bottom w:val="nil"/>
                    <w:right w:val="nil"/>
                  </w:tcBorders>
                  <w:shd w:val="clear" w:color="auto" w:fill="FFC000"/>
                </w:tcPr>
                <w:p w14:paraId="34927754" w14:textId="6108F9B9" w:rsidR="00CC44FC" w:rsidRDefault="00CC44FC">
                  <w:r>
                    <w:t>0</w:t>
                  </w:r>
                </w:p>
              </w:tc>
            </w:tr>
            <w:tr w:rsidR="00CC44FC" w14:paraId="165DFA98" w14:textId="77777777" w:rsidTr="00DA15B3">
              <w:tc>
                <w:tcPr>
                  <w:tcW w:w="1227" w:type="dxa"/>
                  <w:shd w:val="clear" w:color="auto" w:fill="FFC000"/>
                </w:tcPr>
                <w:p w14:paraId="6CD26838" w14:textId="764A0259" w:rsidR="00CC44FC" w:rsidRDefault="00CC44FC" w:rsidP="00C87456">
                  <w:pPr>
                    <w:tabs>
                      <w:tab w:val="left" w:pos="760"/>
                    </w:tabs>
                  </w:pPr>
                  <w:r>
                    <w:t>0</w:t>
                  </w:r>
                  <w:r w:rsidR="00C87456">
                    <w:tab/>
                  </w:r>
                </w:p>
              </w:tc>
              <w:tc>
                <w:tcPr>
                  <w:tcW w:w="1227" w:type="dxa"/>
                  <w:tcBorders>
                    <w:right w:val="single" w:sz="12" w:space="0" w:color="auto"/>
                  </w:tcBorders>
                  <w:shd w:val="clear" w:color="auto" w:fill="538135" w:themeFill="accent6" w:themeFillShade="BF"/>
                </w:tcPr>
                <w:p w14:paraId="5EF516AA" w14:textId="1AA02AEF" w:rsidR="00CC44FC" w:rsidRDefault="00CC44FC">
                  <w:r>
                    <w:t>1</w:t>
                  </w:r>
                </w:p>
              </w:tc>
              <w:tc>
                <w:tcPr>
                  <w:tcW w:w="1227" w:type="dxa"/>
                  <w:tcBorders>
                    <w:top w:val="nil"/>
                    <w:left w:val="single" w:sz="12" w:space="0" w:color="auto"/>
                    <w:bottom w:val="nil"/>
                    <w:right w:val="nil"/>
                  </w:tcBorders>
                  <w:shd w:val="clear" w:color="auto" w:fill="538135" w:themeFill="accent6" w:themeFillShade="BF"/>
                </w:tcPr>
                <w:p w14:paraId="7B736E5E" w14:textId="0D9BC255" w:rsidR="00CC44FC" w:rsidRDefault="00CC44FC">
                  <w:r>
                    <w:t>1</w:t>
                  </w:r>
                </w:p>
              </w:tc>
            </w:tr>
            <w:tr w:rsidR="00CC44FC" w14:paraId="4605D821" w14:textId="77777777" w:rsidTr="00DA15B3">
              <w:tc>
                <w:tcPr>
                  <w:tcW w:w="1227" w:type="dxa"/>
                  <w:shd w:val="clear" w:color="auto" w:fill="538135" w:themeFill="accent6" w:themeFillShade="BF"/>
                </w:tcPr>
                <w:p w14:paraId="2E63692B" w14:textId="2B7AF080" w:rsidR="00CC44FC" w:rsidRDefault="00CC44FC">
                  <w:r>
                    <w:t>1</w:t>
                  </w:r>
                </w:p>
              </w:tc>
              <w:tc>
                <w:tcPr>
                  <w:tcW w:w="1227" w:type="dxa"/>
                  <w:tcBorders>
                    <w:right w:val="single" w:sz="12" w:space="0" w:color="auto"/>
                  </w:tcBorders>
                  <w:shd w:val="clear" w:color="auto" w:fill="FFC000"/>
                </w:tcPr>
                <w:p w14:paraId="36C66931" w14:textId="26692C21" w:rsidR="00CC44FC" w:rsidRDefault="00CC44FC">
                  <w:r>
                    <w:t>0</w:t>
                  </w:r>
                </w:p>
              </w:tc>
              <w:tc>
                <w:tcPr>
                  <w:tcW w:w="1227" w:type="dxa"/>
                  <w:tcBorders>
                    <w:top w:val="nil"/>
                    <w:left w:val="single" w:sz="12" w:space="0" w:color="auto"/>
                    <w:bottom w:val="nil"/>
                    <w:right w:val="nil"/>
                  </w:tcBorders>
                  <w:shd w:val="clear" w:color="auto" w:fill="538135" w:themeFill="accent6" w:themeFillShade="BF"/>
                </w:tcPr>
                <w:p w14:paraId="74BE5D15" w14:textId="2BCEA85C" w:rsidR="00CC44FC" w:rsidRDefault="00CC44FC">
                  <w:r>
                    <w:t>1</w:t>
                  </w:r>
                </w:p>
              </w:tc>
            </w:tr>
            <w:tr w:rsidR="00CC44FC" w14:paraId="3B21E0CE" w14:textId="77777777" w:rsidTr="00DA15B3">
              <w:tc>
                <w:tcPr>
                  <w:tcW w:w="1227" w:type="dxa"/>
                  <w:shd w:val="clear" w:color="auto" w:fill="538135" w:themeFill="accent6" w:themeFillShade="BF"/>
                </w:tcPr>
                <w:p w14:paraId="26D21674" w14:textId="321D9801" w:rsidR="00CC44FC" w:rsidRDefault="00CC44FC">
                  <w:r>
                    <w:t>1</w:t>
                  </w:r>
                </w:p>
              </w:tc>
              <w:tc>
                <w:tcPr>
                  <w:tcW w:w="1227" w:type="dxa"/>
                  <w:tcBorders>
                    <w:right w:val="single" w:sz="12" w:space="0" w:color="auto"/>
                  </w:tcBorders>
                  <w:shd w:val="clear" w:color="auto" w:fill="538135" w:themeFill="accent6" w:themeFillShade="BF"/>
                </w:tcPr>
                <w:p w14:paraId="64B433E9" w14:textId="345D3C40" w:rsidR="00CC44FC" w:rsidRDefault="00CC44FC">
                  <w:r>
                    <w:t>1</w:t>
                  </w:r>
                </w:p>
              </w:tc>
              <w:tc>
                <w:tcPr>
                  <w:tcW w:w="1227" w:type="dxa"/>
                  <w:tcBorders>
                    <w:top w:val="nil"/>
                    <w:left w:val="single" w:sz="12" w:space="0" w:color="auto"/>
                    <w:bottom w:val="nil"/>
                    <w:right w:val="nil"/>
                  </w:tcBorders>
                  <w:shd w:val="clear" w:color="auto" w:fill="538135" w:themeFill="accent6" w:themeFillShade="BF"/>
                </w:tcPr>
                <w:p w14:paraId="70384E54" w14:textId="77DD2D93" w:rsidR="00CC44FC" w:rsidRDefault="00CC44FC">
                  <w:r>
                    <w:t>1</w:t>
                  </w:r>
                </w:p>
              </w:tc>
            </w:tr>
          </w:tbl>
          <w:p w14:paraId="72B8480F" w14:textId="77777777" w:rsidR="00E40EE7" w:rsidRDefault="00E40EE7"/>
        </w:tc>
        <w:tc>
          <w:tcPr>
            <w:tcW w:w="3907" w:type="dxa"/>
          </w:tcPr>
          <w:tbl>
            <w:tblPr>
              <w:tblStyle w:val="Tabellenraster"/>
              <w:tblW w:w="0" w:type="auto"/>
              <w:tblLook w:val="04A0" w:firstRow="1" w:lastRow="0" w:firstColumn="1" w:lastColumn="0" w:noHBand="0" w:noVBand="1"/>
            </w:tblPr>
            <w:tblGrid>
              <w:gridCol w:w="1227"/>
              <w:gridCol w:w="1227"/>
              <w:gridCol w:w="1227"/>
            </w:tblGrid>
            <w:tr w:rsidR="00CC44FC" w14:paraId="602C79A8" w14:textId="77777777" w:rsidTr="00AB7562">
              <w:tc>
                <w:tcPr>
                  <w:tcW w:w="1227" w:type="dxa"/>
                </w:tcPr>
                <w:p w14:paraId="3CC4AEA9" w14:textId="6752F1B6" w:rsidR="00CC44FC" w:rsidRDefault="00CC44FC">
                  <w:r>
                    <w:t>A</w:t>
                  </w:r>
                </w:p>
              </w:tc>
              <w:tc>
                <w:tcPr>
                  <w:tcW w:w="1227" w:type="dxa"/>
                  <w:tcBorders>
                    <w:right w:val="single" w:sz="12" w:space="0" w:color="auto"/>
                  </w:tcBorders>
                </w:tcPr>
                <w:p w14:paraId="606D6841" w14:textId="740FC528" w:rsidR="00CC44FC" w:rsidRDefault="00CC44FC">
                  <w:r>
                    <w:t>B</w:t>
                  </w:r>
                </w:p>
              </w:tc>
              <w:tc>
                <w:tcPr>
                  <w:tcW w:w="1227" w:type="dxa"/>
                  <w:tcBorders>
                    <w:top w:val="nil"/>
                    <w:left w:val="single" w:sz="12" w:space="0" w:color="auto"/>
                    <w:bottom w:val="nil"/>
                    <w:right w:val="nil"/>
                  </w:tcBorders>
                </w:tcPr>
                <w:p w14:paraId="60455DCD" w14:textId="6A4669A5" w:rsidR="00CC44FC" w:rsidRDefault="00CC44FC">
                  <w:r>
                    <w:t>A UND B</w:t>
                  </w:r>
                </w:p>
              </w:tc>
            </w:tr>
            <w:tr w:rsidR="00CC44FC" w14:paraId="0BBCC375" w14:textId="77777777" w:rsidTr="00AB7562">
              <w:tc>
                <w:tcPr>
                  <w:tcW w:w="1227" w:type="dxa"/>
                  <w:shd w:val="clear" w:color="auto" w:fill="FFC000"/>
                </w:tcPr>
                <w:p w14:paraId="2544095C" w14:textId="2A4FD33B" w:rsidR="00CC44FC" w:rsidRDefault="00CC44FC">
                  <w:r>
                    <w:t>0</w:t>
                  </w:r>
                </w:p>
              </w:tc>
              <w:tc>
                <w:tcPr>
                  <w:tcW w:w="1227" w:type="dxa"/>
                  <w:tcBorders>
                    <w:right w:val="single" w:sz="12" w:space="0" w:color="auto"/>
                  </w:tcBorders>
                  <w:shd w:val="clear" w:color="auto" w:fill="FFC000"/>
                </w:tcPr>
                <w:p w14:paraId="3E27D468" w14:textId="536754AD" w:rsidR="00CC44FC" w:rsidRDefault="00CC44FC">
                  <w:r>
                    <w:t>0</w:t>
                  </w:r>
                </w:p>
              </w:tc>
              <w:tc>
                <w:tcPr>
                  <w:tcW w:w="1227" w:type="dxa"/>
                  <w:tcBorders>
                    <w:top w:val="nil"/>
                    <w:left w:val="single" w:sz="12" w:space="0" w:color="auto"/>
                    <w:bottom w:val="nil"/>
                    <w:right w:val="nil"/>
                  </w:tcBorders>
                  <w:shd w:val="clear" w:color="auto" w:fill="FFC000"/>
                </w:tcPr>
                <w:p w14:paraId="190C6649" w14:textId="3E284D4F" w:rsidR="00CC44FC" w:rsidRDefault="00CC44FC">
                  <w:r>
                    <w:t>0</w:t>
                  </w:r>
                </w:p>
              </w:tc>
            </w:tr>
            <w:tr w:rsidR="00CC44FC" w14:paraId="50C33DDC" w14:textId="77777777" w:rsidTr="00AB7562">
              <w:tc>
                <w:tcPr>
                  <w:tcW w:w="1227" w:type="dxa"/>
                  <w:shd w:val="clear" w:color="auto" w:fill="FFC000"/>
                </w:tcPr>
                <w:p w14:paraId="63A3172C" w14:textId="2B2AAF16" w:rsidR="00CC44FC" w:rsidRDefault="00CC44FC">
                  <w:r>
                    <w:t>0</w:t>
                  </w:r>
                </w:p>
              </w:tc>
              <w:tc>
                <w:tcPr>
                  <w:tcW w:w="1227" w:type="dxa"/>
                  <w:tcBorders>
                    <w:right w:val="single" w:sz="12" w:space="0" w:color="auto"/>
                  </w:tcBorders>
                  <w:shd w:val="clear" w:color="auto" w:fill="538135" w:themeFill="accent6" w:themeFillShade="BF"/>
                </w:tcPr>
                <w:p w14:paraId="02BCF19E" w14:textId="1F8B9B3D" w:rsidR="00CC44FC" w:rsidRDefault="00CC44FC">
                  <w:r>
                    <w:t>1</w:t>
                  </w:r>
                </w:p>
              </w:tc>
              <w:tc>
                <w:tcPr>
                  <w:tcW w:w="1227" w:type="dxa"/>
                  <w:tcBorders>
                    <w:top w:val="nil"/>
                    <w:left w:val="single" w:sz="12" w:space="0" w:color="auto"/>
                    <w:bottom w:val="nil"/>
                    <w:right w:val="nil"/>
                  </w:tcBorders>
                  <w:shd w:val="clear" w:color="auto" w:fill="FFC000"/>
                </w:tcPr>
                <w:p w14:paraId="258DECD4" w14:textId="49CF2822" w:rsidR="00CC44FC" w:rsidRDefault="00CC44FC">
                  <w:r>
                    <w:t>0</w:t>
                  </w:r>
                </w:p>
              </w:tc>
            </w:tr>
            <w:tr w:rsidR="00CC44FC" w14:paraId="69A112CF" w14:textId="77777777" w:rsidTr="00AB7562">
              <w:tc>
                <w:tcPr>
                  <w:tcW w:w="1227" w:type="dxa"/>
                  <w:shd w:val="clear" w:color="auto" w:fill="538135" w:themeFill="accent6" w:themeFillShade="BF"/>
                </w:tcPr>
                <w:p w14:paraId="6D28FE48" w14:textId="2B438A4D" w:rsidR="00CC44FC" w:rsidRDefault="00CC44FC">
                  <w:r>
                    <w:t>1</w:t>
                  </w:r>
                </w:p>
              </w:tc>
              <w:tc>
                <w:tcPr>
                  <w:tcW w:w="1227" w:type="dxa"/>
                  <w:tcBorders>
                    <w:right w:val="single" w:sz="12" w:space="0" w:color="auto"/>
                  </w:tcBorders>
                  <w:shd w:val="clear" w:color="auto" w:fill="FFC000"/>
                </w:tcPr>
                <w:p w14:paraId="58AFF66F" w14:textId="591D7FAB" w:rsidR="00CC44FC" w:rsidRDefault="00CC44FC">
                  <w:r>
                    <w:t>0</w:t>
                  </w:r>
                </w:p>
              </w:tc>
              <w:tc>
                <w:tcPr>
                  <w:tcW w:w="1227" w:type="dxa"/>
                  <w:tcBorders>
                    <w:top w:val="nil"/>
                    <w:left w:val="single" w:sz="12" w:space="0" w:color="auto"/>
                    <w:bottom w:val="nil"/>
                    <w:right w:val="nil"/>
                  </w:tcBorders>
                  <w:shd w:val="clear" w:color="auto" w:fill="FFC000"/>
                </w:tcPr>
                <w:p w14:paraId="718DD7EA" w14:textId="5BB798D6" w:rsidR="00CC44FC" w:rsidRDefault="00CC44FC">
                  <w:r>
                    <w:t>0</w:t>
                  </w:r>
                </w:p>
              </w:tc>
            </w:tr>
            <w:tr w:rsidR="00CC44FC" w14:paraId="2075EEB2" w14:textId="77777777" w:rsidTr="00AB7562">
              <w:tc>
                <w:tcPr>
                  <w:tcW w:w="1227" w:type="dxa"/>
                  <w:shd w:val="clear" w:color="auto" w:fill="538135" w:themeFill="accent6" w:themeFillShade="BF"/>
                </w:tcPr>
                <w:p w14:paraId="635B7121" w14:textId="2D6F4227" w:rsidR="00CC44FC" w:rsidRDefault="00CC44FC">
                  <w:r>
                    <w:t>1</w:t>
                  </w:r>
                </w:p>
              </w:tc>
              <w:tc>
                <w:tcPr>
                  <w:tcW w:w="1227" w:type="dxa"/>
                  <w:tcBorders>
                    <w:right w:val="single" w:sz="12" w:space="0" w:color="auto"/>
                  </w:tcBorders>
                  <w:shd w:val="clear" w:color="auto" w:fill="538135" w:themeFill="accent6" w:themeFillShade="BF"/>
                </w:tcPr>
                <w:p w14:paraId="460FE856" w14:textId="2049A80A" w:rsidR="00CC44FC" w:rsidRDefault="00CC44FC">
                  <w:r>
                    <w:t>1</w:t>
                  </w:r>
                </w:p>
              </w:tc>
              <w:tc>
                <w:tcPr>
                  <w:tcW w:w="1227" w:type="dxa"/>
                  <w:tcBorders>
                    <w:top w:val="nil"/>
                    <w:left w:val="single" w:sz="12" w:space="0" w:color="auto"/>
                    <w:bottom w:val="nil"/>
                    <w:right w:val="nil"/>
                  </w:tcBorders>
                  <w:shd w:val="clear" w:color="auto" w:fill="538135" w:themeFill="accent6" w:themeFillShade="BF"/>
                </w:tcPr>
                <w:p w14:paraId="6B5113EA" w14:textId="44C04141" w:rsidR="00CC44FC" w:rsidRDefault="00CC44FC">
                  <w:r>
                    <w:t>1</w:t>
                  </w:r>
                </w:p>
              </w:tc>
            </w:tr>
          </w:tbl>
          <w:p w14:paraId="22B14B7B" w14:textId="77777777" w:rsidR="00E40EE7" w:rsidRDefault="00E40EE7"/>
        </w:tc>
      </w:tr>
    </w:tbl>
    <w:p w14:paraId="60159F62" w14:textId="77777777" w:rsidR="00E40EE7" w:rsidRDefault="00E40EE7"/>
    <w:p w14:paraId="2CAD5278" w14:textId="766EE2C0" w:rsidR="00486258" w:rsidRDefault="00846744">
      <w:r>
        <w:t>Diese werden mit Luftdruck realisiert (1 = Hochdruck, 0 = Niederdruck).</w:t>
      </w:r>
    </w:p>
    <w:p w14:paraId="16FDE341" w14:textId="0C1B3599" w:rsidR="005A4E3E" w:rsidRDefault="005A4E3E">
      <w:r>
        <w:t>Es ist also möglich, nur durch physikalische Systeme diese Verknüpfungstabellen zu realisieren.</w:t>
      </w:r>
    </w:p>
    <w:p w14:paraId="0AE3F5FE" w14:textId="76FFB5B9" w:rsidR="005A4E3E" w:rsidRDefault="00E44422">
      <w:r>
        <w:t>Ein genauerer Blick auf das UND-Gatter folgt, da es vielleicht nicht sehr einfach zu verstehen ist, wie es funktioniert:</w:t>
      </w:r>
    </w:p>
    <w:p w14:paraId="4AEB6461" w14:textId="41AD4A48" w:rsidR="00E44422" w:rsidRDefault="00E44422">
      <w:r>
        <w:rPr>
          <w:noProof/>
        </w:rPr>
        <w:drawing>
          <wp:inline distT="0" distB="0" distL="0" distR="0" wp14:anchorId="30078FD0" wp14:editId="3DC7D850">
            <wp:extent cx="2216150" cy="138056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7915" cy="1394121"/>
                    </a:xfrm>
                    <a:prstGeom prst="rect">
                      <a:avLst/>
                    </a:prstGeom>
                  </pic:spPr>
                </pic:pic>
              </a:graphicData>
            </a:graphic>
          </wp:inline>
        </w:drawing>
      </w:r>
    </w:p>
    <w:p w14:paraId="3899F680" w14:textId="55ACD70C" w:rsidR="00790227" w:rsidRDefault="00E44422">
      <w:r>
        <w:t>Wenn die Luft von Links einströmt</w:t>
      </w:r>
      <w:r w:rsidR="005A1BC7">
        <w:t xml:space="preserve"> (und nicht von rechts)</w:t>
      </w:r>
      <w:r>
        <w:t>, verschiebt sich der Mittelbalken nach rechts und blockiert somit den Weg von A nach C und der Luftstrom kommt zum erliegen. Wenn aber gleichzeitig von B Druchluft einströmt, dann kann diese den Weg von B nach C bewältigen, und C ergibt Hochdruckluft. Das Gatter realisiert also tatsächlich eine UND-Verknüpfung. Durch technische Ingenieurskunst ist es möglich, noch viele weitere Gatter für Verknüpfungstabellen zu bauen (insbesondere das NICHT-Gatter, das das Eingangssignal umkehrt).</w:t>
      </w:r>
    </w:p>
    <w:p w14:paraId="1874D719" w14:textId="77777777" w:rsidR="00BC7C1D" w:rsidRDefault="00581781">
      <w:r>
        <w:t xml:space="preserve">Eine detaillierte Darstellung aller möglichen Gatter-Bauweisen bleibt dem lieben Studenten hier erspart, da es zu viele sind und sehr viel Arbeit ist, alle darzustellen. </w:t>
      </w:r>
      <w:r w:rsidR="00A953F4">
        <w:t>Stattdessen sei darauf verwiesen, dass dies nicht nur mit Druckluft funktioniert, sondern auch mit elektrischem Strom. In diesem Fall haben sich als Schaltungsgatter die auf Halbleitern aufbauenden Transistoren bewährt</w:t>
      </w:r>
      <w:r w:rsidR="00DB17DF">
        <w:t xml:space="preserve">, insbesondere die PNP- und NPN-Transistoren. </w:t>
      </w:r>
      <w:r w:rsidR="00264963">
        <w:t>Diese funktionieren ähnlich wie elektrisch aktivierte bzw. deaktivierte Schalter</w:t>
      </w:r>
      <w:r w:rsidR="003A0E6A">
        <w:t xml:space="preserve">, die ein weiteres, zweites Eingangssignal entweder weiterleiten oder blockieren können. </w:t>
      </w:r>
      <w:r w:rsidR="002F00FE">
        <w:t>Ein Beispiel folgt:</w:t>
      </w:r>
    </w:p>
    <w:p w14:paraId="1B38BBD5" w14:textId="771269E1" w:rsidR="002001F4" w:rsidRDefault="002001F4">
      <w:r>
        <w:br w:type="page"/>
      </w:r>
    </w:p>
    <w:tbl>
      <w:tblPr>
        <w:tblStyle w:val="Tabellenraster"/>
        <w:tblW w:w="0" w:type="auto"/>
        <w:tblLook w:val="04A0" w:firstRow="1" w:lastRow="0" w:firstColumn="1" w:lastColumn="0" w:noHBand="0" w:noVBand="1"/>
      </w:tblPr>
      <w:tblGrid>
        <w:gridCol w:w="3728"/>
        <w:gridCol w:w="4086"/>
      </w:tblGrid>
      <w:tr w:rsidR="004E4EDA" w14:paraId="6454EC95" w14:textId="77777777" w:rsidTr="002001F4">
        <w:tc>
          <w:tcPr>
            <w:tcW w:w="3728" w:type="dxa"/>
          </w:tcPr>
          <w:p w14:paraId="589E20D8" w14:textId="6A7D18A4" w:rsidR="004E4EDA" w:rsidRDefault="004E4EDA">
            <w:r>
              <w:lastRenderedPageBreak/>
              <w:t>PNP-Gatter</w:t>
            </w:r>
          </w:p>
        </w:tc>
        <w:tc>
          <w:tcPr>
            <w:tcW w:w="4086" w:type="dxa"/>
          </w:tcPr>
          <w:p w14:paraId="455EE3C6" w14:textId="111791C4" w:rsidR="004E4EDA" w:rsidRDefault="004E4EDA">
            <w:r>
              <w:t>NPN-Gatter</w:t>
            </w:r>
          </w:p>
        </w:tc>
      </w:tr>
      <w:tr w:rsidR="004E4EDA" w14:paraId="7B4B67A6" w14:textId="77777777" w:rsidTr="002001F4">
        <w:tc>
          <w:tcPr>
            <w:tcW w:w="3728" w:type="dxa"/>
          </w:tcPr>
          <w:p w14:paraId="2904FF2D" w14:textId="3AA3311F" w:rsidR="004E4EDA" w:rsidRDefault="004E4EDA">
            <w:r>
              <w:rPr>
                <w:noProof/>
              </w:rPr>
              <w:drawing>
                <wp:inline distT="0" distB="0" distL="0" distR="0" wp14:anchorId="21A04F40" wp14:editId="75090FB3">
                  <wp:extent cx="2165350" cy="1547351"/>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5403" cy="1561681"/>
                          </a:xfrm>
                          <a:prstGeom prst="rect">
                            <a:avLst/>
                          </a:prstGeom>
                        </pic:spPr>
                      </pic:pic>
                    </a:graphicData>
                  </a:graphic>
                </wp:inline>
              </w:drawing>
            </w:r>
          </w:p>
        </w:tc>
        <w:tc>
          <w:tcPr>
            <w:tcW w:w="4086" w:type="dxa"/>
          </w:tcPr>
          <w:p w14:paraId="3FBE1C2B" w14:textId="5BDC5617" w:rsidR="004E4EDA" w:rsidRDefault="004E4EDA">
            <w:r>
              <w:rPr>
                <w:noProof/>
              </w:rPr>
              <w:drawing>
                <wp:inline distT="0" distB="0" distL="0" distR="0" wp14:anchorId="2EDF9CEE" wp14:editId="51B3C20E">
                  <wp:extent cx="2456405" cy="143510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0281" cy="1437365"/>
                          </a:xfrm>
                          <a:prstGeom prst="rect">
                            <a:avLst/>
                          </a:prstGeom>
                        </pic:spPr>
                      </pic:pic>
                    </a:graphicData>
                  </a:graphic>
                </wp:inline>
              </w:drawing>
            </w:r>
          </w:p>
        </w:tc>
      </w:tr>
    </w:tbl>
    <w:p w14:paraId="5837CAA6" w14:textId="77777777" w:rsidR="004E4EDA" w:rsidRDefault="004E4EDA"/>
    <w:p w14:paraId="2085ACE5" w14:textId="250AD38F" w:rsidR="00804C03" w:rsidRPr="000D15EF" w:rsidRDefault="0061769A">
      <w:r>
        <w:t xml:space="preserve">Dabei sind </w:t>
      </w:r>
      <m:oMath>
        <m:r>
          <w:rPr>
            <w:rFonts w:ascii="Cambria Math" w:hAnsi="Cambria Math"/>
          </w:rPr>
          <m:t>a</m:t>
        </m:r>
      </m:oMath>
      <w:r>
        <w:rPr>
          <w:rFonts w:eastAsiaTheme="minorEastAsia"/>
        </w:rPr>
        <w:t xml:space="preserve"> und </w:t>
      </w:r>
      <m:oMath>
        <m:r>
          <w:rPr>
            <w:rFonts w:ascii="Cambria Math" w:eastAsiaTheme="minorEastAsia" w:hAnsi="Cambria Math"/>
          </w:rPr>
          <m:t>b</m:t>
        </m:r>
      </m:oMath>
      <w:r>
        <w:rPr>
          <w:rFonts w:eastAsiaTheme="minorEastAsia"/>
        </w:rPr>
        <w:t xml:space="preserve"> die Eingangssignale, </w:t>
      </w:r>
      <m:oMath>
        <m:r>
          <w:rPr>
            <w:rFonts w:ascii="Cambria Math" w:eastAsiaTheme="minorEastAsia" w:hAnsi="Cambria Math"/>
          </w:rPr>
          <m:t>c</m:t>
        </m:r>
      </m:oMath>
      <w:r>
        <w:rPr>
          <w:rFonts w:eastAsiaTheme="minorEastAsia"/>
        </w:rPr>
        <w:t xml:space="preserve"> ist das Ausgangssignal.</w:t>
      </w:r>
      <w:r w:rsidR="000D15EF">
        <w:rPr>
          <w:rFonts w:eastAsiaTheme="minorEastAsia"/>
        </w:rPr>
        <w:t xml:space="preserve"> Das sogenannte Steuersignal </w:t>
      </w:r>
      <m:oMath>
        <m:r>
          <w:rPr>
            <w:rFonts w:ascii="Cambria Math" w:eastAsiaTheme="minorEastAsia" w:hAnsi="Cambria Math"/>
          </w:rPr>
          <m:t>b</m:t>
        </m:r>
      </m:oMath>
      <w:r w:rsidR="000D15EF">
        <w:rPr>
          <w:rFonts w:eastAsiaTheme="minorEastAsia"/>
        </w:rPr>
        <w:t xml:space="preserve"> kontrolliert, ob der Schalter offen oder geschlossen ist. Beim PNP-Gatter deaktiviert ein positives Steuersignal </w:t>
      </w:r>
      <m:oMath>
        <m:r>
          <w:rPr>
            <w:rFonts w:ascii="Cambria Math" w:eastAsiaTheme="minorEastAsia" w:hAnsi="Cambria Math"/>
          </w:rPr>
          <m:t>b</m:t>
        </m:r>
      </m:oMath>
      <w:r w:rsidR="000D15EF">
        <w:rPr>
          <w:rFonts w:eastAsiaTheme="minorEastAsia"/>
        </w:rPr>
        <w:t xml:space="preserve"> den Stromfluss von </w:t>
      </w:r>
      <m:oMath>
        <m:r>
          <w:rPr>
            <w:rFonts w:ascii="Cambria Math" w:eastAsiaTheme="minorEastAsia" w:hAnsi="Cambria Math"/>
          </w:rPr>
          <m:t>a</m:t>
        </m:r>
      </m:oMath>
      <w:r w:rsidR="000D15EF">
        <w:rPr>
          <w:rFonts w:eastAsiaTheme="minorEastAsia"/>
        </w:rPr>
        <w:t xml:space="preserve"> nach </w:t>
      </w:r>
      <m:oMath>
        <m:r>
          <w:rPr>
            <w:rFonts w:ascii="Cambria Math" w:eastAsiaTheme="minorEastAsia" w:hAnsi="Cambria Math"/>
          </w:rPr>
          <m:t>c</m:t>
        </m:r>
      </m:oMath>
      <w:r w:rsidR="000D15EF">
        <w:rPr>
          <w:rFonts w:eastAsiaTheme="minorEastAsia"/>
        </w:rPr>
        <w:t xml:space="preserve">, beim NPN-Gatter aktiviert ein positives Steuersignal </w:t>
      </w:r>
      <m:oMath>
        <m:r>
          <w:rPr>
            <w:rFonts w:ascii="Cambria Math" w:eastAsiaTheme="minorEastAsia" w:hAnsi="Cambria Math"/>
          </w:rPr>
          <m:t>b</m:t>
        </m:r>
      </m:oMath>
      <w:r w:rsidR="000D15EF">
        <w:rPr>
          <w:rFonts w:eastAsiaTheme="minorEastAsia"/>
        </w:rPr>
        <w:t xml:space="preserve"> den Stromfluss von </w:t>
      </w:r>
      <m:oMath>
        <m:r>
          <w:rPr>
            <w:rFonts w:ascii="Cambria Math" w:eastAsiaTheme="minorEastAsia" w:hAnsi="Cambria Math"/>
          </w:rPr>
          <m:t>a</m:t>
        </m:r>
      </m:oMath>
      <w:r w:rsidR="000D15EF">
        <w:rPr>
          <w:rFonts w:eastAsiaTheme="minorEastAsia"/>
        </w:rPr>
        <w:t xml:space="preserve"> nach </w:t>
      </w:r>
      <m:oMath>
        <m:r>
          <w:rPr>
            <w:rFonts w:ascii="Cambria Math" w:eastAsiaTheme="minorEastAsia" w:hAnsi="Cambria Math"/>
          </w:rPr>
          <m:t>c</m:t>
        </m:r>
      </m:oMath>
      <w:r w:rsidR="000D15EF">
        <w:rPr>
          <w:rFonts w:eastAsiaTheme="minorEastAsia"/>
        </w:rPr>
        <w:t>.</w:t>
      </w:r>
      <w:r w:rsidR="00D46216">
        <w:rPr>
          <w:rFonts w:eastAsiaTheme="minorEastAsia"/>
        </w:rPr>
        <w:t xml:space="preserve"> Das PNP-Gatter kann somit (mit einer konstant positiven Stromquelle bei </w:t>
      </w:r>
      <m:oMath>
        <m:r>
          <w:rPr>
            <w:rFonts w:ascii="Cambria Math" w:eastAsiaTheme="minorEastAsia" w:hAnsi="Cambria Math"/>
          </w:rPr>
          <m:t>a</m:t>
        </m:r>
      </m:oMath>
      <w:r w:rsidR="00D46216">
        <w:rPr>
          <w:rFonts w:eastAsiaTheme="minorEastAsia"/>
        </w:rPr>
        <w:t xml:space="preserve"> und einem Eingangssignal bei </w:t>
      </w:r>
      <m:oMath>
        <m:r>
          <w:rPr>
            <w:rFonts w:ascii="Cambria Math" w:eastAsiaTheme="minorEastAsia" w:hAnsi="Cambria Math"/>
          </w:rPr>
          <m:t>b</m:t>
        </m:r>
      </m:oMath>
      <w:r w:rsidR="00D46216">
        <w:rPr>
          <w:rFonts w:eastAsiaTheme="minorEastAsia"/>
        </w:rPr>
        <w:t xml:space="preserve">) verwendet werden, um ein NICHT-Gatter zu </w:t>
      </w:r>
      <w:r w:rsidR="00BE4730">
        <w:rPr>
          <w:rFonts w:eastAsiaTheme="minorEastAsia"/>
        </w:rPr>
        <w:t>implementieren.</w:t>
      </w:r>
    </w:p>
    <w:p w14:paraId="5E911DD7" w14:textId="3B524F9D" w:rsidR="00634C11" w:rsidRDefault="00161FF4">
      <w:r>
        <w:t>Aufbauend auf diesen Schaltungen können UND-, ODER- und NICHT-Gatter gebaut werden. Aufbauend auf diesen können kompliziertere Schaltungen zusammengesetzt werden und damit kompliziertere Funktionen realisiert werden.</w:t>
      </w:r>
    </w:p>
    <w:p w14:paraId="5FC51825" w14:textId="190973DA" w:rsidR="00161FF4" w:rsidRDefault="005A64B4">
      <w:r>
        <w:t>Beispiel:</w:t>
      </w:r>
    </w:p>
    <w:p w14:paraId="4439CFC2" w14:textId="2AA4C01A" w:rsidR="00A77DBF" w:rsidRPr="00A42AE8" w:rsidRDefault="007E699E">
      <w:pPr>
        <w:rPr>
          <w:rFonts w:eastAsiaTheme="minorEastAsia"/>
        </w:rPr>
      </w:pPr>
      <w:r>
        <w:t xml:space="preserve">Sei </w:t>
      </w:r>
      <m:oMath>
        <m:r>
          <w:rPr>
            <w:rFonts w:ascii="Cambria Math" w:hAnsi="Cambria Math"/>
          </w:rPr>
          <m:t>K</m:t>
        </m:r>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m:t>
        </m:r>
      </m:oMath>
      <w:r w:rsidR="00BD7E35">
        <w:rPr>
          <w:rFonts w:eastAsiaTheme="minorEastAsia"/>
        </w:rPr>
        <w:t xml:space="preserve"> Sei </w:t>
      </w:r>
      <m:oMath>
        <m:r>
          <w:rPr>
            <w:rFonts w:ascii="Cambria Math" w:eastAsiaTheme="minorEastAsia" w:hAnsi="Cambria Math"/>
          </w:rPr>
          <m:t>f :</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 xml:space="preserve">→ </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a, b,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oMath>
      <w:r w:rsidR="00A77DBF">
        <w:rPr>
          <w:rFonts w:eastAsiaTheme="minorEastAsia"/>
        </w:rPr>
        <w:t xml:space="preserve"> </w:t>
      </w:r>
      <w:r w:rsidR="00AA24E5">
        <w:rPr>
          <w:rFonts w:eastAsiaTheme="minorEastAsia"/>
        </w:rPr>
        <w:t>gegeben durch die folgende Verknüpfungstabelle:</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227904" w:rsidRPr="00092776" w14:paraId="52CAFA0F" w14:textId="77777777" w:rsidTr="00C461C6">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tcPr>
          <w:p w14:paraId="63D14927" w14:textId="11413BD3" w:rsidR="00227904" w:rsidRPr="00092776" w:rsidRDefault="00227904" w:rsidP="00227904">
            <w:pPr>
              <w:spacing w:after="0" w:line="240" w:lineRule="auto"/>
              <w:jc w:val="right"/>
              <w:rPr>
                <w:rFonts w:ascii="Calibri" w:eastAsia="Times New Roman" w:hAnsi="Calibri" w:cs="Calibri"/>
                <w:color w:val="000000"/>
                <w:lang w:eastAsia="de-DE"/>
              </w:rPr>
            </w:pPr>
            <m:oMathPara>
              <m:oMath>
                <m:r>
                  <w:rPr>
                    <w:rFonts w:ascii="Cambria Math" w:hAnsi="Cambria Math"/>
                  </w:rPr>
                  <m:t>a</m:t>
                </m:r>
              </m:oMath>
            </m:oMathPara>
          </w:p>
        </w:tc>
        <w:tc>
          <w:tcPr>
            <w:tcW w:w="1200"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tcPr>
          <w:p w14:paraId="6EF043F8" w14:textId="0EA0CC85" w:rsidR="00227904" w:rsidRPr="00092776" w:rsidRDefault="00227904" w:rsidP="00227904">
            <w:pPr>
              <w:spacing w:after="0" w:line="240" w:lineRule="auto"/>
              <w:jc w:val="right"/>
              <w:rPr>
                <w:rFonts w:ascii="Calibri" w:eastAsia="Times New Roman" w:hAnsi="Calibri" w:cs="Calibri"/>
                <w:color w:val="000000"/>
                <w:lang w:eastAsia="de-DE"/>
              </w:rPr>
            </w:pPr>
            <m:oMathPara>
              <m:oMath>
                <m:r>
                  <w:rPr>
                    <w:rFonts w:ascii="Cambria Math" w:hAnsi="Cambria Math"/>
                  </w:rPr>
                  <m:t>b</m:t>
                </m:r>
              </m:oMath>
            </m:oMathPara>
          </w:p>
        </w:tc>
        <w:tc>
          <w:tcPr>
            <w:tcW w:w="1200"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tcPr>
          <w:p w14:paraId="126C6307" w14:textId="49D2CD01" w:rsidR="00227904" w:rsidRPr="00092776" w:rsidRDefault="00227904" w:rsidP="00227904">
            <w:pPr>
              <w:spacing w:after="0" w:line="240" w:lineRule="auto"/>
              <w:jc w:val="right"/>
              <w:rPr>
                <w:rFonts w:ascii="Calibri" w:eastAsia="Times New Roman" w:hAnsi="Calibri" w:cs="Calibri"/>
                <w:color w:val="000000"/>
                <w:lang w:eastAsia="de-DE"/>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1200" w:type="dxa"/>
            <w:tcBorders>
              <w:top w:val="single" w:sz="4" w:space="0" w:color="auto"/>
              <w:left w:val="single" w:sz="4" w:space="0" w:color="auto"/>
              <w:bottom w:val="single" w:sz="4" w:space="0" w:color="auto"/>
              <w:right w:val="single" w:sz="4" w:space="0" w:color="auto"/>
            </w:tcBorders>
            <w:shd w:val="clear" w:color="auto" w:fill="A155C3"/>
            <w:noWrap/>
          </w:tcPr>
          <w:p w14:paraId="631FC69A" w14:textId="370F6C2A" w:rsidR="00227904" w:rsidRPr="00092776" w:rsidRDefault="00227904" w:rsidP="00227904">
            <w:pPr>
              <w:spacing w:after="0" w:line="240" w:lineRule="auto"/>
              <w:jc w:val="right"/>
              <w:rPr>
                <w:rFonts w:ascii="Calibri" w:eastAsia="Times New Roman" w:hAnsi="Calibri" w:cs="Calibri"/>
                <w:color w:val="000000"/>
                <w:lang w:eastAsia="de-DE"/>
              </w:rPr>
            </w:pPr>
            <m:oMathPara>
              <m:oMath>
                <m:r>
                  <w:rPr>
                    <w:rFonts w:ascii="Cambria Math" w:hAnsi="Cambria Math"/>
                  </w:rPr>
                  <m:t>s</m:t>
                </m:r>
              </m:oMath>
            </m:oMathPara>
          </w:p>
        </w:tc>
        <w:tc>
          <w:tcPr>
            <w:tcW w:w="1200" w:type="dxa"/>
            <w:tcBorders>
              <w:top w:val="single" w:sz="4" w:space="0" w:color="auto"/>
              <w:left w:val="single" w:sz="4" w:space="0" w:color="auto"/>
              <w:bottom w:val="single" w:sz="4" w:space="0" w:color="auto"/>
              <w:right w:val="single" w:sz="4" w:space="0" w:color="auto"/>
            </w:tcBorders>
            <w:shd w:val="clear" w:color="auto" w:fill="A155C3"/>
            <w:noWrap/>
          </w:tcPr>
          <w:p w14:paraId="5512F196" w14:textId="65B56810" w:rsidR="00227904" w:rsidRPr="00092776" w:rsidRDefault="00227904" w:rsidP="00227904">
            <w:pPr>
              <w:spacing w:after="0" w:line="240" w:lineRule="auto"/>
              <w:jc w:val="right"/>
              <w:rPr>
                <w:rFonts w:ascii="Calibri" w:eastAsia="Times New Roman" w:hAnsi="Calibri" w:cs="Calibri"/>
                <w:color w:val="000000"/>
                <w:lang w:eastAsia="de-DE"/>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092776" w:rsidRPr="00092776" w14:paraId="3A219609" w14:textId="77777777" w:rsidTr="0051680D">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CB1BE14"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9D5E33A"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D7AF95F"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1BD680F"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A4DEA48"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r>
      <w:tr w:rsidR="00092776" w:rsidRPr="00092776" w14:paraId="39328D40" w14:textId="77777777" w:rsidTr="0051680D">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585B4DB"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5780A60"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932F664"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3233B49"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9A63B02"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r>
      <w:tr w:rsidR="00092776" w:rsidRPr="00092776" w14:paraId="3D9F2243" w14:textId="77777777" w:rsidTr="0051680D">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3619BB3"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29F1EDC"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D6FA8ED"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FB05F1E"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C3DE5A2"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r>
      <w:tr w:rsidR="00092776" w:rsidRPr="00092776" w14:paraId="496D7080" w14:textId="77777777" w:rsidTr="0051680D">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CF236D7"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2E890F"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4CCBB4"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C2FAEA1"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C4B223D"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r>
      <w:tr w:rsidR="00092776" w:rsidRPr="00092776" w14:paraId="1E87D27F" w14:textId="77777777" w:rsidTr="0051680D">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681BF63"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A97E71F"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08A65E7"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874405D"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D5E38F"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r>
      <w:tr w:rsidR="00092776" w:rsidRPr="00092776" w14:paraId="0C28B869" w14:textId="77777777" w:rsidTr="0051680D">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A31B31"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570477"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452FEA7"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F003A11"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6C05925"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r>
      <w:tr w:rsidR="00092776" w:rsidRPr="00092776" w14:paraId="158EB53C" w14:textId="77777777" w:rsidTr="0051680D">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375110"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2DA024"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B6549EF"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D25340"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0</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AD0C126"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r>
      <w:tr w:rsidR="00092776" w:rsidRPr="00092776" w14:paraId="0F1EAA50" w14:textId="77777777" w:rsidTr="0051680D">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CB7DE4"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FA9450D"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BCB10E4"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53B665"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c>
          <w:tcPr>
            <w:tcW w:w="12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892A0B" w14:textId="77777777" w:rsidR="00092776" w:rsidRPr="00092776" w:rsidRDefault="00092776" w:rsidP="0051680D">
            <w:pPr>
              <w:spacing w:after="0" w:line="240" w:lineRule="auto"/>
              <w:jc w:val="right"/>
              <w:rPr>
                <w:rFonts w:ascii="Calibri" w:eastAsia="Times New Roman" w:hAnsi="Calibri" w:cs="Calibri"/>
                <w:color w:val="000000"/>
                <w:lang w:eastAsia="de-DE"/>
              </w:rPr>
            </w:pPr>
            <w:r w:rsidRPr="00092776">
              <w:rPr>
                <w:rFonts w:ascii="Calibri" w:eastAsia="Times New Roman" w:hAnsi="Calibri" w:cs="Calibri"/>
                <w:color w:val="000000"/>
                <w:lang w:eastAsia="de-DE"/>
              </w:rPr>
              <w:t>1</w:t>
            </w:r>
          </w:p>
        </w:tc>
      </w:tr>
    </w:tbl>
    <w:p w14:paraId="676F4644" w14:textId="2692D2ED" w:rsidR="00092776" w:rsidRDefault="00092776"/>
    <w:p w14:paraId="69B29713" w14:textId="2C77906B" w:rsidR="009C4E93" w:rsidRDefault="009C4E93">
      <w:pPr>
        <w:rPr>
          <w:rFonts w:eastAsiaTheme="minorEastAsia"/>
        </w:rPr>
      </w:pPr>
      <w:r>
        <w:t xml:space="preserve">Dann kann man die Funktion </w:t>
      </w:r>
      <m:oMath>
        <m:r>
          <w:rPr>
            <w:rFonts w:ascii="Cambria Math" w:hAnsi="Cambria Math"/>
          </w:rPr>
          <m:t>f</m:t>
        </m:r>
      </m:oMath>
      <w:r>
        <w:rPr>
          <w:rFonts w:eastAsiaTheme="minorEastAsia"/>
        </w:rPr>
        <w:t xml:space="preserve"> alternativ auch so definieren:</w:t>
      </w:r>
    </w:p>
    <w:p w14:paraId="01EC35C9" w14:textId="1F20ABD7" w:rsidR="009C4E93" w:rsidRDefault="009C4E93">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m:t>
                    </m:r>
                  </m:e>
                </m:mr>
                <m:mr>
                  <m:e>
                    <m:sSub>
                      <m:sSubPr>
                        <m:ctrlPr>
                          <w:rPr>
                            <w:rFonts w:ascii="Cambria Math" w:hAnsi="Cambria Math"/>
                            <w:i/>
                          </w:rPr>
                        </m:ctrlPr>
                      </m:sSubPr>
                      <m:e>
                        <m:r>
                          <w:rPr>
                            <w:rFonts w:ascii="Cambria Math" w:hAnsi="Cambria Math"/>
                          </w:rPr>
                          <m:t>c</m:t>
                        </m:r>
                      </m:e>
                      <m:sub>
                        <m:r>
                          <w:rPr>
                            <w:rFonts w:ascii="Cambria Math" w:hAnsi="Cambria Math"/>
                          </w:rPr>
                          <m:t>1</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a xor b xor </m:t>
                    </m:r>
                    <m:sSub>
                      <m:sSubPr>
                        <m:ctrlPr>
                          <w:rPr>
                            <w:rFonts w:ascii="Cambria Math" w:hAnsi="Cambria Math"/>
                            <w:i/>
                          </w:rPr>
                        </m:ctrlPr>
                      </m:sSubPr>
                      <m:e>
                        <m:r>
                          <w:rPr>
                            <w:rFonts w:ascii="Cambria Math" w:hAnsi="Cambria Math"/>
                          </w:rPr>
                          <m:t>c</m:t>
                        </m:r>
                      </m:e>
                      <m:sub>
                        <m:r>
                          <w:rPr>
                            <w:rFonts w:ascii="Cambria Math" w:hAnsi="Cambria Math"/>
                          </w:rPr>
                          <m:t>0</m:t>
                        </m:r>
                      </m:sub>
                    </m:sSub>
                  </m:e>
                </m:mr>
                <m:mr>
                  <m:e>
                    <m:d>
                      <m:dPr>
                        <m:ctrlPr>
                          <w:rPr>
                            <w:rFonts w:ascii="Cambria Math" w:hAnsi="Cambria Math"/>
                            <w:i/>
                          </w:rPr>
                        </m:ctrlPr>
                      </m:dPr>
                      <m:e>
                        <m:r>
                          <w:rPr>
                            <w:rFonts w:ascii="Cambria Math" w:hAnsi="Cambria Math"/>
                          </w:rPr>
                          <m:t>a and b</m:t>
                        </m:r>
                      </m:e>
                    </m:d>
                    <m:r>
                      <w:rPr>
                        <w:rFonts w:ascii="Cambria Math" w:hAnsi="Cambria Math"/>
                      </w:rPr>
                      <m:t xml:space="preserve"> </m:t>
                    </m:r>
                    <m:r>
                      <w:rPr>
                        <w:rFonts w:ascii="Cambria Math" w:hAnsi="Cambria Math"/>
                      </w:rPr>
                      <m:t>or</m:t>
                    </m:r>
                    <m:r>
                      <w:rPr>
                        <w:rFonts w:ascii="Cambria Math" w:hAnsi="Cambria Math"/>
                      </w:rPr>
                      <m:t xml:space="preserve"> </m:t>
                    </m:r>
                    <m:d>
                      <m:dPr>
                        <m:ctrlPr>
                          <w:rPr>
                            <w:rFonts w:ascii="Cambria Math" w:hAnsi="Cambria Math"/>
                            <w:i/>
                          </w:rPr>
                        </m:ctrlPr>
                      </m:dPr>
                      <m:e>
                        <m:r>
                          <w:rPr>
                            <w:rFonts w:ascii="Cambria Math" w:hAnsi="Cambria Math"/>
                          </w:rPr>
                          <m:t xml:space="preserve">a and </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 xml:space="preserve"> </m:t>
                    </m:r>
                    <m:r>
                      <w:rPr>
                        <w:rFonts w:ascii="Cambria Math" w:hAnsi="Cambria Math"/>
                      </w:rPr>
                      <m:t xml:space="preserve">or (b and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e>
                </m:mr>
              </m:m>
            </m:e>
          </m:d>
        </m:oMath>
      </m:oMathPara>
    </w:p>
    <w:p w14:paraId="7A99FE05" w14:textId="0446F2AC" w:rsidR="00092776" w:rsidRDefault="00372CDE">
      <w:r>
        <w:t xml:space="preserve">wobei </w:t>
      </w:r>
      <m:oMath>
        <m:r>
          <w:rPr>
            <w:rFonts w:ascii="Cambria Math" w:hAnsi="Cambria Math"/>
          </w:rPr>
          <m:t xml:space="preserve">(a </m:t>
        </m:r>
        <m:r>
          <w:rPr>
            <w:rFonts w:ascii="Cambria Math" w:hAnsi="Cambria Math"/>
          </w:rPr>
          <m:t>xor</m:t>
        </m:r>
        <m:r>
          <w:rPr>
            <w:rFonts w:ascii="Cambria Math" w:hAnsi="Cambria Math"/>
          </w:rPr>
          <m:t xml:space="preserve"> b)</m:t>
        </m:r>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a or b</m:t>
                </m:r>
              </m:e>
            </m:d>
            <m:r>
              <w:rPr>
                <w:rFonts w:ascii="Cambria Math" w:hAnsi="Cambria Math"/>
              </w:rPr>
              <m:t xml:space="preserve"> and not </m:t>
            </m:r>
            <m:d>
              <m:dPr>
                <m:ctrlPr>
                  <w:rPr>
                    <w:rFonts w:ascii="Cambria Math" w:hAnsi="Cambria Math"/>
                    <w:i/>
                  </w:rPr>
                </m:ctrlPr>
              </m:dPr>
              <m:e>
                <m:r>
                  <w:rPr>
                    <w:rFonts w:ascii="Cambria Math" w:hAnsi="Cambria Math"/>
                  </w:rPr>
                  <m:t>a and b</m:t>
                </m:r>
              </m:e>
            </m:d>
          </m:e>
        </m:d>
      </m:oMath>
      <w:r w:rsidR="00811E2C">
        <w:rPr>
          <w:rFonts w:eastAsiaTheme="minorEastAsia"/>
        </w:rPr>
        <w:t xml:space="preserve"> assoziativ ist</w:t>
      </w:r>
      <w:r>
        <w:rPr>
          <w:rFonts w:eastAsiaTheme="minorEastAsia"/>
        </w:rPr>
        <w:t>.</w:t>
      </w:r>
    </w:p>
    <w:p w14:paraId="5290D648" w14:textId="19796A17" w:rsidR="006E1F4F" w:rsidRDefault="006E1F4F">
      <w:r>
        <w:br w:type="page"/>
      </w:r>
    </w:p>
    <w:p w14:paraId="61E7B757" w14:textId="75DB3A4F" w:rsidR="006E1F4F" w:rsidRDefault="00B84A54">
      <w:pPr>
        <w:rPr>
          <w:rFonts w:eastAsiaTheme="minorEastAsia"/>
        </w:rPr>
      </w:pPr>
      <w:r>
        <w:lastRenderedPageBreak/>
        <w:t xml:space="preserve">Diese Funktion </w:t>
      </w:r>
      <m:oMath>
        <m:r>
          <w:rPr>
            <w:rFonts w:ascii="Cambria Math" w:hAnsi="Cambria Math"/>
          </w:rPr>
          <m:t xml:space="preserve">add := </m:t>
        </m:r>
        <m:r>
          <w:rPr>
            <w:rFonts w:ascii="Cambria Math" w:hAnsi="Cambria Math"/>
          </w:rPr>
          <m:t>f</m:t>
        </m:r>
      </m:oMath>
      <w:r>
        <w:rPr>
          <w:rFonts w:eastAsiaTheme="minorEastAsia"/>
        </w:rPr>
        <w:t xml:space="preserve"> nennt man „1-bit Addierer (mit Übertrag)“. Sie ermöglich</w:t>
      </w:r>
      <w:r w:rsidR="00575887">
        <w:rPr>
          <w:rFonts w:eastAsiaTheme="minorEastAsia"/>
        </w:rPr>
        <w:t>t</w:t>
      </w:r>
      <w:r>
        <w:rPr>
          <w:rFonts w:eastAsiaTheme="minorEastAsia"/>
        </w:rPr>
        <w:t xml:space="preserve"> den Bau eines digitalen Addierers.</w:t>
      </w:r>
    </w:p>
    <w:p w14:paraId="5C352B30" w14:textId="052F7CF8" w:rsidR="00B84A54" w:rsidRDefault="00F83721">
      <w:pPr>
        <w:rPr>
          <w:rFonts w:eastAsiaTheme="minorEastAsia"/>
        </w:rPr>
      </w:pPr>
      <w:r>
        <w:t xml:space="preserve">Dabei werden natürliche Zahlen </w:t>
      </w:r>
      <m:oMath>
        <m:r>
          <w:rPr>
            <w:rFonts w:ascii="Cambria Math" w:hAnsi="Cambria Math"/>
          </w:rPr>
          <m:t>a, b∈</m:t>
        </m:r>
        <m:sSub>
          <m:sSubPr>
            <m:ctrlPr>
              <w:rPr>
                <w:rFonts w:ascii="Cambria Math" w:eastAsiaTheme="minorEastAsia" w:hAnsi="Cambria Math"/>
                <w:i/>
              </w:rPr>
            </m:ctrlPr>
          </m:sSubPr>
          <m:e>
            <m:r>
              <m:rPr>
                <m:scr m:val="double-struck"/>
              </m:rPr>
              <w:rPr>
                <w:rFonts w:ascii="Cambria Math" w:hAnsi="Cambria Math"/>
              </w:rPr>
              <m:t>N</m:t>
            </m:r>
            <m:ctrlPr>
              <w:rPr>
                <w:rFonts w:ascii="Cambria Math" w:hAnsi="Cambria Math"/>
                <w:i/>
              </w:rPr>
            </m:ctrlPr>
          </m:e>
          <m:sub>
            <m:r>
              <w:rPr>
                <w:rFonts w:ascii="Cambria Math" w:eastAsiaTheme="minorEastAsia" w:hAnsi="Cambria Math"/>
              </w:rPr>
              <m:t>0</m:t>
            </m:r>
          </m:sub>
        </m:sSub>
      </m:oMath>
      <w:r>
        <w:rPr>
          <w:rFonts w:eastAsiaTheme="minorEastAsia"/>
        </w:rPr>
        <w:t xml:space="preserve"> in Binärdarstellung dargestellt:</w:t>
      </w:r>
    </w:p>
    <w:p w14:paraId="05A6FFA2" w14:textId="74ED68AA" w:rsidR="00F83721" w:rsidRDefault="00F83721">
      <m:oMathPara>
        <m:oMath>
          <m:r>
            <w:rPr>
              <w:rFonts w:ascii="Cambria Math" w:hAnsi="Cambria Math"/>
            </w:rPr>
            <m:t>a=</m:t>
          </m:r>
          <m:nary>
            <m:naryPr>
              <m:chr m:val="∑"/>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i</m:t>
                  </m:r>
                </m:sup>
              </m:sSup>
            </m:e>
          </m:nary>
        </m:oMath>
      </m:oMathPara>
    </w:p>
    <w:p w14:paraId="5BAF31D0" w14:textId="44D0BCAC" w:rsidR="00790227" w:rsidRDefault="00F83721">
      <w:r>
        <w:t xml:space="preserve">ebenso für </w:t>
      </w:r>
      <m:oMath>
        <m:r>
          <w:rPr>
            <w:rFonts w:ascii="Cambria Math" w:hAnsi="Cambria Math"/>
          </w:rPr>
          <m:t>b</m:t>
        </m:r>
      </m:oMath>
      <w:r>
        <w:rPr>
          <w:rFonts w:eastAsiaTheme="minorEastAsia"/>
        </w:rPr>
        <w:t xml:space="preserve">. Diese Koeffizientendarstellung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ist eindeutig</w:t>
      </w:r>
      <w:r w:rsidR="002944D5">
        <w:rPr>
          <w:rFonts w:eastAsiaTheme="minorEastAsia"/>
        </w:rPr>
        <w:t xml:space="preserve"> für Zahlen </w:t>
      </w:r>
      <m:oMath>
        <m:r>
          <w:rPr>
            <w:rFonts w:ascii="Cambria Math" w:eastAsiaTheme="minorEastAsia" w:hAnsi="Cambria Math"/>
          </w:rPr>
          <m:t xml:space="preserve">a∈{0, 1, 2,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901EC3">
        <w:rPr>
          <w:rFonts w:eastAsiaTheme="minorEastAsia"/>
        </w:rPr>
        <w:t xml:space="preserve">, wobei die Koeffizienten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{0, 1}</m:t>
        </m:r>
      </m:oMath>
      <w:r w:rsidR="00901EC3">
        <w:rPr>
          <w:rFonts w:eastAsiaTheme="minorEastAsia"/>
        </w:rPr>
        <w:t xml:space="preserve"> sind</w:t>
      </w:r>
      <w:r>
        <w:rPr>
          <w:rFonts w:eastAsiaTheme="minorEastAsia"/>
        </w:rPr>
        <w:t>.</w:t>
      </w:r>
    </w:p>
    <w:p w14:paraId="3570B280" w14:textId="49E1483A" w:rsidR="00486258" w:rsidRDefault="00D72353">
      <w:pPr>
        <w:rPr>
          <w:rFonts w:eastAsiaTheme="minorEastAsia"/>
        </w:rPr>
      </w:pPr>
      <w:r>
        <w:t xml:space="preserve">Wenn man diese Binärdarstellung einmal erhalten hat, dann kann man darauf aufbauend die Addition von </w:t>
      </w:r>
      <m:oMath>
        <m:r>
          <w:rPr>
            <w:rFonts w:ascii="Cambria Math" w:hAnsi="Cambria Math"/>
          </w:rPr>
          <m:t>a</m:t>
        </m:r>
      </m:oMath>
      <w:r>
        <w:rPr>
          <w:rFonts w:eastAsiaTheme="minorEastAsia"/>
        </w:rPr>
        <w:t xml:space="preserve"> und </w:t>
      </w:r>
      <m:oMath>
        <m:r>
          <w:rPr>
            <w:rFonts w:ascii="Cambria Math" w:eastAsiaTheme="minorEastAsia" w:hAnsi="Cambria Math"/>
          </w:rPr>
          <m:t>b</m:t>
        </m:r>
      </m:oMath>
      <w:r>
        <w:rPr>
          <w:rFonts w:eastAsiaTheme="minorEastAsia"/>
        </w:rPr>
        <w:t xml:space="preserve"> durchführen:</w:t>
      </w:r>
    </w:p>
    <w:p w14:paraId="629CC7F6" w14:textId="083E887D" w:rsidR="00D72353" w:rsidRDefault="00A23837">
      <m:oMathPara>
        <m:oMath>
          <m:r>
            <w:rPr>
              <w:rFonts w:ascii="Cambria Math" w:hAnsi="Cambria Math"/>
            </w:rPr>
            <m:t>s</m:t>
          </m:r>
          <m:r>
            <w:rPr>
              <w:rFonts w:ascii="Cambria Math" w:hAnsi="Cambria Math"/>
            </w:rPr>
            <m:t xml:space="preserve">≔a+b,  </m:t>
          </m:r>
          <m: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 xml:space="preserve">0, 1, …, </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e>
          </m:d>
          <m:r>
            <w:rPr>
              <w:rFonts w:ascii="Cambria Math" w:eastAsiaTheme="minorEastAsia" w:hAnsi="Cambria Math"/>
            </w:rPr>
            <m:t xml:space="preserve">,  </m:t>
          </m:r>
          <m:r>
            <w:rPr>
              <w:rFonts w:ascii="Cambria Math" w:eastAsiaTheme="minorEastAsia" w:hAnsi="Cambria Math"/>
            </w:rPr>
            <m:t>s</m:t>
          </m:r>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e>
          </m:nary>
        </m:oMath>
      </m:oMathPara>
    </w:p>
    <w:p w14:paraId="26FAE934" w14:textId="08851986" w:rsidR="001418F2" w:rsidRDefault="00C03DFF">
      <w:pPr>
        <w:rPr>
          <w:rFonts w:eastAsiaTheme="minorEastAsia"/>
        </w:rPr>
      </w:pPr>
      <w:r>
        <w:t xml:space="preserve">wobei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∈K</m:t>
        </m:r>
      </m:oMath>
      <w:r>
        <w:rPr>
          <w:rFonts w:eastAsiaTheme="minorEastAsia"/>
        </w:rPr>
        <w:t xml:space="preserve"> sind.</w:t>
      </w:r>
      <w:r w:rsidR="005359AF">
        <w:rPr>
          <w:rFonts w:eastAsiaTheme="minorEastAsia"/>
        </w:rPr>
        <w:t xml:space="preserve"> Seien weiters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r>
          <w:rPr>
            <w:rFonts w:ascii="Cambria Math" w:eastAsiaTheme="minorEastAsia" w:hAnsi="Cambria Math"/>
          </w:rPr>
          <m:t>∈K</m:t>
        </m:r>
      </m:oMath>
      <w:r w:rsidR="005359AF">
        <w:rPr>
          <w:rFonts w:eastAsiaTheme="minorEastAsia"/>
        </w:rPr>
        <w:t>.</w:t>
      </w:r>
      <w:r w:rsidR="00537D10">
        <w:rPr>
          <w:rFonts w:eastAsiaTheme="minorEastAsia"/>
        </w:rPr>
        <w:t xml:space="preserve"> Es gilt:</w:t>
      </w:r>
    </w:p>
    <w:p w14:paraId="28B04747" w14:textId="0893AB2A" w:rsidR="00537D10" w:rsidRPr="005C45D8" w:rsidRDefault="00B0321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rPr>
            <m:t>=</m:t>
          </m:r>
          <m:r>
            <w:rPr>
              <w:rFonts w:ascii="Cambria Math" w:eastAsiaTheme="minorEastAsia" w:hAnsi="Cambria Math"/>
            </w:rPr>
            <m:t>add(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,0)</m:t>
          </m:r>
        </m:oMath>
      </m:oMathPara>
    </w:p>
    <w:p w14:paraId="5190C14E" w14:textId="7089DCAC" w:rsidR="005C45D8" w:rsidRDefault="001C7B91">
      <m:oMathPara>
        <m:oMath>
          <m:r>
            <w:rPr>
              <w:rFonts w:ascii="Cambria Math" w:hAnsi="Cambria Math"/>
            </w:rPr>
            <m:t>∀i≥1: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=add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m:t>
          </m:r>
        </m:oMath>
      </m:oMathPara>
    </w:p>
    <w:p w14:paraId="09A26681" w14:textId="5FA29679" w:rsidR="00E95985" w:rsidRDefault="007E3233">
      <w:pPr>
        <w:rPr>
          <w:rFonts w:eastAsiaTheme="minorEastAsia"/>
        </w:rPr>
      </w:pPr>
      <w:r>
        <w:t xml:space="preserve">Mit vollständiger Induktion lässt sich zeigen, dass </w:t>
      </w:r>
      <w:r w:rsidR="00645C3C">
        <w:t xml:space="preserve">für jedes </w:t>
      </w:r>
      <m:oMath>
        <m:r>
          <w:rPr>
            <w:rFonts w:ascii="Cambria Math" w:hAnsi="Cambria Math"/>
          </w:rPr>
          <m:t>i∈</m:t>
        </m:r>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oMath>
      <w:r w:rsidR="00645C3C">
        <w:rPr>
          <w:rFonts w:eastAsiaTheme="minorEastAsia"/>
        </w:rPr>
        <w:t xml:space="preserve"> </w:t>
      </w:r>
      <w:r>
        <w:t xml:space="preserve">nach endlich vielen Rechenschritten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errechnet wurde.</w:t>
      </w:r>
      <w:r w:rsidR="00E95985">
        <w:rPr>
          <w:rFonts w:eastAsiaTheme="minorEastAsia"/>
        </w:rPr>
        <w:t xml:space="preserve"> Bricht man die Induktion nach endlich vielen Schritten (</w:t>
      </w:r>
      <w:r w:rsidR="00B46C2C">
        <w:rPr>
          <w:rFonts w:eastAsiaTheme="minorEastAsia"/>
        </w:rPr>
        <w:t>K</w:t>
      </w:r>
      <w:r w:rsidR="00E95985">
        <w:rPr>
          <w:rFonts w:eastAsiaTheme="minorEastAsia"/>
        </w:rPr>
        <w:t xml:space="preserve">onvention: 32 oder 64) ab, dann erhält man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31</m:t>
            </m:r>
          </m:sub>
        </m:sSub>
      </m:oMath>
      <w:r w:rsidR="00E95985">
        <w:rPr>
          <w:rFonts w:eastAsiaTheme="minorEastAsia"/>
        </w:rPr>
        <w:t xml:space="preserve"> bzw.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63</m:t>
            </m:r>
          </m:sub>
        </m:sSub>
      </m:oMath>
      <w:r w:rsidR="00E95985">
        <w:rPr>
          <w:rFonts w:eastAsiaTheme="minorEastAsia"/>
        </w:rPr>
        <w:t xml:space="preserve"> sodass </w:t>
      </w:r>
      <w:r w:rsidR="00A60A13">
        <w:rPr>
          <w:rFonts w:eastAsiaTheme="minorEastAsia"/>
        </w:rPr>
        <w:t xml:space="preserve">dies die ersten 32 bzw. 64 Koeffizienten des tatsächlichen Ergebnisses sind. Wenn </w:t>
      </w:r>
      <m:oMath>
        <m:r>
          <w:rPr>
            <w:rFonts w:ascii="Cambria Math" w:eastAsiaTheme="minorEastAsia" w:hAnsi="Cambria Math"/>
          </w:rPr>
          <m:t>s&lt;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-1</m:t>
        </m:r>
      </m:oMath>
      <w:r w:rsidR="00A60A13">
        <w:rPr>
          <w:rFonts w:eastAsiaTheme="minorEastAsia"/>
        </w:rPr>
        <w:t xml:space="preserve"> bzw. </w:t>
      </w:r>
      <m:oMath>
        <m:r>
          <w:rPr>
            <w:rFonts w:ascii="Cambria Math" w:eastAsiaTheme="minorEastAsia" w:hAnsi="Cambria Math"/>
          </w:rPr>
          <m:t>s&lt;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64</m:t>
            </m:r>
          </m:sup>
        </m:sSup>
        <m:r>
          <w:rPr>
            <w:rFonts w:ascii="Cambria Math" w:eastAsiaTheme="minorEastAsia" w:hAnsi="Cambria Math"/>
          </w:rPr>
          <m:t>-1</m:t>
        </m:r>
      </m:oMath>
      <w:r w:rsidR="00A60A13">
        <w:rPr>
          <w:rFonts w:eastAsiaTheme="minorEastAsia"/>
        </w:rPr>
        <w:t xml:space="preserve"> gilt, dann ist das Ergebnis sogar exakt.</w:t>
      </w:r>
      <w:r w:rsidR="00A72A52">
        <w:rPr>
          <w:rFonts w:eastAsiaTheme="minorEastAsia"/>
        </w:rPr>
        <w:br/>
      </w:r>
      <w:r w:rsidR="00A60A13">
        <w:rPr>
          <w:rFonts w:eastAsiaTheme="minorEastAsia"/>
        </w:rPr>
        <w:t xml:space="preserve">Da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sidR="00A60A13">
        <w:rPr>
          <w:rFonts w:eastAsiaTheme="minorEastAsia"/>
        </w:rPr>
        <w:t xml:space="preserve"> eine sehr große Zahl ist, ist das Verfahren für einen Großteil der Berechnungen korrekt. </w:t>
      </w:r>
      <w:r w:rsidR="00E410CF">
        <w:rPr>
          <w:rFonts w:eastAsiaTheme="minorEastAsia"/>
        </w:rPr>
        <w:t>Somit kann man die Addition physikalisch realisieren.</w:t>
      </w:r>
    </w:p>
    <w:p w14:paraId="279429A6" w14:textId="77777777" w:rsidR="00E410CF" w:rsidRPr="00E95985" w:rsidRDefault="00E410CF">
      <w:pPr>
        <w:rPr>
          <w:rFonts w:eastAsiaTheme="minorEastAsia"/>
        </w:rPr>
      </w:pPr>
    </w:p>
    <w:p w14:paraId="69AB5179" w14:textId="56F3E7A7" w:rsidR="001A4009" w:rsidRDefault="001A4009">
      <w:r>
        <w:br w:type="page"/>
      </w:r>
    </w:p>
    <w:p w14:paraId="660ACD01" w14:textId="77777777" w:rsidR="001A4009" w:rsidRDefault="001A4009"/>
    <w:p w14:paraId="73D53F8D" w14:textId="77777777" w:rsidR="001A4009" w:rsidRDefault="001A4009"/>
    <w:p w14:paraId="6B62D9A7" w14:textId="6C61826B" w:rsidR="00272E4C" w:rsidRDefault="00272E4C">
      <w:r>
        <w:br w:type="page"/>
      </w:r>
    </w:p>
    <w:p w14:paraId="5E8172CC" w14:textId="01DAB704" w:rsidR="00CF6D03" w:rsidRDefault="00F5495B" w:rsidP="00702CD0">
      <w:pPr>
        <w:pStyle w:val="berschrift1"/>
        <w:numPr>
          <w:ilvl w:val="0"/>
          <w:numId w:val="3"/>
        </w:numPr>
      </w:pPr>
      <w:bookmarkStart w:id="3" w:name="_Toc122551557"/>
      <w:r>
        <w:lastRenderedPageBreak/>
        <w:t>Gleichungssysteme</w:t>
      </w:r>
      <w:bookmarkEnd w:id="3"/>
    </w:p>
    <w:p w14:paraId="3DF62400" w14:textId="7C9B8007" w:rsidR="00CF6D03" w:rsidRDefault="001E33B3" w:rsidP="00702CD0">
      <w:pPr>
        <w:pStyle w:val="berschrift1"/>
        <w:numPr>
          <w:ilvl w:val="0"/>
          <w:numId w:val="3"/>
        </w:numPr>
      </w:pPr>
      <w:bookmarkStart w:id="4" w:name="_Toc122551558"/>
      <w:r>
        <w:t xml:space="preserve">Verallgemeinerte </w:t>
      </w:r>
      <w:r w:rsidR="00CF6D03">
        <w:t>Spektralmethoden</w:t>
      </w:r>
      <w:bookmarkEnd w:id="4"/>
    </w:p>
    <w:p w14:paraId="4CFB6286" w14:textId="61CD00CD" w:rsidR="00CF6D03" w:rsidRDefault="00996358" w:rsidP="00345B88">
      <w:pPr>
        <w:pStyle w:val="berschrift2"/>
        <w:numPr>
          <w:ilvl w:val="1"/>
          <w:numId w:val="3"/>
        </w:numPr>
      </w:pPr>
      <w:bookmarkStart w:id="5" w:name="_Toc122551559"/>
      <w:r>
        <w:t xml:space="preserve">Anwendung: </w:t>
      </w:r>
      <w:r w:rsidR="002F7A25">
        <w:t>Integration</w:t>
      </w:r>
      <w:bookmarkEnd w:id="5"/>
    </w:p>
    <w:p w14:paraId="722C61FE" w14:textId="60BA8D58" w:rsidR="002F7A25" w:rsidRDefault="002F7A25" w:rsidP="002F7A25"/>
    <w:p w14:paraId="6FCD5FF4" w14:textId="77777777" w:rsidR="002F7A25" w:rsidRDefault="002F7A25" w:rsidP="002F7A25"/>
    <w:sectPr w:rsidR="002F7A25" w:rsidSect="00356C81">
      <w:pgSz w:w="11906" w:h="16838"/>
      <w:pgMar w:top="1701" w:right="2041" w:bottom="2041" w:left="204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4DF"/>
    <w:multiLevelType w:val="hybridMultilevel"/>
    <w:tmpl w:val="20968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7D5368"/>
    <w:multiLevelType w:val="hybridMultilevel"/>
    <w:tmpl w:val="1396C28A"/>
    <w:lvl w:ilvl="0" w:tplc="BDF2A2A0">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B571E0"/>
    <w:multiLevelType w:val="multilevel"/>
    <w:tmpl w:val="DD664F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3DA1AE8"/>
    <w:multiLevelType w:val="hybridMultilevel"/>
    <w:tmpl w:val="8C2A8D86"/>
    <w:lvl w:ilvl="0" w:tplc="E458AF02">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76737">
    <w:abstractNumId w:val="1"/>
  </w:num>
  <w:num w:numId="2" w16cid:durableId="2145655162">
    <w:abstractNumId w:val="0"/>
  </w:num>
  <w:num w:numId="3" w16cid:durableId="817501818">
    <w:abstractNumId w:val="2"/>
  </w:num>
  <w:num w:numId="4" w16cid:durableId="704255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FF"/>
    <w:rsid w:val="00050CAA"/>
    <w:rsid w:val="00062FE0"/>
    <w:rsid w:val="00092776"/>
    <w:rsid w:val="00095B02"/>
    <w:rsid w:val="000A2EE6"/>
    <w:rsid w:val="000B7C0B"/>
    <w:rsid w:val="000D15EF"/>
    <w:rsid w:val="001228A1"/>
    <w:rsid w:val="001418F2"/>
    <w:rsid w:val="00144185"/>
    <w:rsid w:val="00161FF4"/>
    <w:rsid w:val="001641EF"/>
    <w:rsid w:val="00187791"/>
    <w:rsid w:val="001930AA"/>
    <w:rsid w:val="001A4009"/>
    <w:rsid w:val="001C7B91"/>
    <w:rsid w:val="001E33B3"/>
    <w:rsid w:val="001F653B"/>
    <w:rsid w:val="002001F1"/>
    <w:rsid w:val="002001F4"/>
    <w:rsid w:val="00222427"/>
    <w:rsid w:val="00222942"/>
    <w:rsid w:val="00227904"/>
    <w:rsid w:val="0023294C"/>
    <w:rsid w:val="00244A73"/>
    <w:rsid w:val="00252F6B"/>
    <w:rsid w:val="00253085"/>
    <w:rsid w:val="00264963"/>
    <w:rsid w:val="00272E4C"/>
    <w:rsid w:val="0027389D"/>
    <w:rsid w:val="002909C7"/>
    <w:rsid w:val="002944D5"/>
    <w:rsid w:val="002A56F7"/>
    <w:rsid w:val="002A749B"/>
    <w:rsid w:val="002D7D9B"/>
    <w:rsid w:val="002E0AC7"/>
    <w:rsid w:val="002E4818"/>
    <w:rsid w:val="002E5BF6"/>
    <w:rsid w:val="002F00FE"/>
    <w:rsid w:val="002F4F33"/>
    <w:rsid w:val="002F7A25"/>
    <w:rsid w:val="00303929"/>
    <w:rsid w:val="00327AD2"/>
    <w:rsid w:val="003426D8"/>
    <w:rsid w:val="00345B88"/>
    <w:rsid w:val="00356C81"/>
    <w:rsid w:val="00372CDE"/>
    <w:rsid w:val="00375DE2"/>
    <w:rsid w:val="003856DD"/>
    <w:rsid w:val="003A0E6A"/>
    <w:rsid w:val="003A54B1"/>
    <w:rsid w:val="003B6910"/>
    <w:rsid w:val="003C04E4"/>
    <w:rsid w:val="003F1D65"/>
    <w:rsid w:val="004100BA"/>
    <w:rsid w:val="00412E40"/>
    <w:rsid w:val="004266C5"/>
    <w:rsid w:val="00431B37"/>
    <w:rsid w:val="00433C12"/>
    <w:rsid w:val="004410ED"/>
    <w:rsid w:val="00444256"/>
    <w:rsid w:val="00471C13"/>
    <w:rsid w:val="00476FA4"/>
    <w:rsid w:val="00486258"/>
    <w:rsid w:val="0049417B"/>
    <w:rsid w:val="004A3F06"/>
    <w:rsid w:val="004D32B8"/>
    <w:rsid w:val="004E4EDA"/>
    <w:rsid w:val="0052276C"/>
    <w:rsid w:val="0052485B"/>
    <w:rsid w:val="00527306"/>
    <w:rsid w:val="005359AF"/>
    <w:rsid w:val="005361C9"/>
    <w:rsid w:val="00537D10"/>
    <w:rsid w:val="0055514F"/>
    <w:rsid w:val="005667C2"/>
    <w:rsid w:val="00575887"/>
    <w:rsid w:val="00581781"/>
    <w:rsid w:val="005A1BC7"/>
    <w:rsid w:val="005A4E3E"/>
    <w:rsid w:val="005A64B4"/>
    <w:rsid w:val="005C45D8"/>
    <w:rsid w:val="005E046A"/>
    <w:rsid w:val="005F1A6C"/>
    <w:rsid w:val="005F3638"/>
    <w:rsid w:val="005F77AD"/>
    <w:rsid w:val="00606AE1"/>
    <w:rsid w:val="0061769A"/>
    <w:rsid w:val="0062754C"/>
    <w:rsid w:val="00634C11"/>
    <w:rsid w:val="006430B4"/>
    <w:rsid w:val="00645C3C"/>
    <w:rsid w:val="00650764"/>
    <w:rsid w:val="006560C5"/>
    <w:rsid w:val="006725A1"/>
    <w:rsid w:val="00674F04"/>
    <w:rsid w:val="00687627"/>
    <w:rsid w:val="006D1638"/>
    <w:rsid w:val="006D7A12"/>
    <w:rsid w:val="006E1F4F"/>
    <w:rsid w:val="00702CD0"/>
    <w:rsid w:val="00707CDC"/>
    <w:rsid w:val="007154EA"/>
    <w:rsid w:val="00735426"/>
    <w:rsid w:val="0077244D"/>
    <w:rsid w:val="0078703B"/>
    <w:rsid w:val="00790227"/>
    <w:rsid w:val="007A52AD"/>
    <w:rsid w:val="007D6E11"/>
    <w:rsid w:val="007E13FF"/>
    <w:rsid w:val="007E3233"/>
    <w:rsid w:val="007E699E"/>
    <w:rsid w:val="00802924"/>
    <w:rsid w:val="008036A4"/>
    <w:rsid w:val="00804C03"/>
    <w:rsid w:val="00811E2C"/>
    <w:rsid w:val="00846744"/>
    <w:rsid w:val="00867B77"/>
    <w:rsid w:val="008704A0"/>
    <w:rsid w:val="00870625"/>
    <w:rsid w:val="008750DD"/>
    <w:rsid w:val="00886F44"/>
    <w:rsid w:val="008A74BD"/>
    <w:rsid w:val="008B3948"/>
    <w:rsid w:val="008D2B13"/>
    <w:rsid w:val="008D7F53"/>
    <w:rsid w:val="008E066A"/>
    <w:rsid w:val="008F2537"/>
    <w:rsid w:val="00901EC3"/>
    <w:rsid w:val="00906662"/>
    <w:rsid w:val="00907B23"/>
    <w:rsid w:val="00912E85"/>
    <w:rsid w:val="00940FD6"/>
    <w:rsid w:val="00971D0B"/>
    <w:rsid w:val="00996358"/>
    <w:rsid w:val="009C2485"/>
    <w:rsid w:val="009C3E05"/>
    <w:rsid w:val="009C4E93"/>
    <w:rsid w:val="00A21896"/>
    <w:rsid w:val="00A23837"/>
    <w:rsid w:val="00A244DC"/>
    <w:rsid w:val="00A37CE4"/>
    <w:rsid w:val="00A42AE8"/>
    <w:rsid w:val="00A47496"/>
    <w:rsid w:val="00A60A13"/>
    <w:rsid w:val="00A65515"/>
    <w:rsid w:val="00A72A52"/>
    <w:rsid w:val="00A77DBF"/>
    <w:rsid w:val="00A953F4"/>
    <w:rsid w:val="00AA24E5"/>
    <w:rsid w:val="00AB66C4"/>
    <w:rsid w:val="00AB7562"/>
    <w:rsid w:val="00AE3B5F"/>
    <w:rsid w:val="00AF3EC1"/>
    <w:rsid w:val="00B03213"/>
    <w:rsid w:val="00B14C12"/>
    <w:rsid w:val="00B2063D"/>
    <w:rsid w:val="00B207E5"/>
    <w:rsid w:val="00B21B75"/>
    <w:rsid w:val="00B33A8D"/>
    <w:rsid w:val="00B35187"/>
    <w:rsid w:val="00B4179D"/>
    <w:rsid w:val="00B46C2C"/>
    <w:rsid w:val="00B55228"/>
    <w:rsid w:val="00B61C3C"/>
    <w:rsid w:val="00B84A54"/>
    <w:rsid w:val="00BA6009"/>
    <w:rsid w:val="00BC7C1D"/>
    <w:rsid w:val="00BD7E35"/>
    <w:rsid w:val="00BE4730"/>
    <w:rsid w:val="00BF28AC"/>
    <w:rsid w:val="00C03DFF"/>
    <w:rsid w:val="00C10CA7"/>
    <w:rsid w:val="00C461C6"/>
    <w:rsid w:val="00C709B2"/>
    <w:rsid w:val="00C76C68"/>
    <w:rsid w:val="00C87456"/>
    <w:rsid w:val="00C9171C"/>
    <w:rsid w:val="00C93CB6"/>
    <w:rsid w:val="00CA20DE"/>
    <w:rsid w:val="00CB7C6F"/>
    <w:rsid w:val="00CC33CC"/>
    <w:rsid w:val="00CC44FC"/>
    <w:rsid w:val="00CD0F60"/>
    <w:rsid w:val="00CE2183"/>
    <w:rsid w:val="00CF6D03"/>
    <w:rsid w:val="00D078C5"/>
    <w:rsid w:val="00D302D0"/>
    <w:rsid w:val="00D34FAD"/>
    <w:rsid w:val="00D46216"/>
    <w:rsid w:val="00D66319"/>
    <w:rsid w:val="00D70C01"/>
    <w:rsid w:val="00D72353"/>
    <w:rsid w:val="00D74D1B"/>
    <w:rsid w:val="00D940E5"/>
    <w:rsid w:val="00DA15B3"/>
    <w:rsid w:val="00DB17DF"/>
    <w:rsid w:val="00DC1619"/>
    <w:rsid w:val="00E02351"/>
    <w:rsid w:val="00E06D7A"/>
    <w:rsid w:val="00E10E8B"/>
    <w:rsid w:val="00E213D1"/>
    <w:rsid w:val="00E31F12"/>
    <w:rsid w:val="00E321C7"/>
    <w:rsid w:val="00E35D75"/>
    <w:rsid w:val="00E40EE7"/>
    <w:rsid w:val="00E410CF"/>
    <w:rsid w:val="00E44422"/>
    <w:rsid w:val="00E47817"/>
    <w:rsid w:val="00E51B7E"/>
    <w:rsid w:val="00E85361"/>
    <w:rsid w:val="00E95985"/>
    <w:rsid w:val="00EE2317"/>
    <w:rsid w:val="00EF581F"/>
    <w:rsid w:val="00EF62DF"/>
    <w:rsid w:val="00EF6656"/>
    <w:rsid w:val="00F15073"/>
    <w:rsid w:val="00F153E7"/>
    <w:rsid w:val="00F5495B"/>
    <w:rsid w:val="00F643CD"/>
    <w:rsid w:val="00F83721"/>
    <w:rsid w:val="00F97076"/>
    <w:rsid w:val="00FB57C4"/>
    <w:rsid w:val="00FC4868"/>
    <w:rsid w:val="00FD5A12"/>
    <w:rsid w:val="00FE00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60B4"/>
  <w15:chartTrackingRefBased/>
  <w15:docId w15:val="{76813743-36A3-459A-B6BA-8E889878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6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5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01F1"/>
    <w:pPr>
      <w:ind w:left="720"/>
      <w:contextualSpacing/>
    </w:pPr>
  </w:style>
  <w:style w:type="character" w:customStyle="1" w:styleId="berschrift1Zchn">
    <w:name w:val="Überschrift 1 Zchn"/>
    <w:basedOn w:val="Absatz-Standardschriftart"/>
    <w:link w:val="berschrift1"/>
    <w:uiPriority w:val="9"/>
    <w:rsid w:val="00CF6D0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D5A12"/>
    <w:pPr>
      <w:outlineLvl w:val="9"/>
    </w:pPr>
    <w:rPr>
      <w:lang w:eastAsia="de-DE"/>
    </w:rPr>
  </w:style>
  <w:style w:type="paragraph" w:styleId="Verzeichnis1">
    <w:name w:val="toc 1"/>
    <w:basedOn w:val="Standard"/>
    <w:next w:val="Standard"/>
    <w:autoRedefine/>
    <w:uiPriority w:val="39"/>
    <w:unhideWhenUsed/>
    <w:rsid w:val="00FD5A12"/>
    <w:pPr>
      <w:spacing w:after="100"/>
    </w:pPr>
  </w:style>
  <w:style w:type="character" w:styleId="Hyperlink">
    <w:name w:val="Hyperlink"/>
    <w:basedOn w:val="Absatz-Standardschriftart"/>
    <w:uiPriority w:val="99"/>
    <w:unhideWhenUsed/>
    <w:rsid w:val="00FD5A12"/>
    <w:rPr>
      <w:color w:val="0563C1" w:themeColor="hyperlink"/>
      <w:u w:val="single"/>
    </w:rPr>
  </w:style>
  <w:style w:type="character" w:customStyle="1" w:styleId="berschrift2Zchn">
    <w:name w:val="Überschrift 2 Zchn"/>
    <w:basedOn w:val="Absatz-Standardschriftart"/>
    <w:link w:val="berschrift2"/>
    <w:uiPriority w:val="9"/>
    <w:rsid w:val="00345B8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930AA"/>
    <w:pPr>
      <w:spacing w:after="100"/>
      <w:ind w:left="220"/>
    </w:pPr>
  </w:style>
  <w:style w:type="table" w:styleId="Tabellenraster">
    <w:name w:val="Table Grid"/>
    <w:basedOn w:val="NormaleTabelle"/>
    <w:uiPriority w:val="39"/>
    <w:rsid w:val="005F7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17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01402">
      <w:bodyDiv w:val="1"/>
      <w:marLeft w:val="0"/>
      <w:marRight w:val="0"/>
      <w:marTop w:val="0"/>
      <w:marBottom w:val="0"/>
      <w:divBdr>
        <w:top w:val="none" w:sz="0" w:space="0" w:color="auto"/>
        <w:left w:val="none" w:sz="0" w:space="0" w:color="auto"/>
        <w:bottom w:val="none" w:sz="0" w:space="0" w:color="auto"/>
        <w:right w:val="none" w:sz="0" w:space="0" w:color="auto"/>
      </w:divBdr>
    </w:div>
    <w:div w:id="896739810">
      <w:bodyDiv w:val="1"/>
      <w:marLeft w:val="0"/>
      <w:marRight w:val="0"/>
      <w:marTop w:val="0"/>
      <w:marBottom w:val="0"/>
      <w:divBdr>
        <w:top w:val="none" w:sz="0" w:space="0" w:color="auto"/>
        <w:left w:val="none" w:sz="0" w:space="0" w:color="auto"/>
        <w:bottom w:val="none" w:sz="0" w:space="0" w:color="auto"/>
        <w:right w:val="none" w:sz="0" w:space="0" w:color="auto"/>
      </w:divBdr>
    </w:div>
    <w:div w:id="131787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43AA1-FE9B-41C4-AC38-0466883D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1631</Words>
  <Characters>10276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Ferrara</dc:creator>
  <cp:keywords/>
  <dc:description/>
  <cp:lastModifiedBy>Tobias Ferrara</cp:lastModifiedBy>
  <cp:revision>220</cp:revision>
  <dcterms:created xsi:type="dcterms:W3CDTF">2022-12-20T18:46:00Z</dcterms:created>
  <dcterms:modified xsi:type="dcterms:W3CDTF">2022-12-21T20:45:00Z</dcterms:modified>
</cp:coreProperties>
</file>