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rFonts w:ascii="Times New Roman" w:cs="Times New Roman" w:eastAsia="Times New Roman" w:hAnsi="Times New Roman"/>
          <w:sz w:val="22"/>
          <w:szCs w:val="22"/>
          <w:rtl w:val="0"/>
        </w:rPr>
        <w:t xml:space="preserve">His Excellency Peter MacArthur</w:t>
      </w:r>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rFonts w:ascii="Times New Roman" w:cs="Times New Roman" w:eastAsia="Times New Roman" w:hAnsi="Times New Roman"/>
          <w:sz w:val="22"/>
          <w:szCs w:val="22"/>
          <w:rtl w:val="0"/>
        </w:rPr>
        <w:t xml:space="preserve">Canadian Ambassador to the Republic of the Philippines</w:t>
      </w: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rFonts w:ascii="Times New Roman" w:cs="Times New Roman" w:eastAsia="Times New Roman" w:hAnsi="Times New Roman"/>
          <w:sz w:val="22"/>
          <w:szCs w:val="22"/>
          <w:rtl w:val="0"/>
        </w:rPr>
        <w:t xml:space="preserve">P.O. Box 216, Makati Central Post Office</w:t>
      </w: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rFonts w:ascii="Times New Roman" w:cs="Times New Roman" w:eastAsia="Times New Roman" w:hAnsi="Times New Roman"/>
          <w:sz w:val="22"/>
          <w:szCs w:val="22"/>
          <w:rtl w:val="0"/>
        </w:rPr>
        <w:t xml:space="preserve">Manila, Philippines 1261</w:t>
      </w:r>
      <w:r w:rsidDel="00000000" w:rsidR="00000000" w:rsidRPr="00000000">
        <w:rPr>
          <w:rtl w:val="0"/>
        </w:rPr>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sz w:val="22"/>
          <w:szCs w:val="22"/>
          <w:rtl w:val="0"/>
        </w:rPr>
        <w:t xml:space="preserve">Via email: </w:t>
      </w:r>
      <w:hyperlink r:id="rId7">
        <w:r w:rsidDel="00000000" w:rsidR="00000000" w:rsidRPr="00000000">
          <w:rPr>
            <w:rFonts w:ascii="Times New Roman" w:cs="Times New Roman" w:eastAsia="Times New Roman" w:hAnsi="Times New Roman"/>
            <w:color w:val="0563c1"/>
            <w:sz w:val="22"/>
            <w:szCs w:val="22"/>
            <w:u w:val="single"/>
            <w:rtl w:val="0"/>
          </w:rPr>
          <w:t xml:space="preserve">peter.macarthur@international.gc.ca</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Fonts w:ascii="Times New Roman" w:cs="Times New Roman" w:eastAsia="Times New Roman" w:hAnsi="Times New Roman"/>
          <w:b w:val="1"/>
          <w:sz w:val="22"/>
          <w:szCs w:val="22"/>
          <w:u w:val="single"/>
          <w:rtl w:val="0"/>
        </w:rPr>
        <w:t xml:space="preserve">Re:  Call to release all political prisoners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sz w:val="22"/>
          <w:szCs w:val="22"/>
          <w:rtl w:val="0"/>
        </w:rPr>
        <w:t xml:space="preserve">I am joining the call by human rights defenders, internationally and in the Philippines, for the release of political prisoners in the Philippines. Because of the COVID-19 pandemic, and the congested jails in the Philippines, human rights defenders are calling for the immediate release of political prisoners who are elderly, ill, or pregnant.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New Roman" w:cs="Times New Roman" w:eastAsia="Times New Roman" w:hAnsi="Times New Roman"/>
          <w:sz w:val="22"/>
          <w:szCs w:val="22"/>
          <w:rtl w:val="0"/>
        </w:rPr>
        <w:t xml:space="preserve">The UN High Commissioner on Human Rights, Michelle Bachelet, has raised concerns regarding political prisoners in her report on the human rights situation in the Philippines. The report highlights intimidation of civil society groups by police and military through charges of illegal possession of firearms, or of perjury when such groups seek temporary protection orders against government agencies or officials. Bachelet has called on governments to “release every person detained without sufficient legal basis, including political prisoners and others detained simply for expressing critical or dissenting views.”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2"/>
          <w:szCs w:val="22"/>
          <w:rtl w:val="0"/>
        </w:rPr>
        <w:t xml:space="preserve">The majority of political prisoners have yet to undergo trial, which according both to the Constitution of the Republic of the Philippines, as well as international law, makes them innocent until proven guilty beyond a reasonable doubt. This includes activists who have been arrested on trumped-up charges and Peace Consultants, whose arrests violate the Joint Agreement on Safety and Immunity Guarantees.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The current situation in the Philippines offers a compelling case for Canada to act. I believe Canada can influence the political situation in the Philippines through multiple channels. I am asking you to support political prisoners in the Philippines by acting on the recommendations in the </w:t>
      </w:r>
      <w:r w:rsidDel="00000000" w:rsidR="00000000" w:rsidRPr="00000000">
        <w:rPr>
          <w:rFonts w:ascii="Times New Roman" w:cs="Times New Roman" w:eastAsia="Times New Roman" w:hAnsi="Times New Roman"/>
          <w:i w:val="1"/>
          <w:sz w:val="22"/>
          <w:szCs w:val="22"/>
          <w:rtl w:val="0"/>
        </w:rPr>
        <w:t xml:space="preserve">Voices at Risk</w:t>
      </w:r>
      <w:r w:rsidDel="00000000" w:rsidR="00000000" w:rsidRPr="00000000">
        <w:rPr>
          <w:rFonts w:ascii="Times New Roman" w:cs="Times New Roman" w:eastAsia="Times New Roman" w:hAnsi="Times New Roman"/>
          <w:sz w:val="22"/>
          <w:szCs w:val="22"/>
          <w:rtl w:val="0"/>
        </w:rPr>
        <w:t xml:space="preserve"> toolbox.</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2"/>
          <w:szCs w:val="22"/>
          <w:rtl w:val="0"/>
        </w:rPr>
        <w:t xml:space="preserve">This could take the form of a public statement expressing Canada’s support for the recommendations in Bachelet's report, offering to visit imprisoned human rights defenders, and attending their trials where possible. In light of the recent killings of former political prisoners like Randy Echanis and Zara Alvarez, the Canadian Embassy can make a real difference by reaching out to the families of political prisoners to determine their need for assistance and protection. This could be done through support groups for political prisoners’ relatives, such as Kapatid.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sz w:val="22"/>
          <w:szCs w:val="22"/>
          <w:rtl w:val="0"/>
        </w:rPr>
        <w:t xml:space="preserve">Mr. Ambassador, we urge you to do everything in your power to facilitate the immediate release of political prisoners, amplify this call, and uphold their right to health and safety.</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Warm regards,</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Fonts w:ascii="Times New Roman" w:cs="Times New Roman" w:eastAsia="Times New Roman" w:hAnsi="Times New Roman"/>
          <w:sz w:val="22"/>
          <w:szCs w:val="22"/>
          <w:rtl w:val="0"/>
        </w:rPr>
        <w:t xml:space="preserve">________________</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w:t>
      </w:r>
    </w:p>
    <w:p w:rsidR="00000000" w:rsidDel="00000000" w:rsidP="00000000" w:rsidRDefault="00000000" w:rsidRPr="00000000" w14:paraId="0000001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The Honourable François-Philippe Champagne P.C, M.P., Minister of Foreign Affairs.</w:t>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Email: </w:t>
      </w:r>
      <w:hyperlink r:id="rId8">
        <w:r w:rsidDel="00000000" w:rsidR="00000000" w:rsidRPr="00000000">
          <w:rPr>
            <w:rFonts w:ascii="Times New Roman" w:cs="Times New Roman" w:eastAsia="Times New Roman" w:hAnsi="Times New Roman"/>
            <w:color w:val="1155cc"/>
            <w:sz w:val="20"/>
            <w:szCs w:val="20"/>
            <w:u w:val="single"/>
            <w:rtl w:val="0"/>
          </w:rPr>
          <w:t xml:space="preserve">Francois-Philippe.Champagne@parl.gc.ca</w:t>
        </w:r>
      </w:hyperlink>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Mr. Peter Lundy, Director-General for South/East Asia, Global Affairs Canada. </w:t>
      </w:r>
    </w:p>
    <w:p w:rsidR="00000000" w:rsidDel="00000000" w:rsidP="00000000" w:rsidRDefault="00000000" w:rsidRPr="00000000" w14:paraId="0000001E">
      <w:pPr>
        <w:ind w:left="720" w:firstLine="0"/>
        <w:rPr/>
      </w:pPr>
      <w:r w:rsidDel="00000000" w:rsidR="00000000" w:rsidRPr="00000000">
        <w:rPr>
          <w:rFonts w:ascii="Times New Roman" w:cs="Times New Roman" w:eastAsia="Times New Roman" w:hAnsi="Times New Roman"/>
          <w:color w:val="000000"/>
          <w:sz w:val="20"/>
          <w:szCs w:val="20"/>
          <w:rtl w:val="0"/>
        </w:rPr>
        <w:t xml:space="preserve">Email: </w:t>
      </w:r>
      <w:hyperlink r:id="rId9">
        <w:r w:rsidDel="00000000" w:rsidR="00000000" w:rsidRPr="00000000">
          <w:rPr>
            <w:rFonts w:ascii="Times New Roman" w:cs="Times New Roman" w:eastAsia="Times New Roman" w:hAnsi="Times New Roman"/>
            <w:color w:val="0563c1"/>
            <w:sz w:val="20"/>
            <w:szCs w:val="20"/>
            <w:u w:val="single"/>
            <w:rtl w:val="0"/>
          </w:rPr>
          <w:t xml:space="preserve">Peter.Lundy@international.gc.ca</w:t>
        </w:r>
      </w:hyperlink>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0">
      <w:pPr>
        <w:ind w:firstLine="720"/>
        <w:rPr>
          <w:sz w:val="20"/>
          <w:szCs w:val="20"/>
        </w:rPr>
      </w:pPr>
      <w:r w:rsidDel="00000000" w:rsidR="00000000" w:rsidRPr="00000000">
        <w:rPr>
          <w:rFonts w:ascii="Times New Roman" w:cs="Times New Roman" w:eastAsia="Times New Roman" w:hAnsi="Times New Roman"/>
          <w:color w:val="000000"/>
          <w:sz w:val="20"/>
          <w:szCs w:val="20"/>
          <w:rtl w:val="0"/>
        </w:rPr>
        <w:t xml:space="preserve">Mr. Jose Luis Martin Gascon, Chairperson of the Commission on Human Rights</w:t>
      </w: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Email: </w:t>
      </w:r>
      <w:hyperlink r:id="rId10">
        <w:r w:rsidDel="00000000" w:rsidR="00000000" w:rsidRPr="00000000">
          <w:rPr>
            <w:rFonts w:ascii="Times New Roman" w:cs="Times New Roman" w:eastAsia="Times New Roman" w:hAnsi="Times New Roman"/>
            <w:color w:val="0563c1"/>
            <w:sz w:val="20"/>
            <w:szCs w:val="20"/>
            <w:u w:val="single"/>
            <w:rtl w:val="0"/>
          </w:rPr>
          <w:t xml:space="preserve">chairgascon.chr@gmail.com</w:t>
        </w:r>
      </w:hyperlink>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Fonts w:ascii="Times New Roman" w:cs="Times New Roman" w:eastAsia="Times New Roman" w:hAnsi="Times New Roman"/>
          <w:color w:val="000000"/>
          <w:sz w:val="20"/>
          <w:szCs w:val="20"/>
          <w:rtl w:val="0"/>
        </w:rPr>
        <w:t xml:space="preserve">Her Excellency, Petronila P. Garcia, Philippine Ambassador to Canada, 30 Murray St. Ottawa, Ontario, K1N 5M4</w:t>
      </w:r>
      <w:r w:rsidDel="00000000" w:rsidR="00000000" w:rsidRPr="00000000">
        <w:rPr>
          <w:color w:val="000000"/>
          <w:sz w:val="20"/>
          <w:szCs w:val="20"/>
          <w:rtl w:val="0"/>
        </w:rPr>
        <w:t xml:space="preserve"> </w:t>
      </w:r>
      <w:hyperlink r:id="rId11">
        <w:r w:rsidDel="00000000" w:rsidR="00000000" w:rsidRPr="00000000">
          <w:rPr>
            <w:rFonts w:ascii="Times New Roman" w:cs="Times New Roman" w:eastAsia="Times New Roman" w:hAnsi="Times New Roman"/>
            <w:color w:val="0563c1"/>
            <w:sz w:val="20"/>
            <w:szCs w:val="20"/>
            <w:u w:val="single"/>
            <w:rtl w:val="0"/>
          </w:rPr>
          <w:t xml:space="preserve">embassyofphilippines@rogers.com</w:t>
        </w:r>
      </w:hyperlink>
      <w:r w:rsidDel="00000000" w:rsidR="00000000" w:rsidRPr="00000000">
        <w:rPr>
          <w:rtl w:val="0"/>
        </w:rPr>
      </w:r>
    </w:p>
    <w:sectPr>
      <w:pgSz w:h="15840" w:w="12240" w:orient="portrait"/>
      <w:pgMar w:bottom="1021" w:top="1304" w:left="1077" w:right="90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jc w:val="left"/>
    </w:pPr>
    <w:rPr>
      <w:rFonts w:ascii="Calibri" w:cs="" w:eastAsia="Calibri" w:hAnsi="Calibri" w:asciiTheme="minorHAnsi" w:cstheme="minorBidi" w:eastAsiaTheme="minorHAnsi" w:hAnsiTheme="minorHAnsi"/>
      <w:color w:val="auto"/>
      <w:kern w:val="0"/>
      <w:sz w:val="24"/>
      <w:szCs w:val="24"/>
      <w:lang w:bidi="ar-SA" w:eastAsia="en-US" w:val="en-CA"/>
    </w:rPr>
  </w:style>
  <w:style w:type="character" w:styleId="DefaultParagraphFont" w:default="1">
    <w:name w:val="Default Paragraph Font"/>
    <w:uiPriority w:val="1"/>
    <w:semiHidden w:val="1"/>
    <w:unhideWhenUsed w:val="1"/>
    <w:qFormat w:val="1"/>
    <w:rPr/>
  </w:style>
  <w:style w:type="character" w:styleId="InternetLink">
    <w:name w:val="Internet Link"/>
    <w:basedOn w:val="DefaultParagraphFont"/>
    <w:uiPriority w:val="99"/>
    <w:unhideWhenUsed w:val="1"/>
    <w:rsid w:val="008C35F7"/>
    <w:rPr>
      <w:color w:val="0563c1" w:themeColor="hyperlink"/>
      <w:u w:val="single"/>
    </w:rPr>
  </w:style>
  <w:style w:type="character" w:styleId="UnresolvedMention">
    <w:name w:val="Unresolved Mention"/>
    <w:basedOn w:val="DefaultParagraphFont"/>
    <w:uiPriority w:val="99"/>
    <w:semiHidden w:val="1"/>
    <w:unhideWhenUsed w:val="1"/>
    <w:qFormat w:val="1"/>
    <w:rsid w:val="00061F2A"/>
    <w:rPr>
      <w:color w:val="605e5c"/>
      <w:shd w:fill="e1dfdd" w:val="clear"/>
    </w:rPr>
  </w:style>
  <w:style w:type="character" w:styleId="ListLabel1" w:customStyle="1">
    <w:name w:val="ListLabel 1"/>
    <w:qFormat w:val="1"/>
    <w:rPr>
      <w:rFonts w:ascii="Times New Roman" w:cs="Times New Roman" w:hAnsi="Times New Roman"/>
      <w:lang w:val="en-US"/>
    </w:rPr>
  </w:style>
  <w:style w:type="character" w:styleId="ListLabel2" w:customStyle="1">
    <w:name w:val="ListLabel 2"/>
    <w:qFormat w:val="1"/>
    <w:rPr>
      <w:rFonts w:ascii="Times New Roman" w:cs="Times New Roman" w:hAnsi="Times New Roman"/>
      <w:lang w:val="en-US"/>
    </w:rPr>
  </w:style>
  <w:style w:type="character" w:styleId="ListLabel3" w:customStyle="1">
    <w:name w:val="ListLabel 3"/>
    <w:qFormat w:val="1"/>
    <w:rPr>
      <w:rFonts w:ascii="Times New Roman" w:hAnsi="Times New Roman"/>
    </w:rPr>
  </w:style>
  <w:style w:type="character" w:styleId="ListLabel4" w:customStyle="1">
    <w:name w:val="ListLabel 4"/>
    <w:qFormat w:val="1"/>
    <w:rPr>
      <w:rFonts w:ascii="Times New Roman" w:cs="Times New Roman" w:hAnsi="Times New Roman"/>
      <w:lang w:val="en-US"/>
    </w:rPr>
  </w:style>
  <w:style w:type="character" w:styleId="ListLabel5" w:customStyle="1">
    <w:name w:val="ListLabel 5"/>
    <w:qFormat w:val="1"/>
    <w:rPr>
      <w:rFonts w:ascii="Times New Roman" w:hAnsi="Times New Roman"/>
    </w:rPr>
  </w:style>
  <w:style w:type="character" w:styleId="ListLabel6" w:customStyle="1">
    <w:name w:val="ListLabel 6"/>
    <w:qFormat w:val="1"/>
    <w:rPr>
      <w:rFonts w:ascii="Times New Roman" w:cs="Times New Roman" w:hAnsi="Times New Roman"/>
      <w:lang w:val="en-US"/>
    </w:rPr>
  </w:style>
  <w:style w:type="character" w:styleId="ListLabel7" w:customStyle="1">
    <w:name w:val="ListLabel 7"/>
    <w:qFormat w:val="1"/>
    <w:rPr>
      <w:rFonts w:ascii="Times New Roman" w:cs="Times New Roman" w:hAnsi="Times New Roman"/>
      <w:lang w:val="en-US"/>
    </w:rPr>
  </w:style>
  <w:style w:type="character" w:styleId="ListLabel8" w:customStyle="1">
    <w:name w:val="ListLabel 8"/>
    <w:qFormat w:val="1"/>
    <w:rPr>
      <w:rFonts w:ascii="Times New Roman" w:cs="Times New Roman" w:hAnsi="Times New Roman"/>
      <w:lang w:val="en-US"/>
    </w:rPr>
  </w:style>
  <w:style w:type="character" w:styleId="ListLabel9" w:customStyle="1">
    <w:name w:val="ListLabel 9"/>
    <w:qFormat w:val="1"/>
    <w:rPr>
      <w:rFonts w:ascii="Times New Roman" w:cs="Times New Roman" w:hAnsi="Times New Roman"/>
      <w:lang w:val="en-US"/>
    </w:rPr>
  </w:style>
  <w:style w:type="character" w:styleId="ListLabel10" w:customStyle="1">
    <w:name w:val="ListLabel 10"/>
    <w:qFormat w:val="1"/>
    <w:rPr>
      <w:rFonts w:ascii="Times New Roman" w:cs="Times New Roman" w:hAnsi="Times New Roman"/>
      <w:lang w:val="en-US"/>
    </w:rPr>
  </w:style>
  <w:style w:type="character" w:styleId="ListLabel11" w:customStyle="1">
    <w:name w:val="ListLabel 11"/>
    <w:qFormat w:val="1"/>
    <w:rPr>
      <w:rFonts w:ascii="Times New Roman" w:cs="Times New Roman" w:hAnsi="Times New Roman"/>
      <w:lang w:val="en-US"/>
    </w:rPr>
  </w:style>
  <w:style w:type="character" w:styleId="ListLabel12" w:customStyle="1">
    <w:name w:val="ListLabel 12"/>
    <w:qFormat w:val="1"/>
    <w:rPr>
      <w:rFonts w:ascii="Times New Roman" w:cs="Times New Roman" w:hAnsi="Times New Roman"/>
      <w:lang w:val="en-US"/>
    </w:rPr>
  </w:style>
  <w:style w:type="character" w:styleId="ListLabel13" w:customStyle="1">
    <w:name w:val="ListLabel 13"/>
    <w:qFormat w:val="1"/>
    <w:rPr>
      <w:rFonts w:ascii="Times New Roman" w:cs="Times New Roman" w:hAnsi="Times New Roman"/>
      <w:lang w:val="en-US"/>
    </w:rPr>
  </w:style>
  <w:style w:type="character" w:styleId="ListLabel14">
    <w:name w:val="ListLabel 14"/>
    <w:qFormat w:val="1"/>
    <w:rPr>
      <w:rFonts w:ascii="Times New Roman" w:cs="Times New Roman" w:hAnsi="Times New Roman"/>
      <w:sz w:val="22"/>
      <w:szCs w:val="22"/>
      <w:lang w:val="en-US"/>
    </w:rPr>
  </w:style>
  <w:style w:type="character" w:styleId="ListLabel15">
    <w:name w:val="ListLabel 15"/>
    <w:qFormat w:val="1"/>
    <w:rPr>
      <w:rFonts w:ascii="Times New Roman" w:cs="Times New Roman" w:hAnsi="Times New Roman"/>
      <w:sz w:val="20"/>
      <w:szCs w:val="20"/>
      <w:lang w:val="en-US"/>
    </w:rPr>
  </w:style>
  <w:style w:type="character" w:styleId="ListLabel16">
    <w:name w:val="ListLabel 16"/>
    <w:qFormat w:val="1"/>
    <w:rPr>
      <w:rFonts w:ascii="Times New Roman" w:cs="Times New Roman" w:hAnsi="Times New Roman"/>
      <w:sz w:val="20"/>
      <w:szCs w:val="20"/>
      <w:lang w:val="en-US"/>
    </w:rPr>
  </w:style>
  <w:style w:type="paragraph" w:styleId="Heading" w:customStyle="1">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Caption1">
    <w:name w:val="caption"/>
    <w:basedOn w:val="Normal"/>
    <w:qFormat w:val="1"/>
    <w:pPr>
      <w:suppressLineNumbers w:val="1"/>
      <w:spacing w:after="120" w:before="120"/>
    </w:pPr>
    <w:rPr>
      <w:rFonts w:cs="Arial"/>
      <w:i w:val="1"/>
      <w:i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mbassyofphilippines@rogers.com" TargetMode="External"/><Relationship Id="rId10" Type="http://schemas.openxmlformats.org/officeDocument/2006/relationships/hyperlink" Target="mailto:chairgascon.chr@gmail.com" TargetMode="External"/><Relationship Id="rId9" Type="http://schemas.openxmlformats.org/officeDocument/2006/relationships/hyperlink" Target="mailto:Peter.Lundy@international.gc.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nil@international.gc.ca" TargetMode="External"/><Relationship Id="rId8" Type="http://schemas.openxmlformats.org/officeDocument/2006/relationships/hyperlink" Target="mailto:Francois-Philippe.Champagne@parl.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34+tIHSOfSwtGkrYbRhaNQhbaA==">AMUW2mXXuahm/15dpbFN0z+zfr737orRYzqZE1daJZApwMhw0pmAHLw+wFoKfkaYEq9Z7tDsRVzDhS5VBxPc1R2OL+0c4SpNggAM+EB/CXalvO1TYeBRy49BZ1pVYmlOdNUaCPoiO14d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2020-09-06T20:18:00Z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