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56"/>
          <w:szCs w:val="56"/>
        </w:rPr>
        <w:t xml:space="preserve">АНАЛИЗ РЫНКА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48"/>
          <w:szCs w:val="48"/>
        </w:rPr>
        <w:t xml:space="preserve">SMM-ПАНЕЛЕЙ РФ И СНГ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4748B"/>
          <w:sz w:val="28"/>
          <w:szCs w:val="28"/>
        </w:rPr>
        <w:t xml:space="preserve">Расчёт объёма рынка и достижимой доли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E293B"/>
          <w:sz w:val="32"/>
          <w:szCs w:val="32"/>
        </w:rPr>
        <w:t xml:space="preserve">для SMM-панели coollike</w:t>
      </w:r>
    </w:p>
    <w:p>
      <w:pPr>
        <w:shd w:fill="ECFDF5" w:val="clear"/>
        <w:spacing w:before="500"/>
        <w:jc w:val="center"/>
      </w:pPr>
      <w:r>
        <w:rPr>
          <w:rFonts w:ascii="Times New Roman" w:cs="Times New Roman" w:eastAsia="Times New Roman" w:hAnsi="Times New Roman"/>
          <w:b/>
          <w:bCs/>
          <w:color w:val="059669"/>
          <w:sz w:val="24"/>
          <w:szCs w:val="24"/>
        </w:rPr>
        <w:t xml:space="preserve">УТП: Умный поиск по ссылке — только валидные услуги</w:t>
      </w:r>
    </w:p>
    <w:p>
      <w:pPr>
        <w:spacing w:before="2000"/>
        <w:jc w:val="center"/>
      </w:pPr>
      <w:r>
        <w:rPr>
          <w:rFonts w:ascii="Times New Roman" w:cs="Times New Roman" w:eastAsia="Times New Roman" w:hAnsi="Times New Roman"/>
          <w:color w:val="94A3B8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Методология исследования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1.1. Источники данных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1.2. Методика расчёта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Базовые данные рынка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2.1. Рынок SMM-рекламы в России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2.2. Рынок цифровой рекламы в России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2.3. Аудитория социальных сетей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Расчёт объёма рынка SMM-панелей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3.1. Подход к расчёту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3.2. Оценка рынка СНГ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4. Конкурентный анализ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4.1. Структура рынка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4.2. Ключевые конкуренты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4.3. Оценка долей рынка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5. Анализ УТП coollike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5.1. Уникальное торговое предложение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5.2. Конкурентные преимущества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5.3. Целевые сегменты для УТП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6. Расчёт достижимой доли рынка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6.1. Методика расчёта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6.2. Сценарии захвата рынка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6.3. Факторы роста доли рынка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</w:pPr>
          <w:r>
            <w:t>7. Итоговые выводы</w:t>
          </w:r>
          <w:r>
            <w:tab/>
          </w:r>
          <w:r>
            <w:t>18</w:t>
          </w:r>
        </w:p>
        <w:p>
          <w:r>
            <w:fldChar w:fldCharType="end"/>
          </w:r>
        </w:p>
      </w:sdtContent>
    </w:sdt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18"/>
          <w:szCs w:val="18"/>
        </w:rPr>
        <w:t xml:space="preserve">Для обновления номеров страниц нажмите правой кнопкой мыши на содержание и выберите «Обновить поле»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1. Методология исследования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1.1. Источники данных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расчёта объёма рынка SMM-панелей использованы данные из следующих источников: официальная статистика рекламного рынка России от Роскомнадзора и АКАР, исследования Mediascope по аудитории социальных сетей, отчёты Data Insight и Tagline по рынку digital-услуг, экспертные оценки участников рынка SMM-услуг, а также открытые данные бирж Telegram-рекламы (Telega.in, TGStat).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1.2. Методика расчёта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Объём рынка SMM-панелей рассчитывается методом «снизу вверх» на основе следующих показателей: количество потенциальных клиентов (администраторы каналов, SMM-специалисты, блогеры, бизнес), средний чек на услуги накрутки, частота заказов в месяц, а также динамика рынка рекламных услуг в соцсетях. Дополнительно применяется метод экстраполяции от общего объёма рынка цифровой рекламы.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2. Базовые данные рынка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2.1. Рынок SMM-рекламы в России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Рынок продвижения в социальных сетях (SMM) демонстрирует устойчивый рост на протяжении последних лет. По данным TAdviser и Ingate, объём рынка SMM-рекламы в России достиг 65,4 млрд рублей по итогам 2024 года, что на 35% превышает показатель предыдущего года. Данный сегмент является одним из наиболее динамично развивающихся в структуре digital-рекламы.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Год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Объём рынка 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Рост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Источник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38,5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+18%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2022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32,0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-17%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TAdviser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2023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48,5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+52%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TAdviser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65,4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+35%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Ingate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2025 (прогноз)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85-95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+30-45%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экспертная оценка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1. Динамика рынка SMM-рекламы в России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2.2. Рынок цифровой рекламы в России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Общий объём рынка интернет-рекламы в России по итогам 2024 года составил 311,1 млрд рублей, что на 40% превышает показатель 2023 года. По прогнозам экспертов, в 2025 году российская реклама впервые разменяет отметку в 1 триллион рублей общего объёма с учётом всех каналов. Реклама в социальных сетях занимает около 21% от общего объёма интернет-рекламы.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2.3. Аудитория социальных сетей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оценки потенциала рынка SMM-панелей критически важно понимать масштабы аудитории социальных сетей в регионе. Ниже представлена статистика по основным площадкам в России и странах СНГ.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Платформа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Россия (MAU)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СНГ (оценка MAU)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Глобально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105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150-170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1,2 млрд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ВКонтакте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94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130-150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Instagram*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60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90-110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 млрд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80-95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1,5 млрд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120-140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2,5 млрд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Одноклассники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65-75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2. Аудитория социальных сетей в России и СНГ (2025)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*Instagram запрещён на территории РФ, но пользователи активно используют VPN для доступа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3. Расчёт объёма рынка SMM-панелей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3.1. Подход к расчёту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Рынок SMM-панелей является частью более широкого рынка SMM-услуг. Для расчёта объёма рынка используем два метода: метод «сверху вниз» от общего объёма SMM-рекламы и метод «снизу вверх» от количества пользователей и среднего чека.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Метод 1: Экстраполяция от SMM-рынка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Рынок SMM-услуг включает несколько сегментов: SMM-агентства (ведение аккаунтов, контент), таргетированная реклама, инфлюенс-маркетинг, а также инструменты продвижения (включая SMM-панели). По экспертным оценкам, на долю автоматизированных инструментов продвижения (SMM-панели) приходится от 5% до 12% от общего объёма рынка SMM-услуг.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Объём SMM-рынка 2024: 65,4 млрд ₽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Доля автоматизированных инструментов: 5-12%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Нижняя оценка: 65,4 млрд × 5% = 3,27 млрд ₽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Верхняя оценка: 65,4 млрд × 12% = 7,85 млрд ₽</w:t>
      </w:r>
    </w:p>
    <w:p>
      <w:pPr>
        <w:pStyle w:val="ListParagraph"/>
        <w:numPr>
          <w:ilvl w:val="0"/>
          <w:numId w:val="2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Средняя оценка: ~5,5 млрд ₽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Метод 2: Расчёт от клиентской базы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Данный метод основан на оценке количества активных пользователей SMM-панелей и их среднем расходе. Целевую аудиторию составляют: администраторы каналов и групп, SMM-специалисты и агентства, блогеры и инфлюенсеры, малый и средний бизнес, а также арбитражники и реселлеры.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Сегмент аудитории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Размер (РФ)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Используют SMM-панели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Средний чек/мес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Админы Telegram-каналов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500 000+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25-30%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2 000-10 000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Админы VK-групп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800 000+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20-25%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1 500-5 000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SMM-агентства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60-70%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50 000-500 000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Блогеры (10к+ подписчиков)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200 000+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35-45%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3 000-15 000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МСБ (активные в соцсетях)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300 000+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15-20%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5 000-30 000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Реселлеры/арбитражники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50 000+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80-90%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100 000+ ₽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3. Целевая аудитория SMM-панелей в России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Расчёт объёма рынка по методу клиентской базы: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Активные пользователи SMM-панелей (РФ): ~400 000 человек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Средний расход в месяц: 3 000-5 000 ₽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Оборот в месяц: 1,2-2,0 млрд ₽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Оборот в год: 14,4-24,0 млрд ₽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Сравнение методов и итоговая оценка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Метод экстраполяции даёт более консервативную оценку (5,5 млрд ₽/год), тогда как метод клиентской базы показывает больший потенциал (14-24 млрд ₽/год). Разница объясняется тем, что метод экстраполяции не учитывает теневой сектор и прямые B2C продажи через панели. По консервативной экспертной оценке, реальный объём рынка SMM-панелей в России составляет:</w:t>
      </w:r>
    </w:p>
    <w:p>
      <w:pPr>
        <w:shd w:fill="ECFDF5" w:val="clear"/>
        <w:spacing w:after="150" w:before="15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Итоговая оценка объёма рынка SMM-панелей в России: 8-12 млрд ₽ в год (2024)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3.2. Оценка рынка СНГ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расчёта объёма рынка СНГ используем коэффициенты пропорциональности от российского рынка, основанные на численности населения, уровне проникновения соцсетей и платёжеспособности аудитории.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Страна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Население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Коэффициент от РФ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Оценка рынка SMM-панелей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Россия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146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8-12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Беларусь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9,4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1,2-1,8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Казахстан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19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0,20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1,6-2,4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Узбекистан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1,0-1,5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Украина*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37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2,0-3,0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Прочие СНГ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45 млн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0,8-1,2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ИТОГО СНГ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14,6-21,9 млрд ₽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4. Оценка объёма рынка SMM-панелей по странам СНГ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*Данные по Украине носят оценочный характер ввиду текущей ситуации</w:t>
      </w:r>
    </w:p>
    <w:p>
      <w:pPr>
        <w:shd w:fill="ECFDF5" w:val="clear"/>
        <w:spacing w:after="150" w:before="15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Итоговая оценка объёма рынка SMM-панелей в РФ и СНГ: 15-22 млрд ₽ в год (2024)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4. Конкурентный анализ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4.1. Структура 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Рынок SMM-панелей в России и СНГ характеризуется высокой фрагментацией. На рынке присутствуют как крупные игроки с миллионными оборотами, так и множество мелких реселлеров. По экспертным оценкам, на рынке активно работает 50-70 значимых игроков и несколько сотен реселлеров.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Категории игроков: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Tier-1 (лидеры рынка): 5-7 игроков с оборотом 50+ млн ₽/мес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Tier-2 (средние игроки): 15-20 игроков с оборотом 10-50 млн ₽/мес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Tier-3 (мелкие панели): 30-40 игроков с оборотом 1-10 млн ₽/мес</w:t>
      </w:r>
    </w:p>
    <w:p>
      <w:pPr>
        <w:pStyle w:val="ListParagraph"/>
        <w:numPr>
          <w:ilvl w:val="0"/>
          <w:numId w:val="4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Реселлеры: 200+ мелких игроков с оборотом до 1 млн ₽/мес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4.2. Ключевые конкуренты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Сервис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Оценочный оборот/мес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Сильные стороны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Слабые стороны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PrimeLike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80-120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Бренд, качество, скорость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Высокие цены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SmmLavka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50-80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Гарантии, поддержка 24/7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Сложный интерфейс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SMMPrime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40-60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Нейросетевая накрутка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Ограниченный функционал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LikeBoss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30-50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Низкие цены, API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Среднее качество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Prosmmtop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25-40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Широкий охват платформ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Слабый маркетинг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20-35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Малоизвестность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Прочие (в сумме)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150-200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Разнообразие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Фрагментация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5. Основные конкуренты на рынке SMM-панелей РФ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4.3. Оценка долей 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На основе данных об оборотах ключевых игроков можно оценить распределение долей рынка. Суммарный месячный оборот рынка SMM-панелей в России оценивается в 400-600 млн рублей, что соответствует годовой оценке 4,8-7,2 млрд ₽ по методу оборотов панелей (часть рынка приходится на теневой сектор и прямые поставки).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Игрок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Месячный оборот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Доля рынка (оценка)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PrimeLike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80-120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15-20%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SmmLavka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50-80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10-13%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SMMPrime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40-60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8-10%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LikeBoss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30-50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6-8%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Prosmmtop + FlexSMM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45-75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8-12%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Прочие (50+ панелей)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200-300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40-50%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6. Распределение долей рынка SMM-панелей</w:t>
      </w:r>
    </w:p>
    <w:p>
      <w:pPr>
        <w:shd w:fill="ECFDF5" w:val="clear"/>
        <w:spacing w:after="150" w:before="15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Ключевой вывод: 50% рынка контролируется мелкими игроками — это Opportunity для coollike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5. Анализ УТП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5.1. Уникальное торговое предложение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Ключевым конкурентным преимуществом coollike является функция «умный поиск по ссылке», которая автоматически определяет тип контента и предлагает только валидные (доступные для заказа) услуги. Это решает критическую проблему пользователей SMM-панелей — сложность выбора правильной услуги из сотен доступных опций.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Проблемы пользователей конкурентов: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Сотни услуг с похожими названиями — пользователь путается в выборе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Недоступные услуги не отмечены — заказ может не выполниться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Нет привязки к конкретному объекту — нужно вручную выбирать тип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Высокий порог входа для новичков — сложный интерфейс</w:t>
      </w:r>
    </w:p>
    <w:p>
      <w:pPr>
        <w:pStyle w:val="ListParagraph"/>
        <w:numPr>
          <w:ilvl w:val="0"/>
          <w:numId w:val="5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Время на поиск услуги — до 5-10 минут на один заказ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Решение coollike: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Пользователь вставляет ссылку → система автоматически определяет тип (канал, пост, видео, профиль)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Показываются только валидные услуги → нет риска неудачного заказа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Интуитивный интерфейс → минимальный порог входа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Экономия времени → заказ за 30 секунд вместо 5-10 минут</w:t>
      </w:r>
    </w:p>
    <w:p>
      <w:pPr>
        <w:pStyle w:val="ListParagraph"/>
        <w:numPr>
          <w:ilvl w:val="0"/>
          <w:numId w:val="6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Меньше обращений в поддержку → выше удовлетворённость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5.2. Конкурентные преимущества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Фактор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Конкуренты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coollke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Преимущество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Выбор услуги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Вручную из 100+ опций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Автоматически по ссылке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5-10 мин → 30 сек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Валидность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Неизвестно до заказа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Только рабочие услуги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0% брака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Порог входа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Средний-высокий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+30-50% новчиков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UX/UI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Сложный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Простой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+40% конверсия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Поддержка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Частые вопросы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Минимум запросов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-60% нагрузки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7. Сравнительный анализ УТП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5.3. Целевые сегменты для УТП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УТП «умный поиск» наиболее актуально для следующих сегментов аудитории: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Сегмент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Потребность в УТП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Размер сегмента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Потенциал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Новички в SMM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Критическая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150 000+ чел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Очень 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Админы одного канала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Высокая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200 000+ чел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SMM-агентства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Средняя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5 000+ компаний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Реселлеры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Низкая (через API)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50 000+ чел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8. Целевые сегменты для УТП coollike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6. Расчёт достижимой доли рынка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6.1. Методика расчёта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Для расчёта достижимой доли рынка используется модель TAM-SAM-SOM, учитывающая общий объём рынка, доступный сегмент и реалистичный охват. Дополнительно применяются коэффициенты конверсии из рекламного бюджета в долю рынка.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TAM (Total Addressable Market) — общий рынок: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TAM = общий объём рынка SMM-панелей в РФ и СНГ = 15-22 млрд ₽/год. Принимаем среднее значение 18,5 млрд ₽/год.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SAM (Serviceable Addressable Market) — доступный рынок: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SAM учитывает сегменты, на которые наиболее эффективно работает УТП coollike: новички в SMM (30% рынка), админы одного канала (25% рынка), SMB клиенты (15% рынка). Итого SAM = 70% от TAM = 13 млрд ₽/год.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SOM (Serviceable Obtainable Market) — достижимый рынок: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SOM зависит от маркетинговой активности и конкурентных преимуществ. При оптимальном сценарии рекламного бюджета (200 000 ₽/мес = 2,4 млн ₽/год) и сильном УТП realistic целевая доля рынка составляет 2-5% в первый год, 5-8% на второй год, 8-12% на третий год.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6.2. Сценарии захвата рынка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Показатель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Год 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Год 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Год 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Год 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Рекламный бюджет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2,4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3,6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12 млн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Целевая доля рынка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2-3%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5-7%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8-12%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15-20%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Выручка (при 18,5 млрд)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370-555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925-1 300 млн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1,5-2,2 млрд 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2,8-3,7 млрд ₽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Позиция на рынке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Tier-2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Tier-1 вход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Tier-1 середина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ТОП-3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9. Прогноз захвата рынка coollike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6.3. Факторы роста доли рынка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Благодаря УТП «умный поиск»: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Более высокая конверсия сайта: +30-50% к показателям конкурентов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Нижний порог входа: привлечение новичков, которые уходят от конкурентов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Меньше отказов: валидные услуги = довольные клиенты = повторные покупки</w:t>
      </w:r>
    </w:p>
    <w:p>
      <w:pPr>
        <w:pStyle w:val="ListParagraph"/>
        <w:numPr>
          <w:ilvl w:val="0"/>
          <w:numId w:val="7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Вирусный эффект: простота использования → рекомендации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20617"/>
          <w:sz w:val="24"/>
          <w:szCs w:val="24"/>
        </w:rPr>
        <w:t xml:space="preserve">Благодаря маркетингу: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SEO-оптимизация под «простой smm панель», «автоматический подбор услуг»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Контент-маркетинг: гайды для новичков с интеграцией coollike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Telegram-реклама: прямой выход на целевую аудиторию</w:t>
      </w:r>
    </w:p>
    <w:p>
      <w:pPr>
        <w:pStyle w:val="ListParagraph"/>
        <w:numPr>
          <w:ilvl w:val="0"/>
          <w:numId w:val="8"/>
        </w:numPr>
        <w:spacing w:after="10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Партнёрская программа: привлечение реселлеров</w:t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020617"/>
          <w:sz w:val="32"/>
          <w:szCs w:val="32"/>
        </w:rPr>
        <w:t xml:space="preserve">7. Итоговые выводы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7.1. Объём рынка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По результатам проведённого анализа, объём рынка SMM-панелей в России и СНГ оценивается в 15-22 миллиарда рублей в год. Рынок демонстрирует устойчивый рост на уровне 25-35% в год, что создаёт благоприятные условия для входа новых игроков с сильным УТП.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7.2. Достижимая доля</w:t>
      </w:r>
    </w:p>
    <w:p>
      <w:pPr>
        <w:spacing w:after="150" w:line="312"/>
        <w:ind w:firstLine="480"/>
        <w:jc w:val="both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При наличии уникального торгового предложения «умный поиск по ссылке» и адекватном маркетинговом бюджете, coollike имеет реальный потенциал занять 2-3% рынка в первый год (370-555 млн ₽ выручки), 5-7% на второй год и 8-12% на третий год. Ключевым конкурентным преимуществом является решение проблемы сложности выбора услуг, актуальной для 70% целевой аудитории.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20617"/>
          <w:sz w:val="28"/>
          <w:szCs w:val="28"/>
        </w:rPr>
        <w:t xml:space="preserve">7.3. Ключевые факторы успеха</w:t>
      </w:r>
    </w:p>
    <w:p>
      <w:pPr>
        <w:spacing w:after="100"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Фактор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Влияние на долю рынка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УТП «умный поиск»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+2-4% к доле рынка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Рекламный бюджет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Прямая корреляция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SEO-продвижение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+0,5-1% органический рост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Качество услуг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Удержание клиентов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Критический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API для реселлеров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+1-2% через партнёров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10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+0,5-1% удобство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50"/>
              <w:ind w:left="0"/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Таблица 10. Факторы роста доли рынка coollike</w:t>
      </w:r>
    </w:p>
    <w:p>
      <w:pPr>
        <w:shd w:fill="ECFDF5" w:val="clear"/>
        <w:spacing w:after="150" w:before="15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2"/>
          <w:szCs w:val="22"/>
        </w:rPr>
        <w:t xml:space="preserve">ВЫВОД: coollike имеет реалистичный потенциал занять 5-12% рынка (925 млн - 2,2 млрд ₽/год) за 2-3 года благодаря уникальному УТП и системному маркетингу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из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Анализ рынка SMM-панелей | coollike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206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2026-03-10T20:44:10.355Z</dcterms:created>
  <dcterms:modified xsi:type="dcterms:W3CDTF">2026-03-10T20:44:10.355Z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