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13. Документ для согласования</w:t>
      </w:r>
    </w:p>
    <w:p/>
    <w:p>
      <w:pPr>
        <w:pStyle w:val="Heading1"/>
        <w:spacing w:after="120"/>
      </w:pPr>
      <w:r>
        <w:t xml:space="preserve">Партнерская программа и аналитика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v1  </w:t>
      </w:r>
    </w:p>
    <w:p>
      <w:pPr>
        <w:pStyle w:val="Normal"/>
        <w:spacing w:after="120"/>
      </w:pPr>
      <w:r>
        <w:t xml:space="preserve">Статус: решения для согласования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Стартовый продукт: Суперэкспресс 15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1. Что нужно согласовать</w:t>
      </w:r>
    </w:p>
    <w:p/>
    <w:p>
      <w:pPr>
        <w:pStyle w:val="Normal"/>
        <w:spacing w:after="120"/>
      </w:pPr>
      <w:r>
        <w:t xml:space="preserve">Этот документ выделяет решения, которые нужно подтвердить перед разработкой партнерской программы и аналитики.</w:t>
      </w:r>
    </w:p>
    <w:p/>
    <w:p>
      <w:pPr>
        <w:pStyle w:val="Normal"/>
        <w:spacing w:after="120"/>
      </w:pPr>
      <w:r>
        <w:t xml:space="preserve">Речь идет не о правилах тиража и не о выплатах победителям. Речь идет о маркетинговом и аналитическом слое:</w:t>
      </w:r>
    </w:p>
    <w:p/>
    <w:p>
      <w:pPr>
        <w:pStyle w:val="Normal"/>
        <w:spacing w:after="120"/>
      </w:pPr>
      <w:r>
        <w:t xml:space="preserve">- как работает CPA;</w:t>
      </w:r>
    </w:p>
    <w:p>
      <w:pPr>
        <w:pStyle w:val="Normal"/>
        <w:spacing w:after="120"/>
      </w:pPr>
      <w:r>
        <w:t xml:space="preserve">- можно ли использовать RevShare;</w:t>
      </w:r>
    </w:p>
    <w:p>
      <w:pPr>
        <w:pStyle w:val="Normal"/>
        <w:spacing w:after="120"/>
      </w:pPr>
      <w:r>
        <w:t xml:space="preserve">- что считается засчитанным игроком;</w:t>
      </w:r>
    </w:p>
    <w:p>
      <w:pPr>
        <w:pStyle w:val="Normal"/>
        <w:spacing w:after="120"/>
      </w:pPr>
      <w:r>
        <w:t xml:space="preserve">- как защищаемся от fraud;</w:t>
      </w:r>
    </w:p>
    <w:p>
      <w:pPr>
        <w:pStyle w:val="Normal"/>
        <w:spacing w:after="120"/>
      </w:pPr>
      <w:r>
        <w:t xml:space="preserve">- какие данные видит партнер;</w:t>
      </w:r>
    </w:p>
    <w:p>
      <w:pPr>
        <w:pStyle w:val="Normal"/>
        <w:spacing w:after="120"/>
      </w:pPr>
      <w:r>
        <w:t xml:space="preserve">- какие отчеты нужны команде;</w:t>
      </w:r>
    </w:p>
    <w:p>
      <w:pPr>
        <w:pStyle w:val="Normal"/>
        <w:spacing w:after="120"/>
      </w:pPr>
      <w:r>
        <w:t xml:space="preserve">- как учитываем операционные расходы.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2. Главные решения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Решение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Рекомендованный статус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Комментарий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Партнерская программа работает off-chain.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Смарт-контракты не должны знать партнерские условия.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Партнерские выплаты не идут из призового фонда.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Prize pool, jackpot и выплаты игрокам остаются отдельными.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3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$15 является гипотезой.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Нельзя обещать как постоянную ставку до финансовой модели.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4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начисляется только за qualified player.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платим за клики и пустые подключения кошелька.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5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Qualified player = первая валидная покупка после разрешенного referral.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Простое правило для MVP.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6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Hold period 14 дней.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Временно 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Нужен для fraud-проверки.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7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Attribution window 30 дней.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Временно 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Уточнить после первых данных.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8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не считать от призового фонда.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Только от net platform revenue.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9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не запускать массово в MVP.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Включать только проверенным партнерам.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10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Запрещенные страны не засчитываются.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Связано с этапом 12.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11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Партнер видит только агрегированные данные.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приватности и KYC/AML.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12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Все изменения ставок пишутся в audit log.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Согласовать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Защита от споров и ошибок.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3. CPA</w:t>
      </w:r>
    </w:p>
    <w:p/>
    <w:p>
      <w:pPr>
        <w:pStyle w:val="Normal"/>
        <w:spacing w:after="120"/>
      </w:pPr>
      <w:r>
        <w:t xml:space="preserve">Предварительное решение:</w:t>
      </w:r>
    </w:p>
    <w:p/>
    <w:p>
      <w:pPr>
        <w:pStyle w:val="Code"/>
        <w:spacing w:after="120"/>
      </w:pPr>
      <w:r>
        <w:t xml:space="preserve">CPA $15 за qualified player.</w:t>
      </w:r>
    </w:p>
    <w:p/>
    <w:p>
      <w:pPr>
        <w:pStyle w:val="Normal"/>
        <w:spacing w:after="120"/>
      </w:pPr>
      <w:r>
        <w:t xml:space="preserve">Что значит qualified player:</w:t>
      </w:r>
    </w:p>
    <w:p/>
    <w:p>
      <w:pPr>
        <w:pStyle w:val="Normal"/>
        <w:spacing w:after="120"/>
      </w:pPr>
      <w:r>
        <w:t xml:space="preserve">- пользователь пришел по разрешенной referral link;</w:t>
      </w:r>
    </w:p>
    <w:p>
      <w:pPr>
        <w:pStyle w:val="Normal"/>
        <w:spacing w:after="120"/>
      </w:pPr>
      <w:r>
        <w:t xml:space="preserve">- пользователь не находится в запрещенной стране;</w:t>
      </w:r>
    </w:p>
    <w:p>
      <w:pPr>
        <w:pStyle w:val="Normal"/>
        <w:spacing w:after="120"/>
      </w:pPr>
      <w:r>
        <w:t xml:space="preserve">- кошелек не под санкционным или AML-флагом;</w:t>
      </w:r>
    </w:p>
    <w:p>
      <w:pPr>
        <w:pStyle w:val="Normal"/>
        <w:spacing w:after="120"/>
      </w:pPr>
      <w:r>
        <w:t xml:space="preserve">- пользователь купил первый валидный билет;</w:t>
      </w:r>
    </w:p>
    <w:p>
      <w:pPr>
        <w:pStyle w:val="Normal"/>
        <w:spacing w:after="120"/>
      </w:pPr>
      <w:r>
        <w:t xml:space="preserve">- билет не был отменен/refund по технической причине;</w:t>
      </w:r>
    </w:p>
    <w:p>
      <w:pPr>
        <w:pStyle w:val="Normal"/>
        <w:spacing w:after="120"/>
      </w:pPr>
      <w:r>
        <w:t xml:space="preserve">- нет fraud-флагов;</w:t>
      </w:r>
    </w:p>
    <w:p>
      <w:pPr>
        <w:pStyle w:val="Normal"/>
        <w:spacing w:after="120"/>
      </w:pPr>
      <w:r>
        <w:t xml:space="preserve">- прошел hold period.</w:t>
      </w:r>
    </w:p>
    <w:p/>
    <w:p>
      <w:pPr>
        <w:pStyle w:val="Normal"/>
        <w:spacing w:after="120"/>
      </w:pPr>
      <w:r>
        <w:t xml:space="preserve">Что нужно подтвердить: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Финальная ставка CPA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 после финансовой модели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Разные CPA по странам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Вероятно да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Разные CPA по партнерам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Вероятно да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Минимальный hold period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14 дней как гипотеза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Бюджетный лимит CPA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Нужен обязательно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за подключение кошелька без покупки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Нет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CPA за пользователя из запрещенной страны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Нет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4. RevShare</w:t>
      </w:r>
    </w:p>
    <w:p/>
    <w:p>
      <w:pPr>
        <w:pStyle w:val="Normal"/>
        <w:spacing w:after="120"/>
      </w:pPr>
      <w:r>
        <w:t xml:space="preserve">Предварительное решение:</w:t>
      </w:r>
    </w:p>
    <w:p/>
    <w:p>
      <w:pPr>
        <w:pStyle w:val="Code"/>
        <w:spacing w:after="120"/>
      </w:pPr>
      <w:r>
        <w:t xml:space="preserve">RevShare можно поддержать технически,</w:t>
      </w:r>
    </w:p>
    <w:p>
      <w:pPr>
        <w:pStyle w:val="Code"/>
        <w:spacing w:after="120"/>
      </w:pPr>
      <w:r>
        <w:t xml:space="preserve">но не запускать как массовую модель MVP.</w:t>
      </w:r>
    </w:p>
    <w:p/>
    <w:p>
      <w:pPr>
        <w:pStyle w:val="Normal"/>
        <w:spacing w:after="120"/>
      </w:pPr>
      <w:r>
        <w:t xml:space="preserve">Причина:</w:t>
      </w:r>
    </w:p>
    <w:p/>
    <w:p>
      <w:pPr>
        <w:pStyle w:val="Normal"/>
        <w:spacing w:after="120"/>
      </w:pPr>
      <w:r>
        <w:t xml:space="preserve">- нужны точные правила net platform revenue;</w:t>
      </w:r>
    </w:p>
    <w:p>
      <w:pPr>
        <w:pStyle w:val="Normal"/>
        <w:spacing w:after="120"/>
      </w:pPr>
      <w:r>
        <w:t xml:space="preserve">- возможны refunds и спорные тиражи;</w:t>
      </w:r>
    </w:p>
    <w:p>
      <w:pPr>
        <w:pStyle w:val="Normal"/>
        <w:spacing w:after="120"/>
      </w:pPr>
      <w:r>
        <w:t xml:space="preserve">- нужно учитывать операционные расходы;</w:t>
      </w:r>
    </w:p>
    <w:p>
      <w:pPr>
        <w:pStyle w:val="Normal"/>
        <w:spacing w:after="120"/>
      </w:pPr>
      <w:r>
        <w:t xml:space="preserve">- партнерские начисления могут стать спорными;</w:t>
      </w:r>
    </w:p>
    <w:p>
      <w:pPr>
        <w:pStyle w:val="Normal"/>
        <w:spacing w:after="120"/>
      </w:pPr>
      <w:r>
        <w:t xml:space="preserve">- проще стартовать с CPA.</w:t>
      </w:r>
    </w:p>
    <w:p/>
    <w:p>
      <w:pPr>
        <w:pStyle w:val="Normal"/>
        <w:spacing w:after="120"/>
      </w:pPr>
      <w:r>
        <w:t xml:space="preserve">Что нужно подтвердить: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Статус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Процент RevShare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Срок действия RevShare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Cap на RevShare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Рекомендуется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Можно ли CPA + RevShare вместе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Не рекомендуется массово в MVP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Как считать refunds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Как считать спорные тиражи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TBD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5. Fraud-control</w:t>
      </w:r>
    </w:p>
    <w:p/>
    <w:p>
      <w:pPr>
        <w:pStyle w:val="Normal"/>
        <w:spacing w:after="120"/>
      </w:pPr>
      <w:r>
        <w:t xml:space="preserve">Нужно согласовать, что OX имеет право:</w:t>
      </w:r>
    </w:p>
    <w:p/>
    <w:p>
      <w:pPr>
        <w:pStyle w:val="Normal"/>
        <w:spacing w:after="120"/>
      </w:pPr>
      <w:r>
        <w:t xml:space="preserve">- ставить начисления на hold;</w:t>
      </w:r>
    </w:p>
    <w:p>
      <w:pPr>
        <w:pStyle w:val="Normal"/>
        <w:spacing w:after="120"/>
      </w:pPr>
      <w:r>
        <w:t xml:space="preserve">- отклонять начисления при fraud;</w:t>
      </w:r>
    </w:p>
    <w:p>
      <w:pPr>
        <w:pStyle w:val="Normal"/>
        <w:spacing w:after="120"/>
      </w:pPr>
      <w:r>
        <w:t xml:space="preserve">- останавливать кампанию;</w:t>
      </w:r>
    </w:p>
    <w:p>
      <w:pPr>
        <w:pStyle w:val="Normal"/>
        <w:spacing w:after="120"/>
      </w:pPr>
      <w:r>
        <w:t xml:space="preserve">- блокировать партнера;</w:t>
      </w:r>
    </w:p>
    <w:p>
      <w:pPr>
        <w:pStyle w:val="Normal"/>
        <w:spacing w:after="120"/>
      </w:pPr>
      <w:r>
        <w:t xml:space="preserve">- не раскрывать партнеру внутренние детали fraud-системы;</w:t>
      </w:r>
    </w:p>
    <w:p>
      <w:pPr>
        <w:pStyle w:val="Normal"/>
        <w:spacing w:after="120"/>
      </w:pPr>
      <w:r>
        <w:t xml:space="preserve">- требовать документы партнера, если партнер крупный или рискованный.</w:t>
      </w:r>
    </w:p>
    <w:p/>
    <w:p>
      <w:pPr>
        <w:pStyle w:val="Normal"/>
        <w:spacing w:after="120"/>
      </w:pPr>
      <w:r>
        <w:t xml:space="preserve">Минимальные fraud-флаги:</w:t>
      </w:r>
    </w:p>
    <w:p/>
    <w:p>
      <w:pPr>
        <w:pStyle w:val="Normal"/>
        <w:spacing w:after="120"/>
      </w:pPr>
      <w:r>
        <w:t xml:space="preserve">- трафик из запрещенных стран;</w:t>
      </w:r>
    </w:p>
    <w:p>
      <w:pPr>
        <w:pStyle w:val="Normal"/>
        <w:spacing w:after="120"/>
      </w:pPr>
      <w:r>
        <w:t xml:space="preserve">- VPN/proxy паттерны;</w:t>
      </w:r>
    </w:p>
    <w:p>
      <w:pPr>
        <w:pStyle w:val="Normal"/>
        <w:spacing w:after="120"/>
      </w:pPr>
      <w:r>
        <w:t xml:space="preserve">- self-referral;</w:t>
      </w:r>
    </w:p>
    <w:p>
      <w:pPr>
        <w:pStyle w:val="Normal"/>
        <w:spacing w:after="120"/>
      </w:pPr>
      <w:r>
        <w:t xml:space="preserve">- связанные кошельки;</w:t>
      </w:r>
    </w:p>
    <w:p>
      <w:pPr>
        <w:pStyle w:val="Normal"/>
        <w:spacing w:after="120"/>
      </w:pPr>
      <w:r>
        <w:t xml:space="preserve">- bot-clicks;</w:t>
      </w:r>
    </w:p>
    <w:p>
      <w:pPr>
        <w:pStyle w:val="Normal"/>
        <w:spacing w:after="120"/>
      </w:pPr>
      <w:r>
        <w:t xml:space="preserve">- аномальная конверсия;</w:t>
      </w:r>
    </w:p>
    <w:p>
      <w:pPr>
        <w:pStyle w:val="Normal"/>
        <w:spacing w:after="120"/>
      </w:pPr>
      <w:r>
        <w:t xml:space="preserve">- подозрительные subId/clickId;</w:t>
      </w:r>
    </w:p>
    <w:p>
      <w:pPr>
        <w:pStyle w:val="Normal"/>
        <w:spacing w:after="120"/>
      </w:pPr>
      <w:r>
        <w:t xml:space="preserve">- запрещенные рекламные обещания;</w:t>
      </w:r>
    </w:p>
    <w:p>
      <w:pPr>
        <w:pStyle w:val="Normal"/>
        <w:spacing w:after="120"/>
      </w:pPr>
      <w:r>
        <w:t xml:space="preserve">- риск таргетинга на несовершеннолетних.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6. Комплаенс рекламы</w:t>
      </w:r>
    </w:p>
    <w:p/>
    <w:p>
      <w:pPr>
        <w:pStyle w:val="Normal"/>
        <w:spacing w:after="120"/>
      </w:pPr>
      <w:r>
        <w:t xml:space="preserve">Партнеру запрещено:</w:t>
      </w:r>
    </w:p>
    <w:p/>
    <w:p>
      <w:pPr>
        <w:pStyle w:val="Normal"/>
        <w:spacing w:after="120"/>
      </w:pPr>
      <w:r>
        <w:t xml:space="preserve">- обещать гарантированный выигрыш;</w:t>
      </w:r>
    </w:p>
    <w:p>
      <w:pPr>
        <w:pStyle w:val="Normal"/>
        <w:spacing w:after="120"/>
      </w:pPr>
      <w:r>
        <w:t xml:space="preserve">- называть OX способом заработка;</w:t>
      </w:r>
    </w:p>
    <w:p>
      <w:pPr>
        <w:pStyle w:val="Normal"/>
        <w:spacing w:after="120"/>
      </w:pPr>
      <w:r>
        <w:t xml:space="preserve">- скрывать риск проигрыша;</w:t>
      </w:r>
    </w:p>
    <w:p>
      <w:pPr>
        <w:pStyle w:val="Normal"/>
        <w:spacing w:after="120"/>
      </w:pPr>
      <w:r>
        <w:t xml:space="preserve">- вести трафик из красных стран;</w:t>
      </w:r>
    </w:p>
    <w:p>
      <w:pPr>
        <w:pStyle w:val="Normal"/>
        <w:spacing w:after="120"/>
      </w:pPr>
      <w:r>
        <w:t xml:space="preserve">- давать инструкции по VPN/geo-blocking;</w:t>
      </w:r>
    </w:p>
    <w:p>
      <w:pPr>
        <w:pStyle w:val="Normal"/>
        <w:spacing w:after="120"/>
      </w:pPr>
      <w:r>
        <w:t xml:space="preserve">- таргетироваться на несовершеннолетних;</w:t>
      </w:r>
    </w:p>
    <w:p>
      <w:pPr>
        <w:pStyle w:val="Normal"/>
        <w:spacing w:after="120"/>
      </w:pPr>
      <w:r>
        <w:t xml:space="preserve">- использовать вводящие в заблуждение бонусы;</w:t>
      </w:r>
    </w:p>
    <w:p>
      <w:pPr>
        <w:pStyle w:val="Normal"/>
        <w:spacing w:after="120"/>
      </w:pPr>
      <w:r>
        <w:t xml:space="preserve">- нарушать локальные рекламные правила.</w:t>
      </w:r>
    </w:p>
    <w:p/>
    <w:p>
      <w:pPr>
        <w:pStyle w:val="Normal"/>
        <w:spacing w:after="120"/>
      </w:pPr>
      <w:r>
        <w:t xml:space="preserve">Нужно согласовать с юристами:</w:t>
      </w:r>
    </w:p>
    <w:p/>
    <w:p>
      <w:pPr>
        <w:pStyle w:val="Normal"/>
        <w:spacing w:after="120"/>
      </w:pPr>
      <w:r>
        <w:t xml:space="preserve">- тексты предупреждений;</w:t>
      </w:r>
    </w:p>
    <w:p>
      <w:pPr>
        <w:pStyle w:val="Normal"/>
        <w:spacing w:after="120"/>
      </w:pPr>
      <w:r>
        <w:t xml:space="preserve">- список разрешенных стран;</w:t>
      </w:r>
    </w:p>
    <w:p>
      <w:pPr>
        <w:pStyle w:val="Normal"/>
        <w:spacing w:after="120"/>
      </w:pPr>
      <w:r>
        <w:t xml:space="preserve">- список запрещенных стран;</w:t>
      </w:r>
    </w:p>
    <w:p>
      <w:pPr>
        <w:pStyle w:val="Normal"/>
        <w:spacing w:after="120"/>
      </w:pPr>
      <w:r>
        <w:t xml:space="preserve">- правила локальных инфлюенсеров;</w:t>
      </w:r>
    </w:p>
    <w:p>
      <w:pPr>
        <w:pStyle w:val="Normal"/>
        <w:spacing w:after="120"/>
      </w:pPr>
      <w:r>
        <w:t xml:space="preserve">- необходимость KYB для партнеров;</w:t>
      </w:r>
    </w:p>
    <w:p>
      <w:pPr>
        <w:pStyle w:val="Normal"/>
        <w:spacing w:after="120"/>
      </w:pPr>
      <w:r>
        <w:t xml:space="preserve">- хранение партнерских логов;</w:t>
      </w:r>
    </w:p>
    <w:p>
      <w:pPr>
        <w:pStyle w:val="Normal"/>
        <w:spacing w:after="120"/>
      </w:pPr>
      <w:r>
        <w:t xml:space="preserve">- формат партнерского договора.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7. Данные и приватность</w:t>
      </w:r>
    </w:p>
    <w:p/>
    <w:p>
      <w:pPr>
        <w:pStyle w:val="Normal"/>
        <w:spacing w:after="120"/>
      </w:pPr>
      <w:r>
        <w:t xml:space="preserve">Партнер видит:</w:t>
      </w:r>
    </w:p>
    <w:p/>
    <w:p>
      <w:pPr>
        <w:pStyle w:val="Normal"/>
        <w:spacing w:after="120"/>
      </w:pPr>
      <w:r>
        <w:t xml:space="preserve">- клики;</w:t>
      </w:r>
    </w:p>
    <w:p>
      <w:pPr>
        <w:pStyle w:val="Normal"/>
        <w:spacing w:after="120"/>
      </w:pPr>
      <w:r>
        <w:t xml:space="preserve">- подключения кошелька;</w:t>
      </w:r>
    </w:p>
    <w:p>
      <w:pPr>
        <w:pStyle w:val="Normal"/>
        <w:spacing w:after="120"/>
      </w:pPr>
      <w:r>
        <w:t xml:space="preserve">- первые валидные покупки;</w:t>
      </w:r>
    </w:p>
    <w:p>
      <w:pPr>
        <w:pStyle w:val="Normal"/>
        <w:spacing w:after="120"/>
      </w:pPr>
      <w:r>
        <w:t xml:space="preserve">- qualified players;</w:t>
      </w:r>
    </w:p>
    <w:p>
      <w:pPr>
        <w:pStyle w:val="Normal"/>
        <w:spacing w:after="120"/>
      </w:pPr>
      <w:r>
        <w:t xml:space="preserve">- pending/approved/rejected комиссии;</w:t>
      </w:r>
    </w:p>
    <w:p>
      <w:pPr>
        <w:pStyle w:val="Normal"/>
        <w:spacing w:after="120"/>
      </w:pPr>
      <w:r>
        <w:t xml:space="preserve">- агрегированные страны и кампании;</w:t>
      </w:r>
    </w:p>
    <w:p>
      <w:pPr>
        <w:pStyle w:val="Normal"/>
        <w:spacing w:after="120"/>
      </w:pPr>
      <w:r>
        <w:t xml:space="preserve">- статус выплаты.</w:t>
      </w:r>
    </w:p>
    <w:p/>
    <w:p>
      <w:pPr>
        <w:pStyle w:val="Normal"/>
        <w:spacing w:after="120"/>
      </w:pPr>
      <w:r>
        <w:t xml:space="preserve">Партнер не видит:</w:t>
      </w:r>
    </w:p>
    <w:p/>
    <w:p>
      <w:pPr>
        <w:pStyle w:val="Normal"/>
        <w:spacing w:after="120"/>
      </w:pPr>
      <w:r>
        <w:t xml:space="preserve">- KYC-данные;</w:t>
      </w:r>
    </w:p>
    <w:p>
      <w:pPr>
        <w:pStyle w:val="Normal"/>
        <w:spacing w:after="120"/>
      </w:pPr>
      <w:r>
        <w:t xml:space="preserve">- AML-данные;</w:t>
      </w:r>
    </w:p>
    <w:p>
      <w:pPr>
        <w:pStyle w:val="Normal"/>
        <w:spacing w:after="120"/>
      </w:pPr>
      <w:r>
        <w:t xml:space="preserve">- полный wallet address, если это не требуется отдельной процедурой;</w:t>
      </w:r>
    </w:p>
    <w:p>
      <w:pPr>
        <w:pStyle w:val="Normal"/>
        <w:spacing w:after="120"/>
      </w:pPr>
      <w:r>
        <w:t xml:space="preserve">- risk score;</w:t>
      </w:r>
    </w:p>
    <w:p>
      <w:pPr>
        <w:pStyle w:val="Normal"/>
        <w:spacing w:after="120"/>
      </w:pPr>
      <w:r>
        <w:t xml:space="preserve">- IP-адреса игроков;</w:t>
      </w:r>
    </w:p>
    <w:p>
      <w:pPr>
        <w:pStyle w:val="Normal"/>
        <w:spacing w:after="120"/>
      </w:pPr>
      <w:r>
        <w:t xml:space="preserve">- персональные данные;</w:t>
      </w:r>
    </w:p>
    <w:p>
      <w:pPr>
        <w:pStyle w:val="Normal"/>
        <w:spacing w:after="120"/>
      </w:pPr>
      <w:r>
        <w:t xml:space="preserve">- внутренние отчеты OX.</w:t>
      </w:r>
    </w:p>
    <w:p/>
    <w:p>
      <w:pPr>
        <w:pStyle w:val="Normal"/>
        <w:spacing w:after="120"/>
      </w:pPr>
      <w:r>
        <w:t xml:space="preserve">Решение для согласования:</w:t>
      </w:r>
    </w:p>
    <w:p/>
    <w:p>
      <w:pPr>
        <w:pStyle w:val="Code"/>
        <w:spacing w:after="120"/>
      </w:pPr>
      <w:r>
        <w:t xml:space="preserve">Партнерская аналитика должна быть агрегированной и privacy-first.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8. Отчеты и дашборды</w:t>
      </w:r>
    </w:p>
    <w:p/>
    <w:p>
      <w:pPr>
        <w:pStyle w:val="Normal"/>
        <w:spacing w:after="120"/>
      </w:pPr>
      <w:r>
        <w:t xml:space="preserve">Минимальные отчеты MVP:</w:t>
      </w:r>
    </w:p>
    <w:p/>
    <w:p>
      <w:pPr>
        <w:pStyle w:val="Normal"/>
        <w:spacing w:after="120"/>
      </w:pPr>
      <w:r>
        <w:t xml:space="preserve">- партнерский отчет;</w:t>
      </w:r>
    </w:p>
    <w:p>
      <w:pPr>
        <w:pStyle w:val="Normal"/>
        <w:spacing w:after="120"/>
      </w:pPr>
      <w:r>
        <w:t xml:space="preserve">- payout report;</w:t>
      </w:r>
    </w:p>
    <w:p>
      <w:pPr>
        <w:pStyle w:val="Normal"/>
        <w:spacing w:after="120"/>
      </w:pPr>
      <w:r>
        <w:t xml:space="preserve">- финансовый отчет;</w:t>
      </w:r>
    </w:p>
    <w:p>
      <w:pPr>
        <w:pStyle w:val="Normal"/>
        <w:spacing w:after="120"/>
      </w:pPr>
      <w:r>
        <w:t xml:space="preserve">- fraud report;</w:t>
      </w:r>
    </w:p>
    <w:p>
      <w:pPr>
        <w:pStyle w:val="Normal"/>
        <w:spacing w:after="120"/>
      </w:pPr>
      <w:r>
        <w:t xml:space="preserve">- compliance report;</w:t>
      </w:r>
    </w:p>
    <w:p>
      <w:pPr>
        <w:pStyle w:val="Normal"/>
        <w:spacing w:after="120"/>
      </w:pPr>
      <w:r>
        <w:t xml:space="preserve">- отчет по операционным расходам.</w:t>
      </w:r>
    </w:p>
    <w:p/>
    <w:p>
      <w:pPr>
        <w:pStyle w:val="Normal"/>
        <w:spacing w:after="120"/>
      </w:pPr>
      <w:r>
        <w:t xml:space="preserve">Минимальные дашборды:</w:t>
      </w:r>
    </w:p>
    <w:p/>
    <w:p>
      <w:pPr>
        <w:pStyle w:val="Normal"/>
        <w:spacing w:after="120"/>
      </w:pPr>
      <w:r>
        <w:t xml:space="preserve">- Product Dashboard;</w:t>
      </w:r>
    </w:p>
    <w:p>
      <w:pPr>
        <w:pStyle w:val="Normal"/>
        <w:spacing w:after="120"/>
      </w:pPr>
      <w:r>
        <w:t xml:space="preserve">- Affiliate Dashboard;</w:t>
      </w:r>
    </w:p>
    <w:p>
      <w:pPr>
        <w:pStyle w:val="Normal"/>
        <w:spacing w:after="120"/>
      </w:pPr>
      <w:r>
        <w:t xml:space="preserve">- Financial Dashboard;</w:t>
      </w:r>
    </w:p>
    <w:p>
      <w:pPr>
        <w:pStyle w:val="Normal"/>
        <w:spacing w:after="120"/>
      </w:pPr>
      <w:r>
        <w:t xml:space="preserve">- Risk/Fraud Dashboard;</w:t>
      </w:r>
    </w:p>
    <w:p>
      <w:pPr>
        <w:pStyle w:val="Normal"/>
        <w:spacing w:after="120"/>
      </w:pPr>
      <w:r>
        <w:t xml:space="preserve">- Operations Dashboard;</w:t>
      </w:r>
    </w:p>
    <w:p>
      <w:pPr>
        <w:pStyle w:val="Normal"/>
        <w:spacing w:after="120"/>
      </w:pPr>
      <w:r>
        <w:t xml:space="preserve">- Compliance Dashboard.</w:t>
      </w:r>
    </w:p>
    <w:p/>
    <w:p>
      <w:pPr>
        <w:pStyle w:val="Normal"/>
        <w:spacing w:after="120"/>
      </w:pPr>
      <w:r>
        <w:t xml:space="preserve">MVP export:</w:t>
      </w:r>
    </w:p>
    <w:p/>
    <w:p>
      <w:pPr>
        <w:pStyle w:val="Code"/>
        <w:spacing w:after="120"/>
      </w:pPr>
      <w:r>
        <w:t xml:space="preserve">CSV.</w:t>
      </w:r>
    </w:p>
    <w:p/>
    <w:p>
      <w:pPr>
        <w:pStyle w:val="Normal"/>
        <w:spacing w:after="120"/>
      </w:pPr>
      <w:r>
        <w:t xml:space="preserve">XLSX/PDF можно добавить после MVP или после выбора BI-инструмента.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9. Операционные расходы</w:t>
      </w:r>
    </w:p>
    <w:p/>
    <w:p>
      <w:pPr>
        <w:pStyle w:val="Normal"/>
        <w:spacing w:after="120"/>
      </w:pPr>
      <w:r>
        <w:t xml:space="preserve">Нужно учитывать:</w:t>
      </w:r>
    </w:p>
    <w:p/>
    <w:p>
      <w:pPr>
        <w:pStyle w:val="Normal"/>
        <w:spacing w:after="120"/>
      </w:pPr>
      <w:r>
        <w:t xml:space="preserve">- API-Football;</w:t>
      </w:r>
    </w:p>
    <w:p>
      <w:pPr>
        <w:pStyle w:val="Normal"/>
        <w:spacing w:after="120"/>
      </w:pPr>
      <w:r>
        <w:t xml:space="preserve">- oracle workflow;</w:t>
      </w:r>
    </w:p>
    <w:p>
      <w:pPr>
        <w:pStyle w:val="Normal"/>
        <w:spacing w:after="120"/>
      </w:pPr>
      <w:r>
        <w:t xml:space="preserve">- backend servers;</w:t>
      </w:r>
    </w:p>
    <w:p>
      <w:pPr>
        <w:pStyle w:val="Normal"/>
        <w:spacing w:after="120"/>
      </w:pPr>
      <w:r>
        <w:t xml:space="preserve">- database/storage;</w:t>
      </w:r>
    </w:p>
    <w:p>
      <w:pPr>
        <w:pStyle w:val="Normal"/>
        <w:spacing w:after="120"/>
      </w:pPr>
      <w:r>
        <w:t xml:space="preserve">- indexer;</w:t>
      </w:r>
    </w:p>
    <w:p>
      <w:pPr>
        <w:pStyle w:val="Normal"/>
        <w:spacing w:after="120"/>
      </w:pPr>
      <w:r>
        <w:t xml:space="preserve">- relayer;</w:t>
      </w:r>
    </w:p>
    <w:p>
      <w:pPr>
        <w:pStyle w:val="Normal"/>
        <w:spacing w:after="120"/>
      </w:pPr>
      <w:r>
        <w:t xml:space="preserve">- gas reserve;</w:t>
      </w:r>
    </w:p>
    <w:p>
      <w:pPr>
        <w:pStyle w:val="Normal"/>
        <w:spacing w:after="120"/>
      </w:pPr>
      <w:r>
        <w:t xml:space="preserve">- monitoring;</w:t>
      </w:r>
    </w:p>
    <w:p>
      <w:pPr>
        <w:pStyle w:val="Normal"/>
        <w:spacing w:after="120"/>
      </w:pPr>
      <w:r>
        <w:t xml:space="preserve">- analytics services;</w:t>
      </w:r>
    </w:p>
    <w:p>
      <w:pPr>
        <w:pStyle w:val="Normal"/>
        <w:spacing w:after="120"/>
      </w:pPr>
      <w:r>
        <w:t xml:space="preserve">- KYC/KYB/AML;</w:t>
      </w:r>
    </w:p>
    <w:p>
      <w:pPr>
        <w:pStyle w:val="Normal"/>
        <w:spacing w:after="120"/>
      </w:pPr>
      <w:r>
        <w:t xml:space="preserve">- legal;</w:t>
      </w:r>
    </w:p>
    <w:p>
      <w:pPr>
        <w:pStyle w:val="Normal"/>
        <w:spacing w:after="120"/>
      </w:pPr>
      <w:r>
        <w:t xml:space="preserve">- domains;</w:t>
      </w:r>
    </w:p>
    <w:p>
      <w:pPr>
        <w:pStyle w:val="Normal"/>
        <w:spacing w:after="120"/>
      </w:pPr>
      <w:r>
        <w:t xml:space="preserve">- partner CPA;</w:t>
      </w:r>
    </w:p>
    <w:p>
      <w:pPr>
        <w:pStyle w:val="Normal"/>
        <w:spacing w:after="120"/>
      </w:pPr>
      <w:r>
        <w:t xml:space="preserve">- RevShare;</w:t>
      </w:r>
    </w:p>
    <w:p>
      <w:pPr>
        <w:pStyle w:val="Normal"/>
        <w:spacing w:after="120"/>
      </w:pPr>
      <w:r>
        <w:t xml:space="preserve">- локальный маркетинг.</w:t>
      </w:r>
    </w:p>
    <w:p/>
    <w:p>
      <w:pPr>
        <w:pStyle w:val="Normal"/>
        <w:spacing w:after="120"/>
      </w:pPr>
      <w:r>
        <w:t xml:space="preserve">Решение:</w:t>
      </w:r>
    </w:p>
    <w:p/>
    <w:p>
      <w:pPr>
        <w:pStyle w:val="Code"/>
        <w:spacing w:after="120"/>
      </w:pPr>
      <w:r>
        <w:t xml:space="preserve">Партнерские выплаты и операционные расходы должны быть видны отдельно от призового фонда.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10. Открытые вопросы</w:t>
      </w:r>
    </w:p>
    <w:p/>
    <w:tbl>
      <w:tblPr>
        <w:tblStyle w:val="TableGrid"/>
        <w:tblW w:w="0" w:type="auto"/>
        <w:tblBorders>
          <w:top w:val="single" w:sz="4" w:space="0" w:color="A0A0A0"/>
          <w:left w:val="single" w:sz="4" w:space="0" w:color="A0A0A0"/>
          <w:bottom w:val="single" w:sz="4" w:space="0" w:color="A0A0A0"/>
          <w:right w:val="single" w:sz="4" w:space="0" w:color="A0A0A0"/>
          <w:insideH w:val="single" w:sz="4" w:space="0" w:color="A0A0A0"/>
          <w:insideV w:val="single" w:sz="4" w:space="0" w:color="A0A0A0"/>
        </w:tblBorders>
      </w:tblP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Вопрос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</w:rPr>
              <w:t xml:space="preserve">Кто должен подтвердить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Финальная CPA ставка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Finance / Founder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RevShare процент и срок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Finance / Founder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Страны для партнерского трафика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 / Compliance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Обязательные рекламные предупреждения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Нужно ли KYB всем партнерам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 / Compliance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Формат выплаты партнерам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Finance / Legal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Cookie/analytics consent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 / Product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Срок хранения партнерских данных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Legal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BI-инструмент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Product / Engineering</w:t>
            </w:r>
          </w:p>
        </w:tc>
      </w:tr>
      <w:tr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Бюджетные лимиты CPA</w:t>
            </w:r>
          </w:p>
        </w:tc>
        <w:tc>
          <w:tcPr>
            <w:tcW w:w="2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/>
              <w:t xml:space="preserve">Finance / Founder</w:t>
            </w:r>
          </w:p>
        </w:tc>
      </w:tr>
    </w:tbl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11. Рекомендованный итог</w:t>
      </w:r>
    </w:p>
    <w:p/>
    <w:p>
      <w:pPr>
        <w:pStyle w:val="Normal"/>
        <w:spacing w:after="120"/>
      </w:pPr>
      <w:r>
        <w:t xml:space="preserve">Рекомендованная позиция для MVP:</w:t>
      </w:r>
    </w:p>
    <w:p/>
    <w:p>
      <w:pPr>
        <w:pStyle w:val="Code"/>
        <w:spacing w:after="120"/>
      </w:pPr>
      <w:r>
        <w:t xml:space="preserve">Запускаем простую партнерку:</w:t>
      </w:r>
    </w:p>
    <w:p>
      <w:pPr>
        <w:pStyle w:val="Code"/>
        <w:spacing w:after="120"/>
      </w:pPr>
      <w:r>
        <w:t xml:space="preserve">referral link -&gt; first valid ticket -&gt; qualified player -&gt; CPA pending -&gt; fraud check -&gt; approved payout.</w:t>
      </w:r>
    </w:p>
    <w:p>
      <w:pPr>
        <w:pStyle w:val="Code"/>
        <w:spacing w:after="120"/>
      </w:pPr>
      <w:r>
        <w:t xml:space="preserve"/>
      </w:r>
    </w:p>
    <w:p>
      <w:pPr>
        <w:pStyle w:val="Code"/>
        <w:spacing w:after="120"/>
      </w:pPr>
      <w:r>
        <w:t xml:space="preserve">RevShare оставляем как поддерживаемую, но ограниченную модель для проверенных партнеров.</w:t>
      </w:r>
    </w:p>
    <w:p/>
    <w:p>
      <w:pPr>
        <w:pStyle w:val="Normal"/>
        <w:spacing w:after="120"/>
      </w:pPr>
      <w:r>
        <w:t xml:space="preserve">Это дает OX рост и измеримость, но не создает лишний риск для призового фонда, выплат игрокам и комплаенса.</w:t>
      </w:r>
    </w:p>
    <w:p/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Calibri" w:cs="Calibri"/>
      <w:sz w:val="22"/>
    </w:rPr>
  </w:style>
  <w:style w:type="paragraph" w:styleId="Title">
    <w:name w:val="Title"/>
    <w:qFormat/>
    <w:rPr>
      <w:b/>
      <w:rFonts w:ascii="Calibri" w:hAnsi="Calibri" w:eastAsia="Calibri" w:cs="Calibri"/>
      <w:sz w:val="36"/>
    </w:rPr>
  </w:style>
  <w:style w:type="paragraph" w:styleId="Heading1">
    <w:name w:val="heading 1"/>
    <w:basedOn w:val="Normal"/>
    <w:next w:val="Normal"/>
    <w:qFormat/>
    <w:rPr>
      <w:b/>
      <w:sz w:val="30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 w:eastAsia="Consolas" w:cs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