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Пояснительная записка</w:t>
      </w:r>
    </w:p>
    <w:p/>
    <w:p>
      <w:pPr>
        <w:pStyle w:val="Heading1"/>
        <w:spacing w:after="120"/>
      </w:pPr>
      <w:r>
        <w:t xml:space="preserve">Партнерка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Коротко о смысле этапа</w:t>
      </w:r>
    </w:p>
    <w:p/>
    <w:p>
      <w:pPr>
        <w:pStyle w:val="Normal"/>
        <w:spacing w:after="120"/>
      </w:pPr>
      <w:r>
        <w:t xml:space="preserve">На этом этапе мы добавляем в OX не новую механику игры, а систему роста и измерения бизнеса:</w:t>
      </w:r>
    </w:p>
    <w:p/>
    <w:p>
      <w:pPr>
        <w:pStyle w:val="Normal"/>
        <w:spacing w:after="120"/>
      </w:pPr>
      <w:r>
        <w:t xml:space="preserve">- партнерскую программу;</w:t>
      </w:r>
    </w:p>
    <w:p>
      <w:pPr>
        <w:pStyle w:val="Normal"/>
        <w:spacing w:after="120"/>
      </w:pPr>
      <w:r>
        <w:t xml:space="preserve">- реферальные ссылки;</w:t>
      </w:r>
    </w:p>
    <w:p>
      <w:pPr>
        <w:pStyle w:val="Normal"/>
        <w:spacing w:after="120"/>
      </w:pPr>
      <w:r>
        <w:t xml:space="preserve">- правила CPA и RevShare;</w:t>
      </w:r>
    </w:p>
    <w:p>
      <w:pPr>
        <w:pStyle w:val="Normal"/>
        <w:spacing w:after="120"/>
      </w:pPr>
      <w:r>
        <w:t xml:space="preserve">- защиту от мошеннического трафика;</w:t>
      </w:r>
    </w:p>
    <w:p>
      <w:pPr>
        <w:pStyle w:val="Normal"/>
        <w:spacing w:after="120"/>
      </w:pPr>
      <w:r>
        <w:t xml:space="preserve">- продуктовую и финансовую аналитику;</w:t>
      </w:r>
    </w:p>
    <w:p>
      <w:pPr>
        <w:pStyle w:val="Normal"/>
        <w:spacing w:after="120"/>
      </w:pPr>
      <w:r>
        <w:t xml:space="preserve">- отчеты и дашборды;</w:t>
      </w:r>
    </w:p>
    <w:p>
      <w:pPr>
        <w:pStyle w:val="Normal"/>
        <w:spacing w:after="120"/>
      </w:pPr>
      <w:r>
        <w:t xml:space="preserve">- учет операционных расходов.</w:t>
      </w:r>
    </w:p>
    <w:p/>
    <w:p>
      <w:pPr>
        <w:pStyle w:val="Normal"/>
        <w:spacing w:after="120"/>
      </w:pPr>
      <w:r>
        <w:t xml:space="preserve">Главная мысль:</w:t>
      </w:r>
    </w:p>
    <w:p/>
    <w:p>
      <w:pPr>
        <w:pStyle w:val="Code"/>
        <w:spacing w:after="120"/>
      </w:pPr>
      <w:r>
        <w:t xml:space="preserve">Партнерка должна приводить разрешенный честный трафик,</w:t>
      </w:r>
    </w:p>
    <w:p>
      <w:pPr>
        <w:pStyle w:val="Code"/>
        <w:spacing w:after="120"/>
      </w:pPr>
      <w:r>
        <w:t xml:space="preserve">а аналитика должна показывать реальную экономику продукта.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важно зафиксировать</w:t>
      </w:r>
    </w:p>
    <w:p/>
    <w:p>
      <w:pPr>
        <w:pStyle w:val="Normal"/>
        <w:spacing w:after="120"/>
      </w:pPr>
      <w:r>
        <w:t xml:space="preserve">Партнерские выплаты не должны идти из призового фонда.</w:t>
      </w:r>
    </w:p>
    <w:p/>
    <w:p>
      <w:pPr>
        <w:pStyle w:val="Normal"/>
        <w:spacing w:after="120"/>
      </w:pPr>
      <w:r>
        <w:t xml:space="preserve">Призовой фонд, jackpot и выплаты игрокам остаются отдельной логикой. Партнерская программа оплачивается из маркетингового бюджета и учитывается как операционный расход.</w:t>
      </w:r>
    </w:p>
    <w:p/>
    <w:p>
      <w:pPr>
        <w:pStyle w:val="Normal"/>
        <w:spacing w:after="120"/>
      </w:pPr>
      <w:r>
        <w:t xml:space="preserve">Это защищает доверие:</w:t>
      </w:r>
    </w:p>
    <w:p/>
    <w:p>
      <w:pPr>
        <w:pStyle w:val="Normal"/>
        <w:spacing w:after="120"/>
      </w:pPr>
      <w:r>
        <w:t xml:space="preserve">- победители получают выплаты по правилам тиража;</w:t>
      </w:r>
    </w:p>
    <w:p>
      <w:pPr>
        <w:pStyle w:val="Normal"/>
        <w:spacing w:after="120"/>
      </w:pPr>
      <w:r>
        <w:t xml:space="preserve">- партнеры получают оплату по отдельному отчету;</w:t>
      </w:r>
    </w:p>
    <w:p>
      <w:pPr>
        <w:pStyle w:val="Normal"/>
        <w:spacing w:after="120"/>
      </w:pPr>
      <w:r>
        <w:t xml:space="preserve">- смарт-контракты не усложняются партнерскими условиями;</w:t>
      </w:r>
    </w:p>
    <w:p>
      <w:pPr>
        <w:pStyle w:val="Normal"/>
        <w:spacing w:after="120"/>
      </w:pPr>
      <w:r>
        <w:t xml:space="preserve">- финансовая модель остается прозрачной.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CPA</w:t>
      </w:r>
    </w:p>
    <w:p/>
    <w:p>
      <w:pPr>
        <w:pStyle w:val="Normal"/>
        <w:spacing w:after="120"/>
      </w:pPr>
      <w:r>
        <w:t xml:space="preserve">CPA - это оплата партнеру за привлеченного засчитанного игрока.</w:t>
      </w:r>
    </w:p>
    <w:p/>
    <w:p>
      <w:pPr>
        <w:pStyle w:val="Normal"/>
        <w:spacing w:after="120"/>
      </w:pPr>
      <w:r>
        <w:t xml:space="preserve">Мы фиксируем:</w:t>
      </w:r>
    </w:p>
    <w:p/>
    <w:p>
      <w:pPr>
        <w:pStyle w:val="Code"/>
        <w:spacing w:after="120"/>
      </w:pPr>
      <w:r>
        <w:t xml:space="preserve">CPA $15 - предварительная гипотеза, а не гарантия.</w:t>
      </w:r>
    </w:p>
    <w:p/>
    <w:p>
      <w:pPr>
        <w:pStyle w:val="Normal"/>
        <w:spacing w:after="120"/>
      </w:pPr>
      <w:r>
        <w:t xml:space="preserve">Платить нужно не за клик и не за подключение кошелька, а за qualified player - игрока, который:</w:t>
      </w:r>
    </w:p>
    <w:p/>
    <w:p>
      <w:pPr>
        <w:pStyle w:val="Normal"/>
        <w:spacing w:after="120"/>
      </w:pPr>
      <w:r>
        <w:t xml:space="preserve">- пришел по разрешенной партнерской ссылке;</w:t>
      </w:r>
    </w:p>
    <w:p>
      <w:pPr>
        <w:pStyle w:val="Normal"/>
        <w:spacing w:after="120"/>
      </w:pPr>
      <w:r>
        <w:t xml:space="preserve">- не находится в запрещенной стране;</w:t>
      </w:r>
    </w:p>
    <w:p>
      <w:pPr>
        <w:pStyle w:val="Normal"/>
        <w:spacing w:after="120"/>
      </w:pPr>
      <w:r>
        <w:t xml:space="preserve">- прошел базовую geo/compliance проверку;</w:t>
      </w:r>
    </w:p>
    <w:p>
      <w:pPr>
        <w:pStyle w:val="Normal"/>
        <w:spacing w:after="120"/>
      </w:pPr>
      <w:r>
        <w:t xml:space="preserve">- купил первый валидный билет;</w:t>
      </w:r>
    </w:p>
    <w:p>
      <w:pPr>
        <w:pStyle w:val="Normal"/>
        <w:spacing w:after="120"/>
      </w:pPr>
      <w:r>
        <w:t xml:space="preserve">- не попал под fraud-флаги.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RevShare</w:t>
      </w:r>
    </w:p>
    <w:p/>
    <w:p>
      <w:pPr>
        <w:pStyle w:val="Normal"/>
        <w:spacing w:after="120"/>
      </w:pPr>
      <w:r>
        <w:t xml:space="preserve">RevShare - доля партнера от дохода OX.</w:t>
      </w:r>
    </w:p>
    <w:p/>
    <w:p>
      <w:pPr>
        <w:pStyle w:val="Normal"/>
        <w:spacing w:after="120"/>
      </w:pPr>
      <w:r>
        <w:t xml:space="preserve">Важное ограничение:</w:t>
      </w:r>
    </w:p>
    <w:p/>
    <w:p>
      <w:pPr>
        <w:pStyle w:val="Code"/>
        <w:spacing w:after="120"/>
      </w:pPr>
      <w:r>
        <w:t xml:space="preserve">RevShare считается только от net platform revenue,</w:t>
      </w:r>
    </w:p>
    <w:p>
      <w:pPr>
        <w:pStyle w:val="Code"/>
        <w:spacing w:after="120"/>
      </w:pPr>
      <w:r>
        <w:t xml:space="preserve">а не от призового фонда, jackpot или пользовательских средств.</w:t>
      </w:r>
    </w:p>
    <w:p/>
    <w:p>
      <w:pPr>
        <w:pStyle w:val="Normal"/>
        <w:spacing w:after="120"/>
      </w:pPr>
      <w:r>
        <w:t xml:space="preserve">Для MVP лучше использовать CPA как основную модель, а RevShare включать ограниченно для проверенных партнеров после финансового согласования.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Fraud и комплаенс</w:t>
      </w:r>
    </w:p>
    <w:p/>
    <w:p>
      <w:pPr>
        <w:pStyle w:val="Normal"/>
        <w:spacing w:after="120"/>
      </w:pPr>
      <w:r>
        <w:t xml:space="preserve">Партнерка не должна становиться способом обхода правил.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вести трафик из запрещенных стран;</w:t>
      </w:r>
    </w:p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показывать OX как способ стабильного заработка;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давать инструкции по VPN или обходу geo-blocking;</w:t>
      </w:r>
    </w:p>
    <w:p>
      <w:pPr>
        <w:pStyle w:val="Normal"/>
        <w:spacing w:after="120"/>
      </w:pPr>
      <w:r>
        <w:t xml:space="preserve">- создавать фейковые аккаунты ради CPA.</w:t>
      </w:r>
    </w:p>
    <w:p/>
    <w:p>
      <w:pPr>
        <w:pStyle w:val="Normal"/>
        <w:spacing w:after="120"/>
      </w:pPr>
      <w:r>
        <w:t xml:space="preserve">Если партнер нарушает правила, его кампанию можно остановить, начисления поставить на проверку или отклонить.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Аналитика</w:t>
      </w:r>
    </w:p>
    <w:p/>
    <w:p>
      <w:pPr>
        <w:pStyle w:val="Normal"/>
        <w:spacing w:after="120"/>
      </w:pPr>
      <w:r>
        <w:t xml:space="preserve">Аналитика нужна для ответов на практические вопросы:</w:t>
      </w:r>
    </w:p>
    <w:p/>
    <w:p>
      <w:pPr>
        <w:pStyle w:val="Normal"/>
        <w:spacing w:after="120"/>
      </w:pPr>
      <w:r>
        <w:t xml:space="preserve">- сколько людей пришло;</w:t>
      </w:r>
    </w:p>
    <w:p>
      <w:pPr>
        <w:pStyle w:val="Normal"/>
        <w:spacing w:after="120"/>
      </w:pPr>
      <w:r>
        <w:t xml:space="preserve">- сколько подключили кошелек;</w:t>
      </w:r>
    </w:p>
    <w:p>
      <w:pPr>
        <w:pStyle w:val="Normal"/>
        <w:spacing w:after="120"/>
      </w:pPr>
      <w:r>
        <w:t xml:space="preserve">- сколько купили первый билет;</w:t>
      </w:r>
    </w:p>
    <w:p>
      <w:pPr>
        <w:pStyle w:val="Normal"/>
        <w:spacing w:after="120"/>
      </w:pPr>
      <w:r>
        <w:t xml:space="preserve">- сколько покупают повторно;</w:t>
      </w:r>
    </w:p>
    <w:p>
      <w:pPr>
        <w:pStyle w:val="Normal"/>
        <w:spacing w:after="120"/>
      </w:pPr>
      <w:r>
        <w:t xml:space="preserve">- сколько стоит привлеченный игрок;</w:t>
      </w:r>
    </w:p>
    <w:p>
      <w:pPr>
        <w:pStyle w:val="Normal"/>
        <w:spacing w:after="120"/>
      </w:pPr>
      <w:r>
        <w:t xml:space="preserve">- окупается ли партнер;</w:t>
      </w:r>
    </w:p>
    <w:p>
      <w:pPr>
        <w:pStyle w:val="Normal"/>
        <w:spacing w:after="120"/>
      </w:pPr>
      <w:r>
        <w:t xml:space="preserve">- сколько стоят API, оракул, серверы, мониторинг и gas reserve;</w:t>
      </w:r>
    </w:p>
    <w:p>
      <w:pPr>
        <w:pStyle w:val="Normal"/>
        <w:spacing w:after="120"/>
      </w:pPr>
      <w:r>
        <w:t xml:space="preserve">- где появляются fraud и комплаенс-риски.</w:t>
      </w:r>
    </w:p>
    <w:p/>
    <w:p>
      <w:pPr>
        <w:pStyle w:val="Normal"/>
        <w:spacing w:after="120"/>
      </w:pPr>
      <w:r>
        <w:t xml:space="preserve">При этом нельзя собирать лишние персональные данные и нельзя отдавать партнеру KYC/AML детали.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увидит партнер</w:t>
      </w:r>
    </w:p>
    <w:p/>
    <w:p>
      <w:pPr>
        <w:pStyle w:val="Normal"/>
        <w:spacing w:after="120"/>
      </w:pPr>
      <w:r>
        <w:t xml:space="preserve">Партнерский кабинет показывает:</w:t>
      </w:r>
    </w:p>
    <w:p/>
    <w:p>
      <w:pPr>
        <w:pStyle w:val="Normal"/>
        <w:spacing w:after="120"/>
      </w:pPr>
      <w:r>
        <w:t xml:space="preserve">- ссылки;</w:t>
      </w:r>
    </w:p>
    <w:p>
      <w:pPr>
        <w:pStyle w:val="Normal"/>
        <w:spacing w:after="120"/>
      </w:pPr>
      <w:r>
        <w:t xml:space="preserve">- кампании;</w:t>
      </w:r>
    </w:p>
    <w:p>
      <w:pPr>
        <w:pStyle w:val="Normal"/>
        <w:spacing w:after="120"/>
      </w:pPr>
      <w:r>
        <w:t xml:space="preserve">- клики;</w:t>
      </w:r>
    </w:p>
    <w:p>
      <w:pPr>
        <w:pStyle w:val="Normal"/>
        <w:spacing w:after="120"/>
      </w:pPr>
      <w:r>
        <w:t xml:space="preserve">- подключения кошелька;</w:t>
      </w:r>
    </w:p>
    <w:p>
      <w:pPr>
        <w:pStyle w:val="Normal"/>
        <w:spacing w:after="120"/>
      </w:pPr>
      <w:r>
        <w:t xml:space="preserve">- первые валидные покупки;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pending/approved/rejected комиссии;</w:t>
      </w:r>
    </w:p>
    <w:p>
      <w:pPr>
        <w:pStyle w:val="Normal"/>
        <w:spacing w:after="120"/>
      </w:pPr>
      <w:r>
        <w:t xml:space="preserve">- статус выплаты;</w:t>
      </w:r>
    </w:p>
    <w:p>
      <w:pPr>
        <w:pStyle w:val="Normal"/>
        <w:spacing w:after="120"/>
      </w:pPr>
      <w:r>
        <w:t xml:space="preserve">- агрегированные причины отклонений.</w:t>
      </w:r>
    </w:p>
    <w:p/>
    <w:p>
      <w:pPr>
        <w:pStyle w:val="Normal"/>
        <w:spacing w:after="120"/>
      </w:pPr>
      <w:r>
        <w:t xml:space="preserve">Партнер не видит:</w:t>
      </w:r>
    </w:p>
    <w:p/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полный risk score;</w:t>
      </w:r>
    </w:p>
    <w:p>
      <w:pPr>
        <w:pStyle w:val="Normal"/>
        <w:spacing w:after="120"/>
      </w:pPr>
      <w:r>
        <w:t xml:space="preserve">- персональные данные игроков;</w:t>
      </w:r>
    </w:p>
    <w:p>
      <w:pPr>
        <w:pStyle w:val="Normal"/>
        <w:spacing w:after="120"/>
      </w:pPr>
      <w:r>
        <w:t xml:space="preserve">- внутренние отчеты команды.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увидит команда OX</w:t>
      </w:r>
    </w:p>
    <w:p/>
    <w:p>
      <w:pPr>
        <w:pStyle w:val="Normal"/>
        <w:spacing w:after="120"/>
      </w:pPr>
      <w:r>
        <w:t xml:space="preserve">Команда OX получает:</w:t>
      </w:r>
    </w:p>
    <w:p/>
    <w:p>
      <w:pPr>
        <w:pStyle w:val="Normal"/>
        <w:spacing w:after="120"/>
      </w:pPr>
      <w:r>
        <w:t xml:space="preserve">- affiliate dashboard;</w:t>
      </w:r>
    </w:p>
    <w:p>
      <w:pPr>
        <w:pStyle w:val="Normal"/>
        <w:spacing w:after="120"/>
      </w:pPr>
      <w:r>
        <w:t xml:space="preserve">- product dashboard;</w:t>
      </w:r>
    </w:p>
    <w:p>
      <w:pPr>
        <w:pStyle w:val="Normal"/>
        <w:spacing w:after="120"/>
      </w:pPr>
      <w:r>
        <w:t xml:space="preserve">- financial dashboard;</w:t>
      </w:r>
    </w:p>
    <w:p>
      <w:pPr>
        <w:pStyle w:val="Normal"/>
        <w:spacing w:after="120"/>
      </w:pPr>
      <w:r>
        <w:t xml:space="preserve">- risk/fraud dashboard;</w:t>
      </w:r>
    </w:p>
    <w:p>
      <w:pPr>
        <w:pStyle w:val="Normal"/>
        <w:spacing w:after="120"/>
      </w:pPr>
      <w:r>
        <w:t xml:space="preserve">- operations dashboard;</w:t>
      </w:r>
    </w:p>
    <w:p>
      <w:pPr>
        <w:pStyle w:val="Normal"/>
        <w:spacing w:after="120"/>
      </w:pPr>
      <w:r>
        <w:t xml:space="preserve">- compliance dashboard.</w:t>
      </w:r>
    </w:p>
    <w:p/>
    <w:p>
      <w:pPr>
        <w:pStyle w:val="Normal"/>
        <w:spacing w:after="120"/>
      </w:pPr>
      <w:r>
        <w:t xml:space="preserve">Это нужно, чтобы управлять продуктом не вслепую.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Итог</w:t>
      </w:r>
    </w:p>
    <w:p/>
    <w:p>
      <w:pPr>
        <w:pStyle w:val="Normal"/>
        <w:spacing w:after="120"/>
      </w:pPr>
      <w:r>
        <w:t xml:space="preserve">Этап 13 фиксирует осторожную модель роста:</w:t>
      </w:r>
    </w:p>
    <w:p/>
    <w:p>
      <w:pPr>
        <w:pStyle w:val="Code"/>
        <w:spacing w:after="120"/>
      </w:pPr>
      <w:r>
        <w:t xml:space="preserve">Сначала считаем экономику, качество трафика и риски.</w:t>
      </w:r>
    </w:p>
    <w:p>
      <w:pPr>
        <w:pStyle w:val="Code"/>
        <w:spacing w:after="120"/>
      </w:pPr>
      <w:r>
        <w:t xml:space="preserve">Потом масштабируем партнерку.</w:t>
      </w:r>
    </w:p>
    <w:p/>
    <w:p>
      <w:pPr>
        <w:pStyle w:val="Normal"/>
        <w:spacing w:after="120"/>
      </w:pPr>
      <w:r>
        <w:t xml:space="preserve">Так OX не покупает рост любой ценой и не ломает главную идею продукта: честность, прозрачность и быстрые выплаты.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</w:rPr>
  </w:style>
  <w:style w:type="paragraph" w:styleId="Title">
    <w:name w:val="Title"/>
    <w:qFormat/>
    <w:rPr>
      <w:b/>
      <w:rFonts w:ascii="Calibri" w:hAnsi="Calibri" w:eastAsia="Calibri" w:cs="Calibri"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 w:eastAsia="Consolas" w:cs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