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spacing w:after="240"/>
      </w:pPr>
      <w:r>
        <w:t xml:space="preserve">OX - Этап 13. Пояснительная записка</w:t>
      </w:r>
    </w:p>
    <w:p/>
    <w:p>
      <w:pPr>
        <w:pStyle w:val="Heading1"/>
        <w:spacing w:after="120"/>
      </w:pPr>
      <w:r>
        <w:t xml:space="preserve">Партнерка и аналитика</w:t>
      </w:r>
    </w:p>
    <w:p/>
    <w:p>
      <w:pPr>
        <w:pStyle w:val="Normal"/>
        <w:spacing w:after="120"/>
      </w:pPr>
      <w:r>
        <w:t xml:space="preserve">Дата: 10.06.2026  </w:t>
      </w:r>
    </w:p>
    <w:p>
      <w:pPr>
        <w:pStyle w:val="Normal"/>
        <w:spacing w:after="120"/>
      </w:pPr>
      <w:r>
        <w:t xml:space="preserve">Версия: v2  </w:t>
      </w:r>
    </w:p>
    <w:p>
      <w:pPr>
        <w:pStyle w:val="Normal"/>
        <w:spacing w:after="120"/>
      </w:pPr>
      <w:r>
        <w:t xml:space="preserve">Статус: для согласования после анализа внешних замечаний  </w:t>
      </w:r>
    </w:p>
    <w:p>
      <w:pPr>
        <w:pStyle w:val="Normal"/>
        <w:spacing w:after="120"/>
      </w:pPr>
      <w:r>
        <w:t xml:space="preserve">Проект: OX, спортивный экспресс  </w:t>
      </w:r>
    </w:p>
    <w:p>
      <w:pPr>
        <w:pStyle w:val="Normal"/>
        <w:spacing w:after="120"/>
      </w:pPr>
      <w:r>
        <w:t xml:space="preserve">Девиз: Честно. Прозрачно. Мгновенно.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Коротко о смысле этапа</w:t>
      </w:r>
    </w:p>
    <w:p/>
    <w:p>
      <w:pPr>
        <w:pStyle w:val="Normal"/>
        <w:spacing w:after="120"/>
      </w:pPr>
      <w:r>
        <w:t xml:space="preserve">На этом этапе мы добавляем в OX не новую механику игры, а систему роста и измерения бизнеса:</w:t>
      </w:r>
    </w:p>
    <w:p/>
    <w:p>
      <w:pPr>
        <w:pStyle w:val="Normal"/>
        <w:spacing w:after="120"/>
      </w:pPr>
      <w:r>
        <w:t xml:space="preserve">- партнерскую программу;</w:t>
      </w:r>
    </w:p>
    <w:p>
      <w:pPr>
        <w:pStyle w:val="Normal"/>
        <w:spacing w:after="120"/>
      </w:pPr>
      <w:r>
        <w:t xml:space="preserve">- реферальные ссылки;</w:t>
      </w:r>
    </w:p>
    <w:p>
      <w:pPr>
        <w:pStyle w:val="Normal"/>
        <w:spacing w:after="120"/>
      </w:pPr>
      <w:r>
        <w:t xml:space="preserve">- правила CPA и RevShare;</w:t>
      </w:r>
    </w:p>
    <w:p>
      <w:pPr>
        <w:pStyle w:val="Normal"/>
        <w:spacing w:after="120"/>
      </w:pPr>
      <w:r>
        <w:t xml:space="preserve">- защиту от мошеннического трафика;</w:t>
      </w:r>
    </w:p>
    <w:p>
      <w:pPr>
        <w:pStyle w:val="Normal"/>
        <w:spacing w:after="120"/>
      </w:pPr>
      <w:r>
        <w:t xml:space="preserve">- продуктовую и финансовую аналитику;</w:t>
      </w:r>
    </w:p>
    <w:p>
      <w:pPr>
        <w:pStyle w:val="Normal"/>
        <w:spacing w:after="120"/>
      </w:pPr>
      <w:r>
        <w:t xml:space="preserve">- отчеты и дашборды;</w:t>
      </w:r>
    </w:p>
    <w:p>
      <w:pPr>
        <w:pStyle w:val="Normal"/>
        <w:spacing w:after="120"/>
      </w:pPr>
      <w:r>
        <w:t xml:space="preserve">- учет операционных расходов.</w:t>
      </w:r>
    </w:p>
    <w:p/>
    <w:p>
      <w:pPr>
        <w:pStyle w:val="Normal"/>
        <w:spacing w:after="120"/>
      </w:pPr>
      <w:r>
        <w:t xml:space="preserve">Уточнение:</w:t>
      </w:r>
    </w:p>
    <w:p/>
    <w:p>
      <w:pPr>
        <w:pStyle w:val="Code"/>
        <w:spacing w:after="120"/>
      </w:pPr>
      <w:r>
        <w:t xml:space="preserve">Этап 13 описывает целевую архитектуру партнерки и аналитики.</w:t>
      </w:r>
    </w:p>
    <w:p>
      <w:pPr>
        <w:pStyle w:val="Code"/>
        <w:spacing w:after="120"/>
      </w:pPr>
      <w:r>
        <w:t xml:space="preserve">Для первого релиза партнерского модуля достаточно базовой атрибуции, CPA и отчетов.</w:t>
      </w:r>
    </w:p>
    <w:p/>
    <w:p>
      <w:pPr>
        <w:pStyle w:val="Normal"/>
        <w:spacing w:after="120"/>
      </w:pPr>
      <w:r>
        <w:t xml:space="preserve">Главная мысль:</w:t>
      </w:r>
    </w:p>
    <w:p/>
    <w:p>
      <w:pPr>
        <w:pStyle w:val="Code"/>
        <w:spacing w:after="120"/>
      </w:pPr>
      <w:r>
        <w:t xml:space="preserve">Партнерка должна приводить разрешенный честный трафик,</w:t>
      </w:r>
    </w:p>
    <w:p>
      <w:pPr>
        <w:pStyle w:val="Code"/>
        <w:spacing w:after="120"/>
      </w:pPr>
      <w:r>
        <w:t xml:space="preserve">а аналитика должна показывать реальную экономику продукта.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важно зафиксировать</w:t>
      </w:r>
    </w:p>
    <w:p/>
    <w:p>
      <w:pPr>
        <w:pStyle w:val="Normal"/>
        <w:spacing w:after="120"/>
      </w:pPr>
      <w:r>
        <w:t xml:space="preserve">Партнерские выплаты не должны идти из призового фонда.</w:t>
      </w:r>
    </w:p>
    <w:p/>
    <w:p>
      <w:pPr>
        <w:pStyle w:val="Normal"/>
        <w:spacing w:after="120"/>
      </w:pPr>
      <w:r>
        <w:t xml:space="preserve">Призовой фонд, jackpot и выплаты игрокам остаются отдельной логикой. Партнерская программа оплачивается из маркетингового бюджета и учитывается как операционный расход.</w:t>
      </w:r>
    </w:p>
    <w:p/>
    <w:p>
      <w:pPr>
        <w:pStyle w:val="Normal"/>
        <w:spacing w:after="120"/>
      </w:pPr>
      <w:r>
        <w:t xml:space="preserve">Это защищает доверие:</w:t>
      </w:r>
    </w:p>
    <w:p/>
    <w:p>
      <w:pPr>
        <w:pStyle w:val="Normal"/>
        <w:spacing w:after="120"/>
      </w:pPr>
      <w:r>
        <w:t xml:space="preserve">- победители получают выплаты по правилам тиража;</w:t>
      </w:r>
    </w:p>
    <w:p>
      <w:pPr>
        <w:pStyle w:val="Normal"/>
        <w:spacing w:after="120"/>
      </w:pPr>
      <w:r>
        <w:t xml:space="preserve">- партнеры получают оплату по отдельному отчету;</w:t>
      </w:r>
    </w:p>
    <w:p>
      <w:pPr>
        <w:pStyle w:val="Normal"/>
        <w:spacing w:after="120"/>
      </w:pPr>
      <w:r>
        <w:t xml:space="preserve">- смарт-контракты не усложняются партнерскими условиями;</w:t>
      </w:r>
    </w:p>
    <w:p>
      <w:pPr>
        <w:pStyle w:val="Normal"/>
        <w:spacing w:after="120"/>
      </w:pPr>
      <w:r>
        <w:t xml:space="preserve">- финансовая модель остается прозрачной.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CPA</w:t>
      </w:r>
    </w:p>
    <w:p/>
    <w:p>
      <w:pPr>
        <w:pStyle w:val="Normal"/>
        <w:spacing w:after="120"/>
      </w:pPr>
      <w:r>
        <w:t xml:space="preserve">CPA - это оплата партнеру за привлеченного засчитанного игрока.</w:t>
      </w:r>
    </w:p>
    <w:p/>
    <w:p>
      <w:pPr>
        <w:pStyle w:val="Normal"/>
        <w:spacing w:after="120"/>
      </w:pPr>
      <w:r>
        <w:t xml:space="preserve">Мы фиксируем:</w:t>
      </w:r>
    </w:p>
    <w:p/>
    <w:p>
      <w:pPr>
        <w:pStyle w:val="Code"/>
        <w:spacing w:after="120"/>
      </w:pPr>
      <w:r>
        <w:t xml:space="preserve">CPA $15 - предварительная гипотеза, а не гарантия.</w:t>
      </w:r>
    </w:p>
    <w:p/>
    <w:p>
      <w:pPr>
        <w:pStyle w:val="Normal"/>
        <w:spacing w:after="120"/>
      </w:pPr>
      <w:r>
        <w:t xml:space="preserve">Эту формулировку сохраняем специально. CPA нельзя превращать в финальную ставку до проверки финансовой модели.</w:t>
      </w:r>
    </w:p>
    <w:p/>
    <w:p>
      <w:pPr>
        <w:pStyle w:val="Normal"/>
        <w:spacing w:after="120"/>
      </w:pPr>
      <w:r>
        <w:t xml:space="preserve">Платить нужно не за клик и не за подключение кошелька, а за qualified player - игрока, который:</w:t>
      </w:r>
    </w:p>
    <w:p/>
    <w:p>
      <w:pPr>
        <w:pStyle w:val="Normal"/>
        <w:spacing w:after="120"/>
      </w:pPr>
      <w:r>
        <w:t xml:space="preserve">- пришел по разрешенной партнерской ссылке;</w:t>
      </w:r>
    </w:p>
    <w:p>
      <w:pPr>
        <w:pStyle w:val="Normal"/>
        <w:spacing w:after="120"/>
      </w:pPr>
      <w:r>
        <w:t xml:space="preserve">- не находится в запрещенной стране;</w:t>
      </w:r>
    </w:p>
    <w:p>
      <w:pPr>
        <w:pStyle w:val="Normal"/>
        <w:spacing w:after="120"/>
      </w:pPr>
      <w:r>
        <w:t xml:space="preserve">- прошел базовую geo/compliance проверку;</w:t>
      </w:r>
    </w:p>
    <w:p>
      <w:pPr>
        <w:pStyle w:val="Normal"/>
        <w:spacing w:after="120"/>
      </w:pPr>
      <w:r>
        <w:t xml:space="preserve">- купил первый валидный билет;</w:t>
      </w:r>
    </w:p>
    <w:p>
      <w:pPr>
        <w:pStyle w:val="Normal"/>
        <w:spacing w:after="120"/>
      </w:pPr>
      <w:r>
        <w:t xml:space="preserve">- не попал под fraud-флаги.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RevShare</w:t>
      </w:r>
    </w:p>
    <w:p/>
    <w:p>
      <w:pPr>
        <w:pStyle w:val="Normal"/>
        <w:spacing w:after="120"/>
      </w:pPr>
      <w:r>
        <w:t xml:space="preserve">RevShare - доля партнера от дохода OX.</w:t>
      </w:r>
    </w:p>
    <w:p/>
    <w:p>
      <w:pPr>
        <w:pStyle w:val="Normal"/>
        <w:spacing w:after="120"/>
      </w:pPr>
      <w:r>
        <w:t xml:space="preserve">Важное ограничение:</w:t>
      </w:r>
    </w:p>
    <w:p/>
    <w:p>
      <w:pPr>
        <w:pStyle w:val="Code"/>
        <w:spacing w:after="120"/>
      </w:pPr>
      <w:r>
        <w:t xml:space="preserve">RevShare считается только от net platform revenue,</w:t>
      </w:r>
    </w:p>
    <w:p>
      <w:pPr>
        <w:pStyle w:val="Code"/>
        <w:spacing w:after="120"/>
      </w:pPr>
      <w:r>
        <w:t xml:space="preserve">а не от призового фонда, jackpot или пользовательских средств.</w:t>
      </w:r>
    </w:p>
    <w:p/>
    <w:p>
      <w:pPr>
        <w:pStyle w:val="Normal"/>
        <w:spacing w:after="120"/>
      </w:pPr>
      <w:r>
        <w:t xml:space="preserve">Для первого релиза партнерского модуля лучше использовать CPA как основную модель, а RevShare включать ограниченно для проверенных партнеров после финансового согласования.</w:t>
      </w:r>
    </w:p>
    <w:p/>
    <w:p>
      <w:pPr>
        <w:pStyle w:val="Normal"/>
        <w:spacing w:after="120"/>
      </w:pPr>
      <w:r>
        <w:t xml:space="preserve">Массовый RevShare не должен быть обязательной частью первого релиза партнерского модуля.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Fraud и комплаенс</w:t>
      </w:r>
    </w:p>
    <w:p/>
    <w:p>
      <w:pPr>
        <w:pStyle w:val="Normal"/>
        <w:spacing w:after="120"/>
      </w:pPr>
      <w:r>
        <w:t xml:space="preserve">Партнерка не должна становиться способом обхода правил.</w:t>
      </w:r>
    </w:p>
    <w:p/>
    <w:p>
      <w:pPr>
        <w:pStyle w:val="Normal"/>
        <w:spacing w:after="120"/>
      </w:pPr>
      <w:r>
        <w:t xml:space="preserve">Запрещено:</w:t>
      </w:r>
    </w:p>
    <w:p/>
    <w:p>
      <w:pPr>
        <w:pStyle w:val="Normal"/>
        <w:spacing w:after="120"/>
      </w:pPr>
      <w:r>
        <w:t xml:space="preserve">- вести трафик из запрещенных стран;</w:t>
      </w:r>
    </w:p>
    <w:p>
      <w:pPr>
        <w:pStyle w:val="Normal"/>
        <w:spacing w:after="120"/>
      </w:pPr>
      <w:r>
        <w:t xml:space="preserve">- обещать гарантированный выигрыш;</w:t>
      </w:r>
    </w:p>
    <w:p>
      <w:pPr>
        <w:pStyle w:val="Normal"/>
        <w:spacing w:after="120"/>
      </w:pPr>
      <w:r>
        <w:t xml:space="preserve">- показывать OX как способ стабильного заработка;</w:t>
      </w:r>
    </w:p>
    <w:p>
      <w:pPr>
        <w:pStyle w:val="Normal"/>
        <w:spacing w:after="120"/>
      </w:pPr>
      <w:r>
        <w:t xml:space="preserve">- таргетироваться на несовершеннолетних;</w:t>
      </w:r>
    </w:p>
    <w:p>
      <w:pPr>
        <w:pStyle w:val="Normal"/>
        <w:spacing w:after="120"/>
      </w:pPr>
      <w:r>
        <w:t xml:space="preserve">- давать инструкции по VPN или обходу geo-blocking;</w:t>
      </w:r>
    </w:p>
    <w:p>
      <w:pPr>
        <w:pStyle w:val="Normal"/>
        <w:spacing w:after="120"/>
      </w:pPr>
      <w:r>
        <w:t xml:space="preserve">- создавать фейковые аккаунты ради CPA.</w:t>
      </w:r>
    </w:p>
    <w:p/>
    <w:p>
      <w:pPr>
        <w:pStyle w:val="Normal"/>
        <w:spacing w:after="120"/>
      </w:pPr>
      <w:r>
        <w:t xml:space="preserve">Если партнер нарушает правила, его кампанию можно остановить, начисления поставить на проверку или отклонить.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Аналитика</w:t>
      </w:r>
    </w:p>
    <w:p/>
    <w:p>
      <w:pPr>
        <w:pStyle w:val="Normal"/>
        <w:spacing w:after="120"/>
      </w:pPr>
      <w:r>
        <w:t xml:space="preserve">Аналитика нужна для ответов на практические вопросы:</w:t>
      </w:r>
    </w:p>
    <w:p/>
    <w:p>
      <w:pPr>
        <w:pStyle w:val="Normal"/>
        <w:spacing w:after="120"/>
      </w:pPr>
      <w:r>
        <w:t xml:space="preserve">- сколько людей пришло;</w:t>
      </w:r>
    </w:p>
    <w:p>
      <w:pPr>
        <w:pStyle w:val="Normal"/>
        <w:spacing w:after="120"/>
      </w:pPr>
      <w:r>
        <w:t xml:space="preserve">- сколько подключили кошелек;</w:t>
      </w:r>
    </w:p>
    <w:p>
      <w:pPr>
        <w:pStyle w:val="Normal"/>
        <w:spacing w:after="120"/>
      </w:pPr>
      <w:r>
        <w:t xml:space="preserve">- сколько купили первый билет;</w:t>
      </w:r>
    </w:p>
    <w:p>
      <w:pPr>
        <w:pStyle w:val="Normal"/>
        <w:spacing w:after="120"/>
      </w:pPr>
      <w:r>
        <w:t xml:space="preserve">- сколько покупают повторно;</w:t>
      </w:r>
    </w:p>
    <w:p>
      <w:pPr>
        <w:pStyle w:val="Normal"/>
        <w:spacing w:after="120"/>
      </w:pPr>
      <w:r>
        <w:t xml:space="preserve">- сколько стоит привлеченный игрок;</w:t>
      </w:r>
    </w:p>
    <w:p>
      <w:pPr>
        <w:pStyle w:val="Normal"/>
        <w:spacing w:after="120"/>
      </w:pPr>
      <w:r>
        <w:t xml:space="preserve">- окупается ли партнер;</w:t>
      </w:r>
    </w:p>
    <w:p>
      <w:pPr>
        <w:pStyle w:val="Normal"/>
        <w:spacing w:after="120"/>
      </w:pPr>
      <w:r>
        <w:t xml:space="preserve">- сколько стоят API, оракул, серверы, мониторинг и gas reserve;</w:t>
      </w:r>
    </w:p>
    <w:p>
      <w:pPr>
        <w:pStyle w:val="Normal"/>
        <w:spacing w:after="120"/>
      </w:pPr>
      <w:r>
        <w:t xml:space="preserve">- где появляются fraud и комплаенс-риски.</w:t>
      </w:r>
    </w:p>
    <w:p/>
    <w:p>
      <w:pPr>
        <w:pStyle w:val="Normal"/>
        <w:spacing w:after="120"/>
      </w:pPr>
      <w:r>
        <w:t xml:space="preserve">При этом нельзя собирать лишние персональные данные и нельзя отдавать партнеру KYC/AML детали.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увидит партнер</w:t>
      </w:r>
    </w:p>
    <w:p/>
    <w:p>
      <w:pPr>
        <w:pStyle w:val="Normal"/>
        <w:spacing w:after="120"/>
      </w:pPr>
      <w:r>
        <w:t xml:space="preserve">На первом шаге партнер может получать агрегированный отчет без полноценного внешнего кабинета.</w:t>
      </w:r>
    </w:p>
    <w:p/>
    <w:p>
      <w:pPr>
        <w:pStyle w:val="Normal"/>
        <w:spacing w:after="120"/>
      </w:pPr>
      <w:r>
        <w:t xml:space="preserve">Полноценный партнерский кабинет показывает:</w:t>
      </w:r>
    </w:p>
    <w:p/>
    <w:p>
      <w:pPr>
        <w:pStyle w:val="Normal"/>
        <w:spacing w:after="120"/>
      </w:pPr>
      <w:r>
        <w:t xml:space="preserve">- ссылки;</w:t>
      </w:r>
    </w:p>
    <w:p>
      <w:pPr>
        <w:pStyle w:val="Normal"/>
        <w:spacing w:after="120"/>
      </w:pPr>
      <w:r>
        <w:t xml:space="preserve">- кампании;</w:t>
      </w:r>
    </w:p>
    <w:p>
      <w:pPr>
        <w:pStyle w:val="Normal"/>
        <w:spacing w:after="120"/>
      </w:pPr>
      <w:r>
        <w:t xml:space="preserve">- клики;</w:t>
      </w:r>
    </w:p>
    <w:p>
      <w:pPr>
        <w:pStyle w:val="Normal"/>
        <w:spacing w:after="120"/>
      </w:pPr>
      <w:r>
        <w:t xml:space="preserve">- подключения кошелька;</w:t>
      </w:r>
    </w:p>
    <w:p>
      <w:pPr>
        <w:pStyle w:val="Normal"/>
        <w:spacing w:after="120"/>
      </w:pPr>
      <w:r>
        <w:t xml:space="preserve">- первые валидные покупки;</w:t>
      </w:r>
    </w:p>
    <w:p>
      <w:pPr>
        <w:pStyle w:val="Normal"/>
        <w:spacing w:after="120"/>
      </w:pPr>
      <w:r>
        <w:t xml:space="preserve">- qualified players;</w:t>
      </w:r>
    </w:p>
    <w:p>
      <w:pPr>
        <w:pStyle w:val="Normal"/>
        <w:spacing w:after="120"/>
      </w:pPr>
      <w:r>
        <w:t xml:space="preserve">- pending/approved/rejected комиссии;</w:t>
      </w:r>
    </w:p>
    <w:p>
      <w:pPr>
        <w:pStyle w:val="Normal"/>
        <w:spacing w:after="120"/>
      </w:pPr>
      <w:r>
        <w:t xml:space="preserve">- статус выплаты;</w:t>
      </w:r>
    </w:p>
    <w:p>
      <w:pPr>
        <w:pStyle w:val="Normal"/>
        <w:spacing w:after="120"/>
      </w:pPr>
      <w:r>
        <w:t xml:space="preserve">- агрегированные причины отклонений.</w:t>
      </w:r>
    </w:p>
    <w:p/>
    <w:p>
      <w:pPr>
        <w:pStyle w:val="Normal"/>
        <w:spacing w:after="120"/>
      </w:pPr>
      <w:r>
        <w:t xml:space="preserve">Партнер не видит:</w:t>
      </w:r>
    </w:p>
    <w:p/>
    <w:p>
      <w:pPr>
        <w:pStyle w:val="Normal"/>
        <w:spacing w:after="120"/>
      </w:pPr>
      <w:r>
        <w:t xml:space="preserve">- KYC-данные;</w:t>
      </w:r>
    </w:p>
    <w:p>
      <w:pPr>
        <w:pStyle w:val="Normal"/>
        <w:spacing w:after="120"/>
      </w:pPr>
      <w:r>
        <w:t xml:space="preserve">- AML-данные;</w:t>
      </w:r>
    </w:p>
    <w:p>
      <w:pPr>
        <w:pStyle w:val="Normal"/>
        <w:spacing w:after="120"/>
      </w:pPr>
      <w:r>
        <w:t xml:space="preserve">- полный risk score;</w:t>
      </w:r>
    </w:p>
    <w:p>
      <w:pPr>
        <w:pStyle w:val="Normal"/>
        <w:spacing w:after="120"/>
      </w:pPr>
      <w:r>
        <w:t xml:space="preserve">- персональные данные игроков;</w:t>
      </w:r>
    </w:p>
    <w:p>
      <w:pPr>
        <w:pStyle w:val="Normal"/>
        <w:spacing w:after="120"/>
      </w:pPr>
      <w:r>
        <w:t xml:space="preserve">- внутренние отчеты команды.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Что увидит команда OX</w:t>
      </w:r>
    </w:p>
    <w:p/>
    <w:p>
      <w:pPr>
        <w:pStyle w:val="Normal"/>
        <w:spacing w:after="120"/>
      </w:pPr>
      <w:r>
        <w:t xml:space="preserve">Команда OX получает:</w:t>
      </w:r>
    </w:p>
    <w:p/>
    <w:p>
      <w:pPr>
        <w:pStyle w:val="Normal"/>
        <w:spacing w:after="120"/>
      </w:pPr>
      <w:r>
        <w:t xml:space="preserve">- affiliate dashboard;</w:t>
      </w:r>
    </w:p>
    <w:p>
      <w:pPr>
        <w:pStyle w:val="Normal"/>
        <w:spacing w:after="120"/>
      </w:pPr>
      <w:r>
        <w:t xml:space="preserve">- product dashboard;</w:t>
      </w:r>
    </w:p>
    <w:p>
      <w:pPr>
        <w:pStyle w:val="Normal"/>
        <w:spacing w:after="120"/>
      </w:pPr>
      <w:r>
        <w:t xml:space="preserve">- financial dashboard;</w:t>
      </w:r>
    </w:p>
    <w:p>
      <w:pPr>
        <w:pStyle w:val="Normal"/>
        <w:spacing w:after="120"/>
      </w:pPr>
      <w:r>
        <w:t xml:space="preserve">- risk/fraud dashboard;</w:t>
      </w:r>
    </w:p>
    <w:p>
      <w:pPr>
        <w:pStyle w:val="Normal"/>
        <w:spacing w:after="120"/>
      </w:pPr>
      <w:r>
        <w:t xml:space="preserve">- operations dashboard;</w:t>
      </w:r>
    </w:p>
    <w:p>
      <w:pPr>
        <w:pStyle w:val="Normal"/>
        <w:spacing w:after="120"/>
      </w:pPr>
      <w:r>
        <w:t xml:space="preserve">- compliance dashboard.</w:t>
      </w:r>
    </w:p>
    <w:p/>
    <w:p>
      <w:pPr>
        <w:pStyle w:val="Normal"/>
        <w:spacing w:after="120"/>
      </w:pPr>
      <w:r>
        <w:t xml:space="preserve">Это нужно, чтобы управлять продуктом не вслепую.</w:t>
      </w:r>
    </w:p>
    <w:p/>
    <w:p>
      <w:pPr>
        <w:pBdr>
          <w:bottom w:val="single" w:sz="6" w:space="1" w:color="BFBFBF"/>
        </w:pBdr>
        <w:spacing w:after="180"/>
      </w:pPr>
    </w:p>
    <w:p/>
    <w:p>
      <w:pPr>
        <w:pStyle w:val="Heading1"/>
        <w:spacing w:after="120"/>
      </w:pPr>
      <w:r>
        <w:t xml:space="preserve">Итог</w:t>
      </w:r>
    </w:p>
    <w:p/>
    <w:p>
      <w:pPr>
        <w:pStyle w:val="Normal"/>
        <w:spacing w:after="120"/>
      </w:pPr>
      <w:r>
        <w:t xml:space="preserve">Этап 13 фиксирует осторожную модель роста:</w:t>
      </w:r>
    </w:p>
    <w:p/>
    <w:p>
      <w:pPr>
        <w:pStyle w:val="Code"/>
        <w:spacing w:after="120"/>
      </w:pPr>
      <w:r>
        <w:t xml:space="preserve">Сначала считаем экономику, качество трафика и риски.</w:t>
      </w:r>
    </w:p>
    <w:p>
      <w:pPr>
        <w:pStyle w:val="Code"/>
        <w:spacing w:after="120"/>
      </w:pPr>
      <w:r>
        <w:t xml:space="preserve">Потом масштабируем партнерку.</w:t>
      </w:r>
    </w:p>
    <w:p/>
    <w:p>
      <w:pPr>
        <w:pStyle w:val="Normal"/>
        <w:spacing w:after="120"/>
      </w:pPr>
      <w:r>
        <w:t xml:space="preserve">Так OX не покупает рост любой ценой и не ломает главную идею продукта: честность, прозрачность и быстрые выплаты.</w:t>
      </w:r>
    </w:p>
    <w:p/>
    <w:p>
      <w:pPr>
        <w:pStyle w:val="Normal"/>
        <w:spacing w:after="120"/>
      </w:pPr>
      <w:r>
        <w:t xml:space="preserve">После внешнего анализа принимаем только полезные уточнения: разделение core-MVP и партнерского релиза, ограничение RevShare, связь с этапами 10-12 и защиту от дублирования. Не принимаем идею объявить документ финально согласованным и не убираем открытые вопросы, которые должны подтвердить Finance, Legal и Founder.</w:t>
      </w:r>
    </w:p>
    <w:p/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rPr>
      <w:b/>
      <w:sz w:val="36"/>
    </w:rPr>
  </w:style>
  <w:style w:type="paragraph" w:styleId="Heading1">
    <w:name w:val="heading 1"/>
    <w:basedOn w:val="Normal"/>
    <w:qFormat/>
    <w:rPr>
      <w:b/>
      <w:sz w:val="30"/>
    </w:rPr>
  </w:style>
  <w:style w:type="paragraph" w:styleId="Heading2">
    <w:name w:val="heading 2"/>
    <w:basedOn w:val="Normal"/>
    <w:qFormat/>
    <w:rPr>
      <w:b/>
      <w:sz w:val="26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Code">
    <w:name w:val="Code"/>
    <w:basedOn w:val="Normal"/>
    <w:rPr>
      <w:rFonts w:ascii="Consolas" w:hAnsi="Consolas"/>
      <w:sz w:val="20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