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15. Документ для согласования</w:t>
      </w:r>
    </w:p>
    <w:p/>
    <w:p>
      <w:pPr>
        <w:pStyle w:val="Heading1"/>
        <w:spacing w:after="120"/>
      </w:pPr>
      <w:r>
        <w:t xml:space="preserve">Дорожная карта и задачи разработки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решения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Что нужно согласовать</w:t>
      </w:r>
    </w:p>
    <w:p/>
    <w:p>
      <w:pPr>
        <w:pStyle w:val="Normal"/>
        <w:spacing w:after="120"/>
      </w:pPr>
      <w:r>
        <w:t xml:space="preserve">Этот документ выделяет решения по дорожной карте разработки OX:</w:t>
      </w:r>
    </w:p>
    <w:p/>
    <w:p>
      <w:pPr>
        <w:pStyle w:val="Normal"/>
        <w:spacing w:after="120"/>
      </w:pPr>
      <w:r>
        <w:t xml:space="preserve">- что входит в MVP;</w:t>
      </w:r>
    </w:p>
    <w:p>
      <w:pPr>
        <w:pStyle w:val="Normal"/>
        <w:spacing w:after="120"/>
      </w:pPr>
      <w:r>
        <w:t xml:space="preserve">- что переносится после MVP;</w:t>
      </w:r>
    </w:p>
    <w:p>
      <w:pPr>
        <w:pStyle w:val="Normal"/>
        <w:spacing w:after="120"/>
      </w:pPr>
      <w:r>
        <w:t xml:space="preserve">- в каком порядке вести разработку;</w:t>
      </w:r>
    </w:p>
    <w:p>
      <w:pPr>
        <w:pStyle w:val="Normal"/>
        <w:spacing w:after="120"/>
      </w:pPr>
      <w:r>
        <w:t xml:space="preserve">- какие зависимости критичны;</w:t>
      </w:r>
    </w:p>
    <w:p>
      <w:pPr>
        <w:pStyle w:val="Normal"/>
        <w:spacing w:after="120"/>
      </w:pPr>
      <w:r>
        <w:t xml:space="preserve">- как оценивать готовность;</w:t>
      </w:r>
    </w:p>
    <w:p>
      <w:pPr>
        <w:pStyle w:val="Normal"/>
        <w:spacing w:after="120"/>
      </w:pPr>
      <w:r>
        <w:t xml:space="preserve">- где место DEX/listing/token направления.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Главные решения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начинается с Суперэкспресс 15.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Это стартовый продукт.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Мегаэкспресс 16 переносится после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Снижает сложность запуска.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Base + native USDC остаются стартовой связкой.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Соответствует предыдущим этапам.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Smart contracts и backend core идут первыми.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них нельзя проверить полный цикл.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Admin panel входит в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админки нельзя безопасно управлять запуском.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attribution можно делать после core launch.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первый продукт.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Chainlink CRE - post-MVP направление.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не зависит от CRE.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DEX/listing/token не входит в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Убирает юридический и security риск.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только после security gate.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с этапом 14.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6-9 месяцев до limited mainnet launch - ориентир, не обещание.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гипотезу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Зависит от команды, аудита и legal.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MVP scope</w:t>
      </w:r>
    </w:p>
    <w:p/>
    <w:p>
      <w:pPr>
        <w:pStyle w:val="Normal"/>
        <w:spacing w:after="120"/>
      </w:pPr>
      <w:r>
        <w:t xml:space="preserve">В MVP входит:</w:t>
      </w:r>
    </w:p>
    <w:p/>
    <w:p>
      <w:pPr>
        <w:pStyle w:val="Normal"/>
        <w:spacing w:after="120"/>
      </w:pPr>
      <w:r>
        <w:t xml:space="preserve">- Суперэкспресс 15;</w:t>
      </w:r>
    </w:p>
    <w:p>
      <w:pPr>
        <w:pStyle w:val="Normal"/>
        <w:spacing w:after="120"/>
      </w:pPr>
      <w:r>
        <w:t xml:space="preserve">- футбол;</w:t>
      </w:r>
    </w:p>
    <w:p>
      <w:pPr>
        <w:pStyle w:val="Normal"/>
        <w:spacing w:after="120"/>
      </w:pPr>
      <w:r>
        <w:t xml:space="preserve">- 1/X/2;</w:t>
      </w:r>
    </w:p>
    <w:p>
      <w:pPr>
        <w:pStyle w:val="Normal"/>
        <w:spacing w:after="120"/>
      </w:pPr>
      <w:r>
        <w:t xml:space="preserve">- одиночные и системные билеты;</w:t>
      </w:r>
    </w:p>
    <w:p>
      <w:pPr>
        <w:pStyle w:val="Normal"/>
        <w:spacing w:after="120"/>
      </w:pPr>
      <w:r>
        <w:t xml:space="preserve">- Base;</w:t>
      </w:r>
    </w:p>
    <w:p>
      <w:pPr>
        <w:pStyle w:val="Normal"/>
        <w:spacing w:after="120"/>
      </w:pPr>
      <w:r>
        <w:t xml:space="preserve">- native USDC;</w:t>
      </w:r>
    </w:p>
    <w:p>
      <w:pPr>
        <w:pStyle w:val="Normal"/>
        <w:spacing w:after="120"/>
      </w:pPr>
      <w:r>
        <w:t xml:space="preserve">- dynamic comboPrice до Open;</w:t>
      </w:r>
    </w:p>
    <w:p>
      <w:pPr>
        <w:pStyle w:val="Normal"/>
        <w:spacing w:after="120"/>
      </w:pPr>
      <w:r>
        <w:t xml:space="preserve">- лимиты;</w:t>
      </w:r>
    </w:p>
    <w:p>
      <w:pPr>
        <w:pStyle w:val="Normal"/>
        <w:spacing w:after="120"/>
      </w:pPr>
      <w:r>
        <w:t xml:space="preserve">- server result aggregator;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appeal window;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sponsored claims;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backup;</w:t>
      </w:r>
    </w:p>
    <w:p>
      <w:pPr>
        <w:pStyle w:val="Normal"/>
        <w:spacing w:after="120"/>
      </w:pPr>
      <w:r>
        <w:t xml:space="preserve">- security gate;</w:t>
      </w:r>
    </w:p>
    <w:p>
      <w:pPr>
        <w:pStyle w:val="Normal"/>
        <w:spacing w:after="120"/>
      </w:pPr>
      <w:r>
        <w:t xml:space="preserve">- external audit.</w:t>
      </w:r>
    </w:p>
    <w:p/>
    <w:p>
      <w:pPr>
        <w:pStyle w:val="Normal"/>
        <w:spacing w:after="120"/>
      </w:pPr>
      <w:r>
        <w:t xml:space="preserve">В MVP не входит:</w:t>
      </w:r>
    </w:p>
    <w:p/>
    <w:p>
      <w:pPr>
        <w:pStyle w:val="Normal"/>
        <w:spacing w:after="120"/>
      </w:pPr>
      <w:r>
        <w:t xml:space="preserve">- Мегаэкспресс 16;</w:t>
      </w:r>
    </w:p>
    <w:p>
      <w:pPr>
        <w:pStyle w:val="Normal"/>
        <w:spacing w:after="120"/>
      </w:pPr>
      <w:r>
        <w:t xml:space="preserve">- токен OX;</w:t>
      </w:r>
    </w:p>
    <w:p>
      <w:pPr>
        <w:pStyle w:val="Normal"/>
        <w:spacing w:after="120"/>
      </w:pPr>
      <w:r>
        <w:t xml:space="preserve">- DEX/listing;</w:t>
      </w:r>
    </w:p>
    <w:p>
      <w:pPr>
        <w:pStyle w:val="Normal"/>
        <w:spacing w:after="120"/>
      </w:pPr>
      <w:r>
        <w:t xml:space="preserve">- Chainlink CRE как production blocker;</w:t>
      </w:r>
    </w:p>
    <w:p>
      <w:pPr>
        <w:pStyle w:val="Normal"/>
        <w:spacing w:after="120"/>
      </w:pPr>
      <w:r>
        <w:t xml:space="preserve">- массовая партнерка;</w:t>
      </w:r>
    </w:p>
    <w:p>
      <w:pPr>
        <w:pStyle w:val="Normal"/>
        <w:spacing w:after="120"/>
      </w:pPr>
      <w:r>
        <w:t xml:space="preserve">- полноценный партнерский кабинет;</w:t>
      </w:r>
    </w:p>
    <w:p>
      <w:pPr>
        <w:pStyle w:val="Normal"/>
        <w:spacing w:after="120"/>
      </w:pPr>
      <w:r>
        <w:t xml:space="preserve">- high-stakes mode;</w:t>
      </w:r>
    </w:p>
    <w:p>
      <w:pPr>
        <w:pStyle w:val="Normal"/>
        <w:spacing w:after="120"/>
      </w:pPr>
      <w:r>
        <w:t xml:space="preserve">- public bug bounty до audit remediation.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Рекомендуемый порядок разработки</w:t>
      </w:r>
    </w:p>
    <w:p/>
    <w:p>
      <w:pPr>
        <w:pStyle w:val="Normal"/>
        <w:spacing w:after="120"/>
      </w:pPr>
      <w:r>
        <w:t xml:space="preserve">1. Product and architecture freeze.</w:t>
      </w:r>
    </w:p>
    <w:p>
      <w:pPr>
        <w:pStyle w:val="Normal"/>
        <w:spacing w:after="120"/>
      </w:pPr>
      <w:r>
        <w:t xml:space="preserve">2. Smart contracts core.</w:t>
      </w:r>
    </w:p>
    <w:p>
      <w:pPr>
        <w:pStyle w:val="Normal"/>
        <w:spacing w:after="120"/>
      </w:pPr>
      <w:r>
        <w:t xml:space="preserve">3. Backend core.</w:t>
      </w:r>
    </w:p>
    <w:p>
      <w:pPr>
        <w:pStyle w:val="Normal"/>
        <w:spacing w:after="120"/>
      </w:pPr>
      <w:r>
        <w:t xml:space="preserve">4. Indexer.</w:t>
      </w:r>
    </w:p>
    <w:p>
      <w:pPr>
        <w:pStyle w:val="Normal"/>
        <w:spacing w:after="120"/>
      </w:pPr>
      <w:r>
        <w:t xml:space="preserve">5. Oracle/result aggregator.</w:t>
      </w:r>
    </w:p>
    <w:p>
      <w:pPr>
        <w:pStyle w:val="Normal"/>
        <w:spacing w:after="120"/>
      </w:pPr>
      <w:r>
        <w:t xml:space="preserve">6. Settlement and payout pipeline.</w:t>
      </w:r>
    </w:p>
    <w:p>
      <w:pPr>
        <w:pStyle w:val="Normal"/>
        <w:spacing w:after="120"/>
      </w:pPr>
      <w:r>
        <w:t xml:space="preserve">7. Admin panel.</w:t>
      </w:r>
    </w:p>
    <w:p>
      <w:pPr>
        <w:pStyle w:val="Normal"/>
        <w:spacing w:after="120"/>
      </w:pPr>
      <w:r>
        <w:t xml:space="preserve">8. User interface.</w:t>
      </w:r>
    </w:p>
    <w:p>
      <w:pPr>
        <w:pStyle w:val="Normal"/>
        <w:spacing w:after="120"/>
      </w:pPr>
      <w:r>
        <w:t xml:space="preserve">9. Operations/compliance.</w:t>
      </w:r>
    </w:p>
    <w:p>
      <w:pPr>
        <w:pStyle w:val="Normal"/>
        <w:spacing w:after="120"/>
      </w:pPr>
      <w:r>
        <w:t xml:space="preserve">10. Security gate.</w:t>
      </w:r>
    </w:p>
    <w:p>
      <w:pPr>
        <w:pStyle w:val="Normal"/>
        <w:spacing w:after="120"/>
      </w:pPr>
      <w:r>
        <w:t xml:space="preserve">11. Limited mainnet launch.</w:t>
      </w:r>
    </w:p>
    <w:p>
      <w:pPr>
        <w:pStyle w:val="Normal"/>
        <w:spacing w:after="120"/>
      </w:pPr>
      <w:r>
        <w:t xml:space="preserve">12. Post-MVP expansion.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Оценка сроков</w:t>
      </w:r>
    </w:p>
    <w:p/>
    <w:p>
      <w:pPr>
        <w:pStyle w:val="Normal"/>
        <w:spacing w:after="120"/>
      </w:pPr>
      <w:r>
        <w:t xml:space="preserve">Предварительный ориентир: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Цель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Оценка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testnet-ready MVP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4-6 месяцев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limited mainnet launch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6-9 месяцев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stabilization после запуска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2-4 недели</w:t>
            </w:r>
          </w:p>
        </w:tc>
      </w:tr>
    </w:tbl>
    <w:p/>
    <w:p>
      <w:pPr>
        <w:pStyle w:val="Normal"/>
        <w:spacing w:after="120"/>
      </w:pPr>
      <w:r>
        <w:t xml:space="preserve">Это не финальный график. Финальный план зависит от:</w:t>
      </w:r>
    </w:p>
    <w:p/>
    <w:p>
      <w:pPr>
        <w:pStyle w:val="Normal"/>
        <w:spacing w:after="120"/>
      </w:pPr>
      <w:r>
        <w:t xml:space="preserve">- размера команды;</w:t>
      </w:r>
    </w:p>
    <w:p>
      <w:pPr>
        <w:pStyle w:val="Normal"/>
        <w:spacing w:after="120"/>
      </w:pPr>
      <w:r>
        <w:t xml:space="preserve">- audit slot;</w:t>
      </w:r>
    </w:p>
    <w:p>
      <w:pPr>
        <w:pStyle w:val="Normal"/>
        <w:spacing w:after="120"/>
      </w:pPr>
      <w:r>
        <w:t xml:space="preserve">- legal review;</w:t>
      </w:r>
    </w:p>
    <w:p>
      <w:pPr>
        <w:pStyle w:val="Normal"/>
        <w:spacing w:after="120"/>
      </w:pPr>
      <w:r>
        <w:t xml:space="preserve">- oracle providers;</w:t>
      </w:r>
    </w:p>
    <w:p>
      <w:pPr>
        <w:pStyle w:val="Normal"/>
        <w:spacing w:after="120"/>
      </w:pPr>
      <w:r>
        <w:t xml:space="preserve">- инфраструктуры;</w:t>
      </w:r>
    </w:p>
    <w:p>
      <w:pPr>
        <w:pStyle w:val="Normal"/>
        <w:spacing w:after="120"/>
      </w:pPr>
      <w:r>
        <w:t xml:space="preserve">- сложности UI/admin.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Post-MVP</w:t>
      </w:r>
    </w:p>
    <w:p/>
    <w:p>
      <w:pPr>
        <w:pStyle w:val="Normal"/>
        <w:spacing w:after="120"/>
      </w:pPr>
      <w:r>
        <w:t xml:space="preserve">После MVP:</w:t>
      </w:r>
    </w:p>
    <w:p/>
    <w:p>
      <w:pPr>
        <w:pStyle w:val="Normal"/>
        <w:spacing w:after="120"/>
      </w:pPr>
      <w:r>
        <w:t xml:space="preserve">- Мегаэкспресс 16;</w:t>
      </w:r>
    </w:p>
    <w:p>
      <w:pPr>
        <w:pStyle w:val="Normal"/>
        <w:spacing w:after="120"/>
      </w:pPr>
      <w:r>
        <w:t xml:space="preserve">- Chainlink CRE;</w:t>
      </w:r>
    </w:p>
    <w:p>
      <w:pPr>
        <w:pStyle w:val="Normal"/>
        <w:spacing w:after="120"/>
      </w:pPr>
      <w:r>
        <w:t xml:space="preserve">- Cron event selection;</w:t>
      </w:r>
    </w:p>
    <w:p>
      <w:pPr>
        <w:pStyle w:val="Normal"/>
        <w:spacing w:after="120"/>
      </w:pPr>
      <w:r>
        <w:t xml:space="preserve">- партнерский кабинет;</w:t>
      </w:r>
    </w:p>
    <w:p>
      <w:pPr>
        <w:pStyle w:val="Normal"/>
        <w:spacing w:after="120"/>
      </w:pPr>
      <w:r>
        <w:t xml:space="preserve">- RevShare;</w:t>
      </w:r>
    </w:p>
    <w:p>
      <w:pPr>
        <w:pStyle w:val="Normal"/>
        <w:spacing w:after="120"/>
      </w:pPr>
      <w:r>
        <w:t xml:space="preserve">- новые страны;</w:t>
      </w:r>
    </w:p>
    <w:p>
      <w:pPr>
        <w:pStyle w:val="Normal"/>
        <w:spacing w:after="120"/>
      </w:pPr>
      <w:r>
        <w:t xml:space="preserve">- новые языки;</w:t>
      </w:r>
    </w:p>
    <w:p>
      <w:pPr>
        <w:pStyle w:val="Normal"/>
        <w:spacing w:after="120"/>
      </w:pPr>
      <w:r>
        <w:t xml:space="preserve">- high-stakes mode;</w:t>
      </w:r>
    </w:p>
    <w:p>
      <w:pPr>
        <w:pStyle w:val="Normal"/>
        <w:spacing w:after="120"/>
      </w:pPr>
      <w:r>
        <w:t xml:space="preserve">- public bug bounty;</w:t>
      </w:r>
    </w:p>
    <w:p>
      <w:pPr>
        <w:pStyle w:val="Normal"/>
        <w:spacing w:after="120"/>
      </w:pPr>
      <w:r>
        <w:t xml:space="preserve">- DEX/listing/token.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DEX/listing/token</w:t>
      </w:r>
    </w:p>
    <w:p/>
    <w:p>
      <w:pPr>
        <w:pStyle w:val="Normal"/>
        <w:spacing w:after="120"/>
      </w:pPr>
      <w:r>
        <w:t xml:space="preserve">Решение для согласования:</w:t>
      </w:r>
    </w:p>
    <w:p/>
    <w:p>
      <w:pPr>
        <w:pStyle w:val="Code"/>
        <w:spacing w:after="120"/>
      </w:pPr>
      <w:r>
        <w:t xml:space="preserve">Токен OX, DEX и listing не входят в MVP.</w:t>
      </w:r>
    </w:p>
    <w:p/>
    <w:p>
      <w:pPr>
        <w:pStyle w:val="Normal"/>
        <w:spacing w:after="120"/>
      </w:pPr>
      <w:r>
        <w:t xml:space="preserve">Причина:</w:t>
      </w:r>
    </w:p>
    <w:p/>
    <w:p>
      <w:pPr>
        <w:pStyle w:val="Normal"/>
        <w:spacing w:after="120"/>
      </w:pPr>
      <w:r>
        <w:t xml:space="preserve">- юридический риск;</w:t>
      </w:r>
    </w:p>
    <w:p>
      <w:pPr>
        <w:pStyle w:val="Normal"/>
        <w:spacing w:after="120"/>
      </w:pPr>
      <w:r>
        <w:t xml:space="preserve">- security risk;</w:t>
      </w:r>
    </w:p>
    <w:p>
      <w:pPr>
        <w:pStyle w:val="Normal"/>
        <w:spacing w:after="120"/>
      </w:pPr>
      <w:r>
        <w:t xml:space="preserve">- усложнение смарт-контрактов;</w:t>
      </w:r>
    </w:p>
    <w:p>
      <w:pPr>
        <w:pStyle w:val="Normal"/>
        <w:spacing w:after="120"/>
      </w:pPr>
      <w:r>
        <w:t xml:space="preserve">- отвлечение от главного продукта;</w:t>
      </w:r>
    </w:p>
    <w:p>
      <w:pPr>
        <w:pStyle w:val="Normal"/>
        <w:spacing w:after="120"/>
      </w:pPr>
      <w:r>
        <w:t xml:space="preserve">- риск смешать токен с prize pool;</w:t>
      </w:r>
    </w:p>
    <w:p>
      <w:pPr>
        <w:pStyle w:val="Normal"/>
        <w:spacing w:after="120"/>
      </w:pPr>
      <w:r>
        <w:t xml:space="preserve">- токен не нужен для стартовых выплат в USDC.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подтверждает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состав команды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Tech Lead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бюджет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Finance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auditor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Финальные страны запуска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backend stack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Tech Lead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launch date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Product / Tech Lead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Рекомендованный итог</w:t>
      </w:r>
    </w:p>
    <w:p/>
    <w:p>
      <w:pPr>
        <w:pStyle w:val="Normal"/>
        <w:spacing w:after="120"/>
      </w:pPr>
      <w:r>
        <w:t xml:space="preserve">Рекомендованная позиция:</w:t>
      </w:r>
    </w:p>
    <w:p/>
    <w:p>
      <w:pPr>
        <w:pStyle w:val="Code"/>
        <w:spacing w:after="120"/>
      </w:pPr>
      <w:r>
        <w:t xml:space="preserve">Сначала безопасный Суперэкспресс 15.</w:t>
      </w:r>
    </w:p>
    <w:p>
      <w:pPr>
        <w:pStyle w:val="Code"/>
        <w:spacing w:after="120"/>
      </w:pPr>
      <w:r>
        <w:t xml:space="preserve">Потом масштабирование, партнерка, CRE, новые продукты и token direction.</w:t>
      </w:r>
    </w:p>
    <w:p/>
    <w:p>
      <w:pPr>
        <w:pStyle w:val="Normal"/>
        <w:spacing w:after="120"/>
      </w:pPr>
      <w:r>
        <w:t xml:space="preserve">Так OX получает шанс запуститься без перегруза и без преждевременного юридического риска.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