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- Этап 15. Документ для согласования</w:t>
      </w:r>
    </w:p>
    <w:p/>
    <w:p>
      <w:pPr>
        <w:pStyle w:val="Heading1"/>
      </w:pPr>
      <w:r>
        <w:t xml:space="preserve">Дорожная карта и задачи разработки</w:t>
      </w:r>
    </w:p>
    <w:p/>
    <w:p>
      <w:r>
        <w:t xml:space="preserve">Дата: 10.06.2026  </w:t>
      </w:r>
    </w:p>
    <w:p>
      <w:r>
        <w:t xml:space="preserve">Версия: v2  </w:t>
      </w:r>
    </w:p>
    <w:p>
      <w:r>
        <w:t xml:space="preserve">Статус: исправленная версия с русским основным языком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1. Что нужно согласовать</w:t>
      </w:r>
    </w:p>
    <w:p/>
    <w:p>
      <w:r>
        <w:t xml:space="preserve">Этот документ выделяет решения по дорожной карте разработки OX:</w:t>
      </w:r>
    </w:p>
    <w:p/>
    <w:p>
      <w:r>
        <w:t xml:space="preserve">- что входит в MVP;</w:t>
      </w:r>
    </w:p>
    <w:p>
      <w:r>
        <w:t xml:space="preserve">- что переносится после MVP;</w:t>
      </w:r>
    </w:p>
    <w:p>
      <w:r>
        <w:t xml:space="preserve">- в каком порядке вести разработку;</w:t>
      </w:r>
    </w:p>
    <w:p>
      <w:r>
        <w:t xml:space="preserve">- какие зависимости критичны;</w:t>
      </w:r>
    </w:p>
    <w:p>
      <w:r>
        <w:t xml:space="preserve">- как оценивать готовность;</w:t>
      </w:r>
    </w:p>
    <w:p>
      <w:r>
        <w:t xml:space="preserve">- где место DEX/listing/token направления.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2. Главные решения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#</w:t>
            </w:r>
          </w:p>
        </w:tc>
        <w:tc>
          <w:tcPr>
            <w:tcW w:w="2400" w:type="dxa"/>
          </w:tcPr>
          <w:p>
            <w:r>
              <w:t xml:space="preserve">Решение</w:t>
            </w:r>
          </w:p>
        </w:tc>
        <w:tc>
          <w:tcPr>
            <w:tcW w:w="2400" w:type="dxa"/>
          </w:tcPr>
          <w:p>
            <w:r>
              <w:t xml:space="preserve">Рекомендованный статус</w:t>
            </w:r>
          </w:p>
        </w:tc>
        <w:tc>
          <w:tcPr>
            <w:tcW w:w="2400" w:type="dxa"/>
          </w:tcPr>
          <w:p>
            <w:r>
              <w:t xml:space="preserve">Комментарий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---: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MVP начинается с Суперэкспресс 15.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Это стартовый продукт.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Мегаэкспресс 16 переносится после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Снижает сложность запуска.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Base + native USDC остаются стартовой связкой.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Соответствует предыдущим этапам.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Смарт-контракты и серверная часть идут первыми.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Без них нельзя проверить полный цикл.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Админ-панель входит в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Без админки нельзя безопасно управлять запуском.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Партнерскую атрибуцию можно делать после основного запуска.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Не блокирует первый продукт.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Chainlink CRE - направление после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MVP не зависит от CRE.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DEX/listing/token не входит в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Убирает юридический риск и риск безопасности.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Mainnet только после контрольного порога безопасности.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Связь с этапом 14.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6-9 месяцев до ограниченного запуска в mainnet - ориентир, не обещание.</w:t>
            </w:r>
          </w:p>
        </w:tc>
        <w:tc>
          <w:tcPr>
            <w:tcW w:w="2400" w:type="dxa"/>
          </w:tcPr>
          <w:p>
            <w:r>
              <w:t xml:space="preserve">Согласовать как гипотезу</w:t>
            </w:r>
          </w:p>
        </w:tc>
        <w:tc>
          <w:tcPr>
            <w:tcW w:w="2400" w:type="dxa"/>
          </w:tcPr>
          <w:p>
            <w:r>
              <w:t xml:space="preserve">Зависит от команды, аудита и юридической проверки.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3. Состав MVP</w:t>
      </w:r>
    </w:p>
    <w:p/>
    <w:p>
      <w:r>
        <w:t xml:space="preserve">В MVP входит:</w:t>
      </w:r>
    </w:p>
    <w:p/>
    <w:p>
      <w:r>
        <w:t xml:space="preserve">- Суперэкспресс 15;</w:t>
      </w:r>
    </w:p>
    <w:p>
      <w:r>
        <w:t xml:space="preserve">- футбол;</w:t>
      </w:r>
    </w:p>
    <w:p>
      <w:r>
        <w:t xml:space="preserve">- 1/X/2;</w:t>
      </w:r>
    </w:p>
    <w:p>
      <w:r>
        <w:t xml:space="preserve">- одиночные и системные билеты;</w:t>
      </w:r>
    </w:p>
    <w:p>
      <w:r>
        <w:t xml:space="preserve">- Base;</w:t>
      </w:r>
    </w:p>
    <w:p>
      <w:r>
        <w:t xml:space="preserve">- нативный USDC;</w:t>
      </w:r>
    </w:p>
    <w:p>
      <w:r>
        <w:t xml:space="preserve">- динамическая цена комбинации до статуса Open;</w:t>
      </w:r>
    </w:p>
    <w:p>
      <w:r>
        <w:t xml:space="preserve">- лимиты;</w:t>
      </w:r>
    </w:p>
    <w:p>
      <w:r>
        <w:t xml:space="preserve">- серверный агрегатор результатов;</w:t>
      </w:r>
    </w:p>
    <w:p>
      <w:r>
        <w:t xml:space="preserve">- ручной резервный сценарий;</w:t>
      </w:r>
    </w:p>
    <w:p>
      <w:r>
        <w:t xml:space="preserve">- окно апелляции;</w:t>
      </w:r>
    </w:p>
    <w:p>
      <w:r>
        <w:t xml:space="preserve">- расчет выплат через дерево Merkle;</w:t>
      </w:r>
    </w:p>
    <w:p>
      <w:r>
        <w:t xml:space="preserve">- автоматические выплаты за счет платформы;</w:t>
      </w:r>
    </w:p>
    <w:p>
      <w:r>
        <w:t xml:space="preserve">- админ-панель;</w:t>
      </w:r>
    </w:p>
    <w:p>
      <w:r>
        <w:t xml:space="preserve">- журнал аудита;</w:t>
      </w:r>
    </w:p>
    <w:p>
      <w:r>
        <w:t xml:space="preserve">- мониторинг;</w:t>
      </w:r>
    </w:p>
    <w:p>
      <w:r>
        <w:t xml:space="preserve">- резервное копирование;</w:t>
      </w:r>
    </w:p>
    <w:p>
      <w:r>
        <w:t xml:space="preserve">- контрольный порог безопасности;</w:t>
      </w:r>
    </w:p>
    <w:p>
      <w:r>
        <w:t xml:space="preserve">- внешний аудит.</w:t>
      </w:r>
    </w:p>
    <w:p/>
    <w:p>
      <w:r>
        <w:t xml:space="preserve">В MVP не входит:</w:t>
      </w:r>
    </w:p>
    <w:p/>
    <w:p>
      <w:r>
        <w:t xml:space="preserve">- Мегаэкспресс 16;</w:t>
      </w:r>
    </w:p>
    <w:p>
      <w:r>
        <w:t xml:space="preserve">- токен OX;</w:t>
      </w:r>
    </w:p>
    <w:p>
      <w:r>
        <w:t xml:space="preserve">- DEX/listing как отдельное токен-направление;</w:t>
      </w:r>
    </w:p>
    <w:p>
      <w:r>
        <w:t xml:space="preserve">- Chainlink CRE как блокер рабочего запуска;</w:t>
      </w:r>
    </w:p>
    <w:p>
      <w:r>
        <w:t xml:space="preserve">- массовая партнерка;</w:t>
      </w:r>
    </w:p>
    <w:p>
      <w:r>
        <w:t xml:space="preserve">- полноценный партнерский кабинет;</w:t>
      </w:r>
    </w:p>
    <w:p>
      <w:r>
        <w:t xml:space="preserve">- режим высоких ставок;</w:t>
      </w:r>
    </w:p>
    <w:p>
      <w:r>
        <w:t xml:space="preserve">- публичная программа поиска уязвимостей до исправления замечаний аудита.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4. Рекомендуемый порядок разработки</w:t>
      </w:r>
    </w:p>
    <w:p/>
    <w:p>
      <w:r>
        <w:t xml:space="preserve">1. Фиксация продукта и архитектуры.</w:t>
      </w:r>
    </w:p>
    <w:p>
      <w:r>
        <w:t xml:space="preserve">2. Основные смарт-контракты.</w:t>
      </w:r>
    </w:p>
    <w:p>
      <w:r>
        <w:t xml:space="preserve">3. Серверная часть.</w:t>
      </w:r>
    </w:p>
    <w:p>
      <w:r>
        <w:t xml:space="preserve">4. Индексатор.</w:t>
      </w:r>
    </w:p>
    <w:p>
      <w:r>
        <w:t xml:space="preserve">5. Оракул и агрегатор результатов.</w:t>
      </w:r>
    </w:p>
    <w:p>
      <w:r>
        <w:t xml:space="preserve">6. Расчет тиража и конвейер выплат.</w:t>
      </w:r>
    </w:p>
    <w:p>
      <w:r>
        <w:t xml:space="preserve">7. Админ-панель.</w:t>
      </w:r>
    </w:p>
    <w:p>
      <w:r>
        <w:t xml:space="preserve">8. Пользовательский интерфейс.</w:t>
      </w:r>
    </w:p>
    <w:p>
      <w:r>
        <w:t xml:space="preserve">9. Эксплуатация и комплаенс.</w:t>
      </w:r>
    </w:p>
    <w:p>
      <w:r>
        <w:t xml:space="preserve">10. Контрольный порог безопасности.</w:t>
      </w:r>
    </w:p>
    <w:p>
      <w:r>
        <w:t xml:space="preserve">11. Ограниченный запуск в mainnet.</w:t>
      </w:r>
    </w:p>
    <w:p>
      <w:r>
        <w:t xml:space="preserve">12. Расширение после MVP.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5. Оценка сроков</w:t>
      </w:r>
    </w:p>
    <w:p/>
    <w:p>
      <w:r>
        <w:t xml:space="preserve">Предварительный ориентир: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Цель</w:t>
            </w:r>
          </w:p>
        </w:tc>
        <w:tc>
          <w:tcPr>
            <w:tcW w:w="2400" w:type="dxa"/>
          </w:tcPr>
          <w:p>
            <w:r>
              <w:t xml:space="preserve">Оценка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MVP, готовый к тестовой сети</w:t>
            </w:r>
          </w:p>
        </w:tc>
        <w:tc>
          <w:tcPr>
            <w:tcW w:w="2400" w:type="dxa"/>
          </w:tcPr>
          <w:p>
            <w:r>
              <w:t xml:space="preserve">4-6 месяцев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ограниченный запуск в mainnet</w:t>
            </w:r>
          </w:p>
        </w:tc>
        <w:tc>
          <w:tcPr>
            <w:tcW w:w="2400" w:type="dxa"/>
          </w:tcPr>
          <w:p>
            <w:r>
              <w:t xml:space="preserve">6-9 месяцев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стабилизация после запуска</w:t>
            </w:r>
          </w:p>
        </w:tc>
        <w:tc>
          <w:tcPr>
            <w:tcW w:w="2400" w:type="dxa"/>
          </w:tcPr>
          <w:p>
            <w:r>
              <w:t xml:space="preserve">2-4 недели</w:t>
            </w:r>
          </w:p>
        </w:tc>
      </w:tr>
    </w:tbl>
    <w:p/>
    <w:p>
      <w:r>
        <w:t xml:space="preserve">Это не финальный график. Финальный план зависит от:</w:t>
      </w:r>
    </w:p>
    <w:p/>
    <w:p>
      <w:r>
        <w:t xml:space="preserve">- размера команды;</w:t>
      </w:r>
    </w:p>
    <w:p>
      <w:r>
        <w:t xml:space="preserve">- слот внешнего аудита;</w:t>
      </w:r>
    </w:p>
    <w:p>
      <w:r>
        <w:t xml:space="preserve">- юридической проверки;</w:t>
      </w:r>
    </w:p>
    <w:p>
      <w:r>
        <w:t xml:space="preserve">- поставщиков данных для оракула;</w:t>
      </w:r>
    </w:p>
    <w:p>
      <w:r>
        <w:t xml:space="preserve">- инфраструктуры;</w:t>
      </w:r>
    </w:p>
    <w:p>
      <w:r>
        <w:t xml:space="preserve">- сложности пользовательского и административного интерфейсов.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6. После MVP</w:t>
      </w:r>
    </w:p>
    <w:p/>
    <w:p>
      <w:r>
        <w:t xml:space="preserve">После MVP:</w:t>
      </w:r>
    </w:p>
    <w:p/>
    <w:p>
      <w:r>
        <w:t xml:space="preserve">- Мегаэкспресс 16;</w:t>
      </w:r>
    </w:p>
    <w:p>
      <w:r>
        <w:t xml:space="preserve">- Chainlink CRE;</w:t>
      </w:r>
    </w:p>
    <w:p>
      <w:r>
        <w:t xml:space="preserve">- автоматический выбор событий по расписанию;</w:t>
      </w:r>
    </w:p>
    <w:p>
      <w:r>
        <w:t xml:space="preserve">- партнерский кабинет;</w:t>
      </w:r>
    </w:p>
    <w:p>
      <w:r>
        <w:t xml:space="preserve">- RevShare;</w:t>
      </w:r>
    </w:p>
    <w:p>
      <w:r>
        <w:t xml:space="preserve">- новые страны;</w:t>
      </w:r>
    </w:p>
    <w:p>
      <w:r>
        <w:t xml:space="preserve">- новые языки;</w:t>
      </w:r>
    </w:p>
    <w:p>
      <w:r>
        <w:t xml:space="preserve">- режим высоких ставок;</w:t>
      </w:r>
    </w:p>
    <w:p>
      <w:r>
        <w:t xml:space="preserve">- публичная программа поиска уязвимостей;</w:t>
      </w:r>
    </w:p>
    <w:p>
      <w:r>
        <w:t xml:space="preserve">- DEX/listing/token.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7. Направление DEX/listing/token</w:t>
      </w:r>
    </w:p>
    <w:p/>
    <w:p>
      <w:r>
        <w:t xml:space="preserve">Решение для согласования:</w:t>
      </w:r>
    </w:p>
    <w:p/>
    <w:p>
      <w:r>
        <w:t xml:space="preserve">Токен OX, DEX и листинг не входят в MVP.</w:t>
      </w:r>
    </w:p>
    <w:p/>
    <w:p>
      <w:r>
        <w:t xml:space="preserve">Причина:</w:t>
      </w:r>
    </w:p>
    <w:p/>
    <w:p>
      <w:r>
        <w:t xml:space="preserve">- юридический риск;</w:t>
      </w:r>
    </w:p>
    <w:p>
      <w:r>
        <w:t xml:space="preserve">- риск безопасности;</w:t>
      </w:r>
    </w:p>
    <w:p>
      <w:r>
        <w:t xml:space="preserve">- усложнение смарт-контрактов;</w:t>
      </w:r>
    </w:p>
    <w:p>
      <w:r>
        <w:t xml:space="preserve">- отвлечение от главного продукта;</w:t>
      </w:r>
    </w:p>
    <w:p>
      <w:r>
        <w:t xml:space="preserve">- риск смешать токен с призовым фондом;</w:t>
      </w:r>
    </w:p>
    <w:p>
      <w:r>
        <w:t xml:space="preserve">- токен не нужен для стартовых выплат в USDC.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8. Открытые вопросы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Вопрос</w:t>
            </w:r>
          </w:p>
        </w:tc>
        <w:tc>
          <w:tcPr>
            <w:tcW w:w="2400" w:type="dxa"/>
          </w:tcPr>
          <w:p>
            <w:r>
              <w:t xml:space="preserve">Кто подтверждает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Финальный состав команды</w:t>
            </w:r>
          </w:p>
        </w:tc>
        <w:tc>
          <w:tcPr>
            <w:tcW w:w="2400" w:type="dxa"/>
          </w:tcPr>
          <w:p>
            <w:r>
              <w:t xml:space="preserve">Основатель / технический руководитель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Финальный бюджет</w:t>
            </w:r>
          </w:p>
        </w:tc>
        <w:tc>
          <w:tcPr>
            <w:tcW w:w="2400" w:type="dxa"/>
          </w:tcPr>
          <w:p>
            <w:r>
              <w:t xml:space="preserve">Основатель / финансы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Финальный аудитор</w:t>
            </w:r>
          </w:p>
        </w:tc>
        <w:tc>
          <w:tcPr>
            <w:tcW w:w="2400" w:type="dxa"/>
          </w:tcPr>
          <w:p>
            <w:r>
              <w:t xml:space="preserve">Основатель / безопасность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Финальные страны запуска</w:t>
            </w:r>
          </w:p>
        </w:tc>
        <w:tc>
          <w:tcPr>
            <w:tcW w:w="2400" w:type="dxa"/>
          </w:tcPr>
          <w:p>
            <w:r>
              <w:t xml:space="preserve">Юристы / основатель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Финальный серверный стек</w:t>
            </w:r>
          </w:p>
        </w:tc>
        <w:tc>
          <w:tcPr>
            <w:tcW w:w="2400" w:type="dxa"/>
          </w:tcPr>
          <w:p>
            <w:r>
              <w:t xml:space="preserve">Технический руководитель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Финальная дата запуска</w:t>
            </w:r>
          </w:p>
        </w:tc>
        <w:tc>
          <w:tcPr>
            <w:tcW w:w="2400" w:type="dxa"/>
          </w:tcPr>
          <w:p>
            <w:r>
              <w:t xml:space="preserve">Основатель / продукт / технический руководитель</w:t>
            </w:r>
          </w:p>
        </w:tc>
      </w:tr>
    </w:tbl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9. Рекомендованный итог</w:t>
      </w:r>
    </w:p>
    <w:p/>
    <w:p>
      <w:r>
        <w:t xml:space="preserve">Рекомендованная позиция:</w:t>
      </w:r>
    </w:p>
    <w:p/>
    <w:p>
      <w:r>
        <w:t xml:space="preserve">Сначала безопасный Суперэкспресс 15.</w:t>
      </w:r>
    </w:p>
    <w:p>
      <w:r>
        <w:t xml:space="preserve">Потом масштабирование, партнерка, CRE, новые продукты и токен-направление.</w:t>
      </w:r>
    </w:p>
    <w:p/>
    <w:p>
      <w:r>
        <w:t xml:space="preserve">Так OX получает шанс запуститься без перегруза и без преждевременного юридического риска.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&#65279;<?xml version="1.0" encoding="UTF-8" standalone="yes"?><Relationships xmlns="http://schemas.openxmlformats.org/package/2006/relationships"/>
</file>