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240"/>
      </w:pPr>
      <w:r>
        <w:t xml:space="preserve">OX - Этап 15. Пояснительная записка</w:t>
      </w:r>
    </w:p>
    <w:p/>
    <w:p>
      <w:pPr>
        <w:pStyle w:val="Heading1"/>
        <w:spacing w:after="120"/>
      </w:pPr>
      <w:r>
        <w:t xml:space="preserve">Дорожная карта и задачи разработки</w:t>
      </w:r>
    </w:p>
    <w:p/>
    <w:p>
      <w:pPr>
        <w:pStyle w:val="Normal"/>
        <w:spacing w:after="120"/>
      </w:pPr>
      <w:r>
        <w:t xml:space="preserve">Дата: 10.06.2026  </w:t>
      </w:r>
    </w:p>
    <w:p>
      <w:pPr>
        <w:pStyle w:val="Normal"/>
        <w:spacing w:after="120"/>
      </w:pPr>
      <w:r>
        <w:t xml:space="preserve">Версия: v1  </w:t>
      </w:r>
    </w:p>
    <w:p>
      <w:pPr>
        <w:pStyle w:val="Normal"/>
        <w:spacing w:after="120"/>
      </w:pPr>
      <w:r>
        <w:t xml:space="preserve">Статус: для согласования  </w:t>
      </w:r>
    </w:p>
    <w:p>
      <w:pPr>
        <w:pStyle w:val="Normal"/>
        <w:spacing w:after="120"/>
      </w:pPr>
      <w:r>
        <w:t xml:space="preserve">Проект: OX, спортивный экспресс  </w:t>
      </w:r>
    </w:p>
    <w:p>
      <w:pPr>
        <w:pStyle w:val="Normal"/>
        <w:spacing w:after="120"/>
      </w:pPr>
      <w:r>
        <w:t xml:space="preserve">Девиз: Честно. Прозрачно. Мгновенно.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Коротко о смысле этапа</w:t>
      </w:r>
    </w:p>
    <w:p/>
    <w:p>
      <w:pPr>
        <w:pStyle w:val="Normal"/>
        <w:spacing w:after="120"/>
      </w:pPr>
      <w:r>
        <w:t xml:space="preserve">Этап 15 отвечает на практический вопрос:</w:t>
      </w:r>
    </w:p>
    <w:p/>
    <w:p>
      <w:pPr>
        <w:pStyle w:val="Code"/>
        <w:spacing w:after="120"/>
      </w:pPr>
      <w:r>
        <w:t xml:space="preserve">В каком порядке разрабатывать OX, чтобы не сломать продукт, деньги и безопасность?</w:t>
      </w:r>
    </w:p>
    <w:p/>
    <w:p>
      <w:pPr>
        <w:pStyle w:val="Normal"/>
        <w:spacing w:after="120"/>
      </w:pPr>
      <w:r>
        <w:t xml:space="preserve">Мы не начинаем с токена, листинга, сложной партнерки или полной автоматизации. Сначала делаем базовый продукт, который можно проверить:</w:t>
      </w:r>
    </w:p>
    <w:p/>
    <w:p>
      <w:pPr>
        <w:pStyle w:val="Normal"/>
        <w:spacing w:after="120"/>
      </w:pPr>
      <w:r>
        <w:t xml:space="preserve">- Суперэкспресс 15;</w:t>
      </w:r>
    </w:p>
    <w:p>
      <w:pPr>
        <w:pStyle w:val="Normal"/>
        <w:spacing w:after="120"/>
      </w:pPr>
      <w:r>
        <w:t xml:space="preserve">- USDC на Base;</w:t>
      </w:r>
    </w:p>
    <w:p>
      <w:pPr>
        <w:pStyle w:val="Normal"/>
        <w:spacing w:after="120"/>
      </w:pPr>
      <w:r>
        <w:t xml:space="preserve">- билеты и системные ставки;</w:t>
      </w:r>
    </w:p>
    <w:p>
      <w:pPr>
        <w:pStyle w:val="Normal"/>
        <w:spacing w:after="120"/>
      </w:pPr>
      <w:r>
        <w:t xml:space="preserve">- призовой фонд и jackpot;</w:t>
      </w:r>
    </w:p>
    <w:p>
      <w:pPr>
        <w:pStyle w:val="Normal"/>
        <w:spacing w:after="120"/>
      </w:pPr>
      <w:r>
        <w:t xml:space="preserve">- защита от кита;</w:t>
      </w:r>
    </w:p>
    <w:p>
      <w:pPr>
        <w:pStyle w:val="Normal"/>
        <w:spacing w:after="120"/>
      </w:pPr>
      <w:r>
        <w:t xml:space="preserve">- oracle/result aggregator;</w:t>
      </w:r>
    </w:p>
    <w:p>
      <w:pPr>
        <w:pStyle w:val="Normal"/>
        <w:spacing w:after="120"/>
      </w:pPr>
      <w:r>
        <w:t xml:space="preserve">- Merkle settlement;</w:t>
      </w:r>
    </w:p>
    <w:p>
      <w:pPr>
        <w:pStyle w:val="Normal"/>
        <w:spacing w:after="120"/>
      </w:pPr>
      <w:r>
        <w:t xml:space="preserve">- automatic/sponsored claims;</w:t>
      </w:r>
    </w:p>
    <w:p>
      <w:pPr>
        <w:pStyle w:val="Normal"/>
        <w:spacing w:after="120"/>
      </w:pPr>
      <w:r>
        <w:t xml:space="preserve">- admin panel;</w:t>
      </w:r>
    </w:p>
    <w:p>
      <w:pPr>
        <w:pStyle w:val="Normal"/>
        <w:spacing w:after="120"/>
      </w:pPr>
      <w:r>
        <w:t xml:space="preserve">- audit log;</w:t>
      </w:r>
    </w:p>
    <w:p>
      <w:pPr>
        <w:pStyle w:val="Normal"/>
        <w:spacing w:after="120"/>
      </w:pPr>
      <w:r>
        <w:t xml:space="preserve">- security gate.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Главная логика</w:t>
      </w:r>
    </w:p>
    <w:p/>
    <w:p>
      <w:pPr>
        <w:pStyle w:val="Normal"/>
        <w:spacing w:after="120"/>
      </w:pPr>
      <w:r>
        <w:t xml:space="preserve">Сначала:</w:t>
      </w:r>
    </w:p>
    <w:p/>
    <w:p>
      <w:pPr>
        <w:pStyle w:val="Code"/>
        <w:spacing w:after="120"/>
      </w:pPr>
      <w:r>
        <w:t xml:space="preserve">core product + money flow + results + payouts + admin + security.</w:t>
      </w:r>
    </w:p>
    <w:p/>
    <w:p>
      <w:pPr>
        <w:pStyle w:val="Normal"/>
        <w:spacing w:after="120"/>
      </w:pPr>
      <w:r>
        <w:t xml:space="preserve">Потом:</w:t>
      </w:r>
    </w:p>
    <w:p/>
    <w:p>
      <w:pPr>
        <w:pStyle w:val="Code"/>
        <w:spacing w:after="120"/>
      </w:pPr>
      <w:r>
        <w:t xml:space="preserve">partner growth + deeper analytics + more automation + more markets + token direction.</w:t>
      </w:r>
    </w:p>
    <w:p/>
    <w:p>
      <w:pPr>
        <w:pStyle w:val="Normal"/>
        <w:spacing w:after="120"/>
      </w:pPr>
      <w:r>
        <w:t xml:space="preserve">Такой порядок снижает риск. Если сначала делать партнерку, токен или DEX, команда будет строить рост вокруг продукта, который еще не доказал безопасность выплат.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Что входит в MVP</w:t>
      </w:r>
    </w:p>
    <w:p/>
    <w:p>
      <w:pPr>
        <w:pStyle w:val="Normal"/>
        <w:spacing w:after="120"/>
      </w:pPr>
      <w:r>
        <w:t xml:space="preserve">В MVP входит:</w:t>
      </w:r>
    </w:p>
    <w:p/>
    <w:p>
      <w:pPr>
        <w:pStyle w:val="Normal"/>
        <w:spacing w:after="120"/>
      </w:pPr>
      <w:r>
        <w:t xml:space="preserve">- Суперэкспресс 15;</w:t>
      </w:r>
    </w:p>
    <w:p>
      <w:pPr>
        <w:pStyle w:val="Normal"/>
        <w:spacing w:after="120"/>
      </w:pPr>
      <w:r>
        <w:t xml:space="preserve">- футбол;</w:t>
      </w:r>
    </w:p>
    <w:p>
      <w:pPr>
        <w:pStyle w:val="Normal"/>
        <w:spacing w:after="120"/>
      </w:pPr>
      <w:r>
        <w:t xml:space="preserve">- 1/X/2;</w:t>
      </w:r>
    </w:p>
    <w:p>
      <w:pPr>
        <w:pStyle w:val="Normal"/>
        <w:spacing w:after="120"/>
      </w:pPr>
      <w:r>
        <w:t xml:space="preserve">- одиночные и системные билеты;</w:t>
      </w:r>
    </w:p>
    <w:p>
      <w:pPr>
        <w:pStyle w:val="Normal"/>
        <w:spacing w:after="120"/>
      </w:pPr>
      <w:r>
        <w:t xml:space="preserve">- Base;</w:t>
      </w:r>
    </w:p>
    <w:p>
      <w:pPr>
        <w:pStyle w:val="Normal"/>
        <w:spacing w:after="120"/>
      </w:pPr>
      <w:r>
        <w:t xml:space="preserve">- native USDC;</w:t>
      </w:r>
    </w:p>
    <w:p>
      <w:pPr>
        <w:pStyle w:val="Normal"/>
        <w:spacing w:after="120"/>
      </w:pPr>
      <w:r>
        <w:t xml:space="preserve">- server result aggregator;</w:t>
      </w:r>
    </w:p>
    <w:p>
      <w:pPr>
        <w:pStyle w:val="Normal"/>
        <w:spacing w:after="120"/>
      </w:pPr>
      <w:r>
        <w:t xml:space="preserve">- manual fallback;</w:t>
      </w:r>
    </w:p>
    <w:p>
      <w:pPr>
        <w:pStyle w:val="Normal"/>
        <w:spacing w:after="120"/>
      </w:pPr>
      <w:r>
        <w:t xml:space="preserve">- appeal window;</w:t>
      </w:r>
    </w:p>
    <w:p>
      <w:pPr>
        <w:pStyle w:val="Normal"/>
        <w:spacing w:after="120"/>
      </w:pPr>
      <w:r>
        <w:t xml:space="preserve">- Merkle settlement;</w:t>
      </w:r>
    </w:p>
    <w:p>
      <w:pPr>
        <w:pStyle w:val="Normal"/>
        <w:spacing w:after="120"/>
      </w:pPr>
      <w:r>
        <w:t xml:space="preserve">- sponsored claims;</w:t>
      </w:r>
    </w:p>
    <w:p>
      <w:pPr>
        <w:pStyle w:val="Normal"/>
        <w:spacing w:after="120"/>
      </w:pPr>
      <w:r>
        <w:t xml:space="preserve">- admin panel;</w:t>
      </w:r>
    </w:p>
    <w:p>
      <w:pPr>
        <w:pStyle w:val="Normal"/>
        <w:spacing w:after="120"/>
      </w:pPr>
      <w:r>
        <w:t xml:space="preserve">- audit log;</w:t>
      </w:r>
    </w:p>
    <w:p>
      <w:pPr>
        <w:pStyle w:val="Normal"/>
        <w:spacing w:after="120"/>
      </w:pPr>
      <w:r>
        <w:t xml:space="preserve">- monitoring;</w:t>
      </w:r>
    </w:p>
    <w:p>
      <w:pPr>
        <w:pStyle w:val="Normal"/>
        <w:spacing w:after="120"/>
      </w:pPr>
      <w:r>
        <w:t xml:space="preserve">- backup;</w:t>
      </w:r>
    </w:p>
    <w:p>
      <w:pPr>
        <w:pStyle w:val="Normal"/>
        <w:spacing w:after="120"/>
      </w:pPr>
      <w:r>
        <w:t xml:space="preserve">- external audit.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Что не входит в MVP</w:t>
      </w:r>
    </w:p>
    <w:p/>
    <w:p>
      <w:pPr>
        <w:pStyle w:val="Normal"/>
        <w:spacing w:after="120"/>
      </w:pPr>
      <w:r>
        <w:t xml:space="preserve">В MVP не входит:</w:t>
      </w:r>
    </w:p>
    <w:p/>
    <w:p>
      <w:pPr>
        <w:pStyle w:val="Normal"/>
        <w:spacing w:after="120"/>
      </w:pPr>
      <w:r>
        <w:t xml:space="preserve">- Мегаэкспресс 16;</w:t>
      </w:r>
    </w:p>
    <w:p>
      <w:pPr>
        <w:pStyle w:val="Normal"/>
        <w:spacing w:after="120"/>
      </w:pPr>
      <w:r>
        <w:t xml:space="preserve">- токен OX;</w:t>
      </w:r>
    </w:p>
    <w:p>
      <w:pPr>
        <w:pStyle w:val="Normal"/>
        <w:spacing w:after="120"/>
      </w:pPr>
      <w:r>
        <w:t xml:space="preserve">- DEX/listing;</w:t>
      </w:r>
    </w:p>
    <w:p>
      <w:pPr>
        <w:pStyle w:val="Normal"/>
        <w:spacing w:after="120"/>
      </w:pPr>
      <w:r>
        <w:t xml:space="preserve">- Chainlink CRE как обязательная зависимость;</w:t>
      </w:r>
    </w:p>
    <w:p>
      <w:pPr>
        <w:pStyle w:val="Normal"/>
        <w:spacing w:after="120"/>
      </w:pPr>
      <w:r>
        <w:t xml:space="preserve">- массовая партнерская программа;</w:t>
      </w:r>
    </w:p>
    <w:p>
      <w:pPr>
        <w:pStyle w:val="Normal"/>
        <w:spacing w:after="120"/>
      </w:pPr>
      <w:r>
        <w:t xml:space="preserve">- полноценный партнерский кабинет;</w:t>
      </w:r>
    </w:p>
    <w:p>
      <w:pPr>
        <w:pStyle w:val="Normal"/>
        <w:spacing w:after="120"/>
      </w:pPr>
      <w:r>
        <w:t xml:space="preserve">- high-stakes mode;</w:t>
      </w:r>
    </w:p>
    <w:p>
      <w:pPr>
        <w:pStyle w:val="Normal"/>
        <w:spacing w:after="120"/>
      </w:pPr>
      <w:r>
        <w:t xml:space="preserve">- публичный bug bounty;</w:t>
      </w:r>
    </w:p>
    <w:p>
      <w:pPr>
        <w:pStyle w:val="Normal"/>
        <w:spacing w:after="120"/>
      </w:pPr>
      <w:r>
        <w:t xml:space="preserve">- мобильное приложение.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Ориентир по срокам</w:t>
      </w:r>
    </w:p>
    <w:p/>
    <w:p>
      <w:pPr>
        <w:pStyle w:val="Normal"/>
        <w:spacing w:after="120"/>
      </w:pPr>
      <w:r>
        <w:t xml:space="preserve">Предварительный ориентир:</w:t>
      </w:r>
    </w:p>
    <w:p/>
    <w:p>
      <w:pPr>
        <w:pStyle w:val="Code"/>
        <w:spacing w:after="120"/>
      </w:pPr>
      <w:r>
        <w:t xml:space="preserve">4-6 месяцев до testnet-ready MVP.</w:t>
      </w:r>
    </w:p>
    <w:p>
      <w:pPr>
        <w:pStyle w:val="Code"/>
        <w:spacing w:after="120"/>
      </w:pPr>
      <w:r>
        <w:t xml:space="preserve">6-9 месяцев до limited mainnet launch.</w:t>
      </w:r>
    </w:p>
    <w:p/>
    <w:p>
      <w:pPr>
        <w:pStyle w:val="Normal"/>
        <w:spacing w:after="120"/>
      </w:pPr>
      <w:r>
        <w:t xml:space="preserve">Это не обещание даты. Срок зависит от команды, аудита, юридической проверки и сложности интеграций.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Главное решение по токену</w:t>
      </w:r>
    </w:p>
    <w:p/>
    <w:p>
      <w:pPr>
        <w:pStyle w:val="Normal"/>
        <w:spacing w:after="120"/>
      </w:pPr>
      <w:r>
        <w:t xml:space="preserve">Токен OX не входит в MVP.</w:t>
      </w:r>
    </w:p>
    <w:p/>
    <w:p>
      <w:pPr>
        <w:pStyle w:val="Normal"/>
        <w:spacing w:after="120"/>
      </w:pPr>
      <w:r>
        <w:t xml:space="preserve">Причина простая:</w:t>
      </w:r>
    </w:p>
    <w:p/>
    <w:p>
      <w:pPr>
        <w:pStyle w:val="Normal"/>
        <w:spacing w:after="120"/>
      </w:pPr>
      <w:r>
        <w:t xml:space="preserve">- токен добавляет юридический риск;</w:t>
      </w:r>
    </w:p>
    <w:p>
      <w:pPr>
        <w:pStyle w:val="Normal"/>
        <w:spacing w:after="120"/>
      </w:pPr>
      <w:r>
        <w:t xml:space="preserve">- токен добавляет security risk;</w:t>
      </w:r>
    </w:p>
    <w:p>
      <w:pPr>
        <w:pStyle w:val="Normal"/>
        <w:spacing w:after="120"/>
      </w:pPr>
      <w:r>
        <w:t xml:space="preserve">- токен может отвлечь от главного продукта;</w:t>
      </w:r>
    </w:p>
    <w:p>
      <w:pPr>
        <w:pStyle w:val="Normal"/>
        <w:spacing w:after="120"/>
      </w:pPr>
      <w:r>
        <w:t xml:space="preserve">- токен не нужен для покупки билетов и выплат;</w:t>
      </w:r>
    </w:p>
    <w:p>
      <w:pPr>
        <w:pStyle w:val="Normal"/>
        <w:spacing w:after="120"/>
      </w:pPr>
      <w:r>
        <w:t xml:space="preserve">- токен нельзя смешивать с prize pool.</w:t>
      </w:r>
    </w:p>
    <w:p/>
    <w:p>
      <w:pPr>
        <w:pStyle w:val="Normal"/>
        <w:spacing w:after="120"/>
      </w:pPr>
      <w:r>
        <w:t xml:space="preserve">Правильный порядок:</w:t>
      </w:r>
    </w:p>
    <w:p/>
    <w:p>
      <w:pPr>
        <w:pStyle w:val="Code"/>
        <w:spacing w:after="120"/>
      </w:pPr>
      <w:r>
        <w:t xml:space="preserve">сначала доказать продукт и выплаты,</w:t>
      </w:r>
    </w:p>
    <w:p>
      <w:pPr>
        <w:pStyle w:val="Code"/>
        <w:spacing w:after="120"/>
      </w:pPr>
      <w:r>
        <w:t xml:space="preserve">потом отдельно обсуждать DEX/listing/token.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Итог</w:t>
      </w:r>
    </w:p>
    <w:p/>
    <w:p>
      <w:pPr>
        <w:pStyle w:val="Normal"/>
        <w:spacing w:after="120"/>
      </w:pPr>
      <w:r>
        <w:t xml:space="preserve">Этап 15 фиксирует прагматичную дорожную карту:</w:t>
      </w:r>
    </w:p>
    <w:p/>
    <w:p>
      <w:pPr>
        <w:pStyle w:val="Code"/>
        <w:spacing w:after="120"/>
      </w:pPr>
      <w:r>
        <w:t xml:space="preserve">Не строим все сразу.</w:t>
      </w:r>
    </w:p>
    <w:p>
      <w:pPr>
        <w:pStyle w:val="Code"/>
        <w:spacing w:after="120"/>
      </w:pPr>
      <w:r>
        <w:t xml:space="preserve">Сначала безопасный MVP.</w:t>
      </w:r>
    </w:p>
    <w:p>
      <w:pPr>
        <w:pStyle w:val="Code"/>
        <w:spacing w:after="120"/>
      </w:pPr>
      <w:r>
        <w:t xml:space="preserve">Потом масштабирование.</w:t>
      </w:r>
    </w:p>
    <w:p/>
    <w:p>
      <w:pPr>
        <w:pStyle w:val="Normal"/>
        <w:spacing w:after="120"/>
      </w:pPr>
      <w:r>
        <w:t xml:space="preserve">Это позволяет двигаться быстрее в разработке, но не жертвовать тем, что для OX критично: честность, прозрачность и мгновенные выплаты.</w:t>
      </w:r>
    </w:p>
    <w:p/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qFormat/>
    <w:rPr>
      <w:b/>
      <w:sz w:val="36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