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44"/>
        </w:rPr>
        <w:t>本次组会汇报脉络稿</w:t>
      </w:r>
    </w:p>
    <w:p>
      <w:pPr>
        <w:spacing w:after="240"/>
      </w:pPr>
      <w:r>
        <w:rPr>
          <w:rFonts w:ascii="Microsoft YaHei" w:hAnsi="Microsoft YaHei" w:eastAsia="Microsoft YaHei"/>
          <w:color w:val="5F5F5F"/>
          <w:sz w:val="25"/>
        </w:rPr>
        <w:t>液态 LiClO4/ACN 器件与 DALE50 固态电解质器件的连续优化逻辑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4680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汇报范围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2026-06-17 之后的实验记录；6.16 数据仅作为上一轮基准。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上一份PPT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D:\Desktop\组会\组会\敖思亮20260617.pptx：已讲背景、液态封装循环、PMMA/DA 凝胶初步思路。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建议定位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不重复电致变色基础，重点讲“液态基准问题如何导向固态优化”。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F4D78"/>
                <w:sz w:val="19"/>
              </w:rPr>
              <w:t>输出时间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9"/>
              </w:rPr>
              <w:t>2026-07-14 18:14</w:t>
            </w:r>
          </w:p>
        </w:tc>
      </w:tr>
    </w:tbl>
    <w:p>
      <w:pPr>
        <w:pStyle w:val="Heading1"/>
      </w:pPr>
      <w:r>
        <w:t>1. 本次汇报的核心叙事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9360"/>
      </w:tblGrid>
      <w:tr>
        <w:tc>
          <w:tcPr>
            <w:tcW w:type="dxa" w:w="9360"/>
            <w:shd w:fill="F7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一句话主线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sz w:val="20"/>
              </w:rPr>
              <w:t>液态 LiClO4/ACN 器件给出了高对比度基准和 ATO/电压窗口/负载量问题；DALE50 固态电解质路线在腔体、单层 ATO 与电压窗口优化后，已经接近甚至达到液态高对比度水平，但需要用空白夹层透过率和长循环验证解释其真实增益。</w:t>
            </w:r>
          </w:p>
        </w:tc>
      </w:tr>
    </w:tbl>
    <w:p>
      <w:pPr>
        <w:pStyle w:val="ListBullet"/>
      </w:pPr>
      <w:r>
        <w:rPr>
          <w:rFonts w:ascii="Microsoft YaHei" w:hAnsi="Microsoft YaHei" w:eastAsia="Microsoft YaHei"/>
          <w:sz w:val="20"/>
        </w:rPr>
        <w:t>上一份 6.17 PPT 已经讲过电致变色背景、液态封装循环、PMMA 与 DA 凝胶概念，本次建议只用 1 页回顾问题，不再重复基础介绍。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液态部分的功能是建立基准：哪些条件给高 ΔT，哪些条件导致老化、响应不对称或 ATO 层数问题。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固态部分的功能是回答迁移：DALE50 固态电解质如何在保持稳定性的同时，把 ΔT、响应速度和电压窗口拉到可用区间。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两部分之间的连接点是同一套 PBI-Cl/TiO2 工作电极、ATO 离子存储层、电压窗口、有效光学路径和 90% ΔT 响应时间判据。</w:t>
      </w:r>
    </w:p>
    <w:p>
      <w:pPr>
        <w:pStyle w:val="Heading1"/>
      </w:pPr>
      <w:r>
        <w:t>2. 建议 PPT 页序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页</w:t>
            </w:r>
          </w:p>
        </w:tc>
        <w:tc>
          <w:tcPr>
            <w:tcW w:type="dxa" w:w="223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建议标题</w:t>
            </w:r>
          </w:p>
        </w:tc>
        <w:tc>
          <w:tcPr>
            <w:tcW w:type="dxa" w:w="338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放的数据</w:t>
            </w:r>
          </w:p>
        </w:tc>
        <w:tc>
          <w:tcPr>
            <w:tcW w:type="dxa" w:w="324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这一页要讲清楚什么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从上一轮问题接上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6.17 已讲背景、液态循环与 DA 凝胶初步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本次直接进入数据，不重复科普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本次主线图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液态基准 -&gt; ATO/负载/老化问题 -&gt; 固态DALE优化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两条路线不是并列，而是互相解释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液态基准与放置衰减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6.16 ΔT 62.92%；6.30 放置后 ΔT 35-36%，但响应约0.28 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高负载带来高对比度，但放置稳定性是短板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液态双层ATO条件筛选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C03 ΔT 52.72%，tc/tb 2.07/0.24 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双层 ATO 主要问题是着色/褪色不对称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纯片透过率基线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FTO 84.14%；单层ATO 76.49%；双层ATO 71.27%；PBI+ATO 54.42%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光学路径会压低可观测 ΔT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7.4 单/双层ATO液态对比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单层 -2/0.5 V ΔT 66.08%；双层最高 57.05%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双层 ATO 未提高液态器件对比度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7.10 xuantu2 电压窗口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-2/0 与 -2/0.5 V 均 ΔT 44.42%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新旋涂样品仍需回到膜厚/负载解释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液态小结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单层 ATO + -2/0.5 V 高ΔT；-3/1 V 快响应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液态给出固态优化目标和对照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9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固态初始筛选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6.17 DA50%未夹2 ΔT 55.57%，tc/tb 0.456/0.639 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50% EMIMTFSI 是可继续优化的平台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固态腔体尺寸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11x16 mm：最快0.362/0.273 s；最高ΔT 52.64%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腔体/接触状态显著影响响应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固态长循环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DALE50 -1.8/0.2 V，5000次后保持89.20%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稳定性已具备继续放大电压窗口的基础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固态夹层透过率校正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590/645 nm 夹层系数约0.68-0.84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固态ΔT需结合空白夹层解释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13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DALE50电压窗口筛选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-2/0.5 V ΔT 65.56%，tc/tb 0.264/0.848 s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固态已达到液态高对比度量级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14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液态-固态统一结论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ATO层数、PBI负载、腔体接触、电压窗口四变量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下一步是固定判据做复测和长循环</w:t>
            </w:r>
          </w:p>
        </w:tc>
      </w:tr>
      <w:tr>
        <w:tc>
          <w:tcPr>
            <w:tcW w:type="dxa" w:w="5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15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下一步计划</w:t>
            </w:r>
          </w:p>
        </w:tc>
        <w:tc>
          <w:tcPr>
            <w:tcW w:type="dxa" w:w="33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-2/0.5 V固态长循环；单/双ATO复测；空白夹层背景校正</w:t>
            </w:r>
          </w:p>
        </w:tc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把结果从单点最优推进到可复现</w:t>
            </w:r>
          </w:p>
        </w:tc>
      </w:tr>
    </w:tbl>
    <w:p>
      <w:pPr>
        <w:spacing w:after="40"/>
      </w:pPr>
    </w:p>
    <w:p>
      <w:pPr>
        <w:pStyle w:val="Heading1"/>
      </w:pPr>
      <w:r>
        <w:t>3. 液态部分：建立高对比度基准并暴露问题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液态部分建议先讲“基准和矛盾”：液态器件可以做到 60% 以上 ΔT，但稳定性、ATO层数和电压窗口带来的响应不对称仍需要解释。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08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194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实验</w:t>
            </w:r>
          </w:p>
        </w:tc>
        <w:tc>
          <w:tcPr>
            <w:tcW w:type="dxa" w:w="252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关键ΔT/透过率</w:t>
            </w:r>
          </w:p>
        </w:tc>
        <w:tc>
          <w:tcPr>
            <w:tcW w:type="dxa" w:w="208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响应/保持</w:t>
            </w:r>
          </w:p>
        </w:tc>
        <w:tc>
          <w:tcPr>
            <w:tcW w:type="dxa" w:w="172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汇报含义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6.16 基准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过量浸泡染浴 PBI-Cl/ATO/LiClO4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62.92%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tc 1.04 s；tb 0.56-0.64 s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上一轮高对比度基准，不作为本次新增数据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6.30 放置14天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同一6.16样品再测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36.52%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tc/tb 0.2756/0.2773 s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ΔT显著下降但响应变快，提示有效变色量减少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6.30 500圈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放置后循环稳定性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1-10: 34.45%；490-500: 32.75%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相对6.30初段保持 95.07%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主要衰减发生在放置过程，而不是当天循环过程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6.30 双层ATO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双层ATO条件筛选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最佳C03 ΔT 52.72%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tc/tb 2.07/0.24 s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着色慢、褪色快，说明不只是电压窗口问题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7.02 纯片透过率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PBI/ATO/FTO透过率基线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FTO 84.14%；单ATO 76.49%；双ATO 71.27%；PBI+ATO 54.42%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587.89 nm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双层ATO会降低初始透过率，需要考虑光学损失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7.04 单/双ATO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LiClO4/ACN液态器件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单层ATO最高66.08%；双层最高57.05%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最快：-3/1 V，tc/tb 0.2047/0.2863 s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单层ATO在本批更优，双层未提高ΔT</w:t>
            </w:r>
          </w:p>
        </w:tc>
      </w:tr>
      <w:tr>
        <w:tc>
          <w:tcPr>
            <w:tcW w:type="dxa" w:w="10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7.10 xuantu2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旋涂样品电压窗口</w:t>
            </w:r>
          </w:p>
        </w:tc>
        <w:tc>
          <w:tcPr>
            <w:tcW w:type="dxa" w:w="25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最高44.42%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最快着色 -2/0 V；最快褪色 -2/0.5 V</w:t>
            </w:r>
          </w:p>
        </w:tc>
        <w:tc>
          <w:tcPr>
            <w:tcW w:type="dxa" w:w="17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样品制备/膜厚/负载差异可能压低整体ΔT</w:t>
            </w:r>
          </w:p>
        </w:tc>
      </w:tr>
    </w:tbl>
    <w:p>
      <w:pPr>
        <w:spacing w:after="40"/>
      </w:pPr>
    </w:p>
    <w:p>
      <w:pPr>
        <w:pStyle w:val="Heading2"/>
      </w:pPr>
      <w:r>
        <w:t>3.1 7.4 单层/双层 ATO 液态主数据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57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编号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ATO</w:t>
            </w:r>
          </w:p>
        </w:tc>
        <w:tc>
          <w:tcPr>
            <w:tcW w:type="dxa" w:w="118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电压窗口</w:t>
            </w:r>
          </w:p>
        </w:tc>
        <w:tc>
          <w:tcPr>
            <w:tcW w:type="dxa" w:w="64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脉冲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λmax/nm</w:t>
            </w:r>
          </w:p>
        </w:tc>
        <w:tc>
          <w:tcPr>
            <w:tcW w:type="dxa" w:w="100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最大ΔT/%</w:t>
            </w:r>
          </w:p>
        </w:tc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tc/tb(s)</w:t>
            </w:r>
          </w:p>
        </w:tc>
        <w:tc>
          <w:tcPr>
            <w:tcW w:type="dxa" w:w="288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备注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S01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0.5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600.13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65.95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0.5582 / 0.5875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高对比度且 3 s 脉冲测试效率较好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S02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0.5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600.13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66.08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0.5880 / 0.6544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本批最高对比度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S03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637.48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60.82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0.4460 / 0.9929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着色较快但褪色偏慢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S04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-3 / 0.5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597.83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62.87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0.2452 / 0.3712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响应较快且较均衡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S05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-3 / 0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639.76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58.90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0.2103 / 1.6385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着色快但褪色明显偏慢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S06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-3 / 1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639.00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58.83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0.2047 / 0.2863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本批综合响应最快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S07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双层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0.5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593.24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56.65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0.5502 / 0.3842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双层 ATO 中响应较快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S08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双层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0.5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594.01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57.05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0.7251 / 0.3938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对比度低于单层 ATO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S09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双层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593.24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56.02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0.6375 / 0.6123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旧记录中曾标注原始光谱前缀需复核；本次基于已生成结果表重新分析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汇报时优先突出 S02：单层 ATO、-2/0.5 V、5 s，最大 ΔT 66.0751%，是液态高对比度基准。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S06 说明强电压窗口可以显著加快响应，但最大 ΔT 降至 58.8281%，因此不能只追求 tc/tb。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双层 ATO 三组均低于单层高对比度条件，支持后续固态优先用单层 ATO 试窗口。</w:t>
      </w:r>
    </w:p>
    <w:p>
      <w:pPr>
        <w:pStyle w:val="Heading2"/>
      </w:pPr>
      <w:r>
        <w:t>3.2 7.10 xuantu2 液态窗口补充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57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编号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ATO</w:t>
            </w:r>
          </w:p>
        </w:tc>
        <w:tc>
          <w:tcPr>
            <w:tcW w:type="dxa" w:w="1181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电压窗口</w:t>
            </w:r>
          </w:p>
        </w:tc>
        <w:tc>
          <w:tcPr>
            <w:tcW w:type="dxa" w:w="64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脉冲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λmax/nm</w:t>
            </w:r>
          </w:p>
        </w:tc>
        <w:tc>
          <w:tcPr>
            <w:tcW w:type="dxa" w:w="100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最大ΔT/%</w:t>
            </w:r>
          </w:p>
        </w:tc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tc/tb(s)</w:t>
            </w:r>
          </w:p>
        </w:tc>
        <w:tc>
          <w:tcPr>
            <w:tcW w:type="dxa" w:w="288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备注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S01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-1.5 / 0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594.01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42.70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1.1674 / 0.5595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对比度最低且着色最慢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S02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-1.8 / 0.2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593.24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43.91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1.0585 / 0.3134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褪色较快，着色仍偏慢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S03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594.77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44.42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0.6540 / 0.4915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最高对比度并列，综合响应较均衡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S04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单层 ATO</w:t>
            </w:r>
          </w:p>
        </w:tc>
        <w:tc>
          <w:tcPr>
            <w:tcW w:type="dxa" w:w="118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0.5 V</w:t>
            </w:r>
          </w:p>
        </w:tc>
        <w:tc>
          <w:tcPr>
            <w:tcW w:type="dxa" w:w="6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 s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593.24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44.42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0.7303 / 0.2989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最高对比度并列，褪色最快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xuantu2 系列整体 ΔT 只有约 42.70-44.42%，明显低于 7.4 单层 ATO 高对比度样品。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这组数据适合放在液态部分末尾，作为“同样是液态，制膜与负载仍然决定上限”的转折。</w:t>
      </w:r>
    </w:p>
    <w:p>
      <w:pPr>
        <w:pStyle w:val="Heading2"/>
      </w:pPr>
      <w:r>
        <w:t>3.3 液态部分可得出的判断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高 ΔT 路径：单层 ATO、-2/0.5 V、合适 PBI-Cl 负载可达到约 66%。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快响应路径：更负的着色电压和更正的褪色电压可以加速，但可能牺牲 ΔT 或造成不对称。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稳定性问题：6.16 高对比度样品放置 14 天后 ΔT 约从 62.92% 降至 35-36%，说明高负载液态样品的放置稳定性仍是关键短板。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光学路径问题：双层 ATO 与 PBI+ATO 叠加会降低初始透过率，解释了为什么“增加离子存储层”不一定带来更高可观测 ΔT。</w:t>
      </w:r>
    </w:p>
    <w:p>
      <w:pPr>
        <w:pStyle w:val="Heading1"/>
      </w:pPr>
      <w:r>
        <w:t>4. 固态部分：DALE50 平台从稳定到高对比度</w:t>
      </w:r>
    </w:p>
    <w:p>
      <w:pPr>
        <w:spacing w:after="120"/>
      </w:pPr>
      <w:r>
        <w:rPr>
          <w:rFonts w:ascii="Microsoft YaHei" w:hAnsi="Microsoft YaHei" w:eastAsia="Microsoft YaHei"/>
          <w:b w:val="0"/>
          <w:sz w:val="21"/>
        </w:rPr>
        <w:t>固态部分建议从 6.17 的 DA/EMIMTFSI 初筛讲起，再转到 11×16 腔体、DALE50 长循环、空白夹层透过率和电压窗口筛选。核心是说明固态路线已经不是“能不能工作”，而是“如何用液态基准来校正和优化”。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日期</w:t>
            </w:r>
          </w:p>
        </w:tc>
        <w:tc>
          <w:tcPr>
            <w:tcW w:type="dxa" w:w="223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实验重点</w:t>
            </w:r>
          </w:p>
        </w:tc>
        <w:tc>
          <w:tcPr>
            <w:tcW w:type="dxa" w:w="194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对比度/透过率</w:t>
            </w:r>
          </w:p>
        </w:tc>
        <w:tc>
          <w:tcPr>
            <w:tcW w:type="dxa" w:w="194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响应/保持</w:t>
            </w:r>
          </w:p>
        </w:tc>
        <w:tc>
          <w:tcPr>
            <w:tcW w:type="dxa" w:w="201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汇报含义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6.17 DA/EMIMTFSI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50% EMIMTFSI 未夹2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ΔT 55.57%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tc/tb 0.4559/0.6391 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50%体系兼顾对比度与响应，是后续DALE50平台基础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6.30 DAE50腔体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11×16 mm 未夹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最高ΔT 52.64%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最快 0.3625/0.2732 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腔体尺寸/接触状态显著影响固态响应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7.09 DALE50长循环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-1.8/0.2 V，3 s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46.72% -&gt; 41.67%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5000次保持89.20%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稳定性足以支持进一步电压窗口优化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7.10 空白夹层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FTO/ATO夹固态电解质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T590/T645约67.5-83.6%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静态系数0.68-0.84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固态ΔT需做背景/夹层校正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7.11 DALE50电压窗口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单层ATO，11×16 mm，3 s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最高ΔT 65.56%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tc/tb 0.2636/0.8475 s</w:t>
            </w:r>
          </w:p>
        </w:tc>
        <w:tc>
          <w:tcPr>
            <w:tcW w:type="dxa" w:w="201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-2/0.5 V 综合最优，需补长循环</w:t>
            </w:r>
          </w:p>
        </w:tc>
      </w:tr>
    </w:tbl>
    <w:p>
      <w:pPr>
        <w:spacing w:after="40"/>
      </w:pPr>
    </w:p>
    <w:p>
      <w:pPr>
        <w:pStyle w:val="Heading2"/>
      </w:pPr>
      <w:r>
        <w:t>4.1 6.17 DA/EMIMTFSI 初筛数据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57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编号</w:t>
            </w:r>
          </w:p>
        </w:tc>
        <w:tc>
          <w:tcPr>
            <w:tcW w:type="dxa" w:w="194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样品</w:t>
            </w:r>
          </w:p>
        </w:tc>
        <w:tc>
          <w:tcPr>
            <w:tcW w:type="dxa" w:w="79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夹持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λmax/nm</w:t>
            </w:r>
          </w:p>
        </w:tc>
        <w:tc>
          <w:tcPr>
            <w:tcW w:type="dxa" w:w="100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最大ΔT/%</w:t>
            </w:r>
          </w:p>
        </w:tc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tc/tb(s)</w:t>
            </w:r>
          </w:p>
        </w:tc>
        <w:tc>
          <w:tcPr>
            <w:tcW w:type="dxa" w:w="288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备注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S01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DA70%E 夹 -2-1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clipped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591.71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51.06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0.4568 / 1.3818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No monovalent-peak mis-selection; final bleaching segment is elongated and should be noted separately.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S02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DA50%E 未夹 -2-1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unclipped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603.18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52.98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0.4561 / 1.1453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Full 300-800 nm search selects monovalent peak at 756.67 nm; divalent peak window is required.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S03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DA50%E 未夹2 -2-1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unclipped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603.95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55.57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0.4559 / 0.6391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Highest divalent-peak contrast and fastest representative bleaching response among this batch.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S04</w:t>
            </w:r>
          </w:p>
        </w:tc>
        <w:tc>
          <w:tcPr>
            <w:tcW w:type="dxa" w:w="194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DA50%E 夹 -2-1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clipped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597.07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49.42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0.4695 / 1.0965</w:t>
            </w:r>
          </w:p>
        </w:tc>
        <w:tc>
          <w:tcPr>
            <w:tcW w:type="dxa" w:w="288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Full 300-800 nm search slightly favors monovalent peak at 760.41 nm; final bleaching segment is elongated.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要强调峰位选择：50% 样品在 756-761 nm 附近有一价峰干扰，响应时间应取 540-680 nm 二价峰窗口。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S03（DA50% 未夹2）是初筛最佳：二价峰 ΔT 55.5726%，代表 tc/tb 0.4559/0.6391 s。</w:t>
      </w:r>
    </w:p>
    <w:p>
      <w:pPr>
        <w:pStyle w:val="Heading2"/>
      </w:pPr>
      <w:r>
        <w:t>4.2 6.30 DAE50 腔体尺寸数据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57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编号</w:t>
            </w:r>
          </w:p>
        </w:tc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腔体</w:t>
            </w:r>
          </w:p>
        </w:tc>
        <w:tc>
          <w:tcPr>
            <w:tcW w:type="dxa" w:w="86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λmax/nm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最大ΔT/%</w:t>
            </w:r>
          </w:p>
        </w:tc>
        <w:tc>
          <w:tcPr>
            <w:tcW w:type="dxa" w:w="79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代表cycle</w:t>
            </w:r>
          </w:p>
        </w:tc>
        <w:tc>
          <w:tcPr>
            <w:tcW w:type="dxa" w:w="115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tc/tb(s)</w:t>
            </w:r>
          </w:p>
        </w:tc>
        <w:tc>
          <w:tcPr>
            <w:tcW w:type="dxa" w:w="144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C2-4均值tc/tb</w:t>
            </w:r>
          </w:p>
        </w:tc>
        <w:tc>
          <w:tcPr>
            <w:tcW w:type="dxa" w:w="237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备注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S01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1# 11 x 11 mm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594.77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51.22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2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0.4549 / 0.3759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0.4491 / 0.3964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Cycle 1 coloring is slower and treated as conditioning.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2# 11 x 16 mm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597.07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50.19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0.3625 / 0.2732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0.3314 / 0.3059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Fastest representative response in this batch; optical transition lags voltage switching by about 1 s.</w:t>
            </w:r>
          </w:p>
        </w:tc>
      </w:tr>
      <w:t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S03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3# 11 x 16 mm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595.54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52.64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3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0.4163 / 0.3617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0.3896 / 0.3597</w:t>
            </w:r>
          </w:p>
        </w:tc>
        <w:tc>
          <w:tcPr>
            <w:tcW w:type="dxa" w:w="23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Highest divalent-peak contrast in this batch.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2# 11×16 mm 响应最快，3# 11×16 mm 对比度最高；这说明腔体不是单一尺寸变量，还包含凝胶铺展、边缘空隙和接触均匀性。</w:t>
      </w:r>
    </w:p>
    <w:p>
      <w:pPr>
        <w:pStyle w:val="Heading2"/>
      </w:pPr>
      <w:r>
        <w:t>4.3 7.09 DALE50 长循环稳定性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15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周期段</w:t>
            </w:r>
          </w:p>
        </w:tc>
        <w:tc>
          <w:tcPr>
            <w:tcW w:type="dxa" w:w="100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代表cycle</w:t>
            </w:r>
          </w:p>
        </w:tc>
        <w:tc>
          <w:tcPr>
            <w:tcW w:type="dxa" w:w="151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平台中位ΔT/%</w:t>
            </w:r>
          </w:p>
        </w:tc>
        <w:tc>
          <w:tcPr>
            <w:tcW w:type="dxa" w:w="115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保持率/%</w:t>
            </w:r>
          </w:p>
        </w:tc>
        <w:tc>
          <w:tcPr>
            <w:tcW w:type="dxa" w:w="79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IQR</w:t>
            </w:r>
          </w:p>
        </w:tc>
        <w:tc>
          <w:tcPr>
            <w:tcW w:type="dxa" w:w="86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switch数</w:t>
            </w:r>
          </w:p>
        </w:tc>
        <w:tc>
          <w:tcPr>
            <w:tcW w:type="dxa" w:w="1440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envelope ΔT/%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1-10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46.717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100.00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0.501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48.901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490-500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500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46.706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99.98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0.112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49.526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990-1000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1000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45.819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98.08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0.144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46.869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1990-2000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2000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44.484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95.22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0.106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45.506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2990-3000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3000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43.297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92.68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0.070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44.202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3990-4000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4000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42.611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91.21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0.097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43.720</w:t>
            </w:r>
          </w:p>
        </w:tc>
      </w:tr>
      <w:tr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4990-5000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5000</w:t>
            </w:r>
          </w:p>
        </w:tc>
        <w:tc>
          <w:tcPr>
            <w:tcW w:type="dxa" w:w="151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41.672</w:t>
            </w:r>
          </w:p>
        </w:tc>
        <w:tc>
          <w:tcPr>
            <w:tcW w:type="dxa" w:w="11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89.20</w:t>
            </w:r>
          </w:p>
        </w:tc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0.217</w:t>
            </w:r>
          </w:p>
        </w:tc>
        <w:tc>
          <w:tcPr>
            <w:tcW w:type="dxa" w:w="86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20</w:t>
            </w:r>
          </w:p>
        </w:tc>
        <w:tc>
          <w:tcPr>
            <w:tcW w:type="dxa" w:w="14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44.432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这页建议只画一条保持率曲线：5000次后 89.20%，衰减平滑，没有突发失效。</w:t>
      </w:r>
    </w:p>
    <w:p>
      <w:pPr>
        <w:pStyle w:val="Heading2"/>
      </w:pPr>
      <w:r>
        <w:t>4.4 7.10 固态夹层透过率校正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460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配置</w:t>
            </w:r>
          </w:p>
        </w:tc>
        <w:tc>
          <w:tcPr>
            <w:tcW w:type="dxa" w:w="158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T590/%</w:t>
            </w:r>
          </w:p>
        </w:tc>
        <w:tc>
          <w:tcPr>
            <w:tcW w:type="dxa" w:w="158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7"/>
              </w:rPr>
              <w:t>T645/%</w:t>
            </w:r>
          </w:p>
        </w:tc>
      </w:tr>
      <w:t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单层 ATO 一端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80.43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83.56</w:t>
            </w:r>
          </w:p>
        </w:tc>
      </w:tr>
      <w:t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双层 ATO + 双面胶腔体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71.17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72.69</w:t>
            </w:r>
          </w:p>
        </w:tc>
      </w:tr>
      <w:tr>
        <w:tc>
          <w:tcPr>
            <w:tcW w:type="dxa" w:w="46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双层 ATO 无双面胶腔体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7"/>
              </w:rPr>
              <w:t>67.53</w:t>
            </w:r>
          </w:p>
        </w:tc>
        <w:tc>
          <w:tcPr>
            <w:tcW w:type="dxa" w:w="15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7"/>
              </w:rPr>
              <w:t>70.99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固态夹层在 PBI-Cl 二价峰附近会把绝对 ΔT 粗略压低到 0.68-0.84 倍；因此固态与液态比较时要同时报原始 ΔT 和夹层校正后的估计。</w:t>
      </w:r>
    </w:p>
    <w:p>
      <w:pPr>
        <w:pStyle w:val="Heading2"/>
      </w:pPr>
      <w:r>
        <w:t>4.5 7.11 DALE50 电压窗口筛选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电压窗口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λmax/nm</w:t>
            </w:r>
          </w:p>
        </w:tc>
        <w:tc>
          <w:tcPr>
            <w:tcW w:type="dxa" w:w="100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最大ΔT/%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中位tc/s</w:t>
            </w:r>
          </w:p>
        </w:tc>
        <w:tc>
          <w:tcPr>
            <w:tcW w:type="dxa" w:w="93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中位tb/s</w:t>
            </w:r>
          </w:p>
        </w:tc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均值tc±SD</w:t>
            </w:r>
          </w:p>
        </w:tc>
        <w:tc>
          <w:tcPr>
            <w:tcW w:type="dxa" w:w="1224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均值tb±SD</w:t>
            </w:r>
          </w:p>
        </w:tc>
        <w:tc>
          <w:tcPr>
            <w:tcW w:type="dxa" w:w="187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5"/>
              </w:rPr>
              <w:t>备注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-1.5 / 0 V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600.13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45.99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0.3742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1.2813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0.3782 ± 0.0131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1.2822 ± 0.0112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对比度最低，响应较慢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-1.6 / 0.1 V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597.83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48.45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0.3429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1.1973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0.3494 ± 0.0172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1.1935 ± 0.0148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对比度和速度均有改善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-1.7 / 0.2 V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600.13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50.28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0.2979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1.2113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0.3024 ± 0.0103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1.2015 ± 0.0166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着色继续加快，褪色接近 -1.6 / 0.1 V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-1.8 / 0.3 V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597.07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52.50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0.2891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1.0952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0.2921 ± 0.0099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1.0941 ± 0.0306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对比度稳步提高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-1.9 / 0.4 V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595.54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54.71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0.2522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0.9490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0.2585 ± 0.0142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0.9523 ± 0.0197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着色最快</w:t>
            </w:r>
          </w:p>
        </w:tc>
      </w:tr>
      <w:tr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-2 / 0.5 V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600.13</w:t>
            </w:r>
          </w:p>
        </w:tc>
        <w:tc>
          <w:tcPr>
            <w:tcW w:type="dxa" w:w="100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65.56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0.2636</w:t>
            </w:r>
          </w:p>
        </w:tc>
        <w:tc>
          <w:tcPr>
            <w:tcW w:type="dxa" w:w="9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0.8475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5"/>
              </w:rPr>
              <w:t>0.2737 ± 0.0299</w:t>
            </w:r>
          </w:p>
        </w:tc>
        <w:tc>
          <w:tcPr>
            <w:tcW w:type="dxa" w:w="12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0.8379 ± 0.0978</w:t>
            </w:r>
          </w:p>
        </w:tc>
        <w:tc>
          <w:tcPr>
            <w:tcW w:type="dxa" w:w="18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5"/>
              </w:rPr>
              <w:t>最大对比度最高，褪色最快，综合最优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电压窗口从 -1.5/0 V 扩大到 -2/0.5 V，最大 ΔT 从 45.99% 提升到 65.56%。</w:t>
      </w:r>
    </w:p>
    <w:p>
      <w:pPr>
        <w:pStyle w:val="ListBullet"/>
      </w:pPr>
      <w:r>
        <w:rPr>
          <w:rFonts w:ascii="Microsoft YaHei" w:hAnsi="Microsoft YaHei" w:eastAsia="Microsoft YaHei"/>
          <w:sz w:val="20"/>
        </w:rPr>
        <w:t>-1.9/0.4 V 着色最快，但 -2/0.5 V 同时具有最高 ΔT 和最快褪色，适合作为下一轮固态长循环主条件。</w:t>
      </w:r>
    </w:p>
    <w:p>
      <w:pPr>
        <w:pStyle w:val="Heading1"/>
      </w:pPr>
      <w:r>
        <w:t>5. 液态与固态之间的联系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3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共同变量</w:t>
            </w:r>
          </w:p>
        </w:tc>
        <w:tc>
          <w:tcPr>
            <w:tcW w:type="dxa" w:w="244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液态证据</w:t>
            </w:r>
          </w:p>
        </w:tc>
        <w:tc>
          <w:tcPr>
            <w:tcW w:type="dxa" w:w="244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固态证据</w:t>
            </w:r>
          </w:p>
        </w:tc>
        <w:tc>
          <w:tcPr>
            <w:tcW w:type="dxa" w:w="3096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汇报解释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ATO层数/透过率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7.4 双层ATO最高57.05%，低于单层66.08%；7.02 双层ATO透过率低于单层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7.11 单层ATO固态在 -2/0.5 V 达65.56%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增加ATO层数不等于提高器件ΔT，需同时看电荷容量与光学损失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PBI-Cl/TiO2负载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6.16高负载ΔT 62.92%，放置后降到35-36%；7.10 xuantu2只有44.42%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6.17/6.30固态需用二价峰窗口和腔体接触解释ΔT差异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高负载提高上限，但可能牺牲稳定或响应；膜厚和染料负载要和性能联动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电压窗口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液态 -3/1 V 响应最快但ΔT下降；-2/0.5 V高ΔT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固态 -2/0.5 V 最高ΔT并且褪色最快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电压窗口是液态到固态都有效的调控变量，但必须用长循环检查高电压代价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光学背景/夹层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纯FTO/ATO/PBI+ATO透过率显示叠层会压低T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固态空白夹层T590/T645为67.5-83.6%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固态ΔT不能只按原始数值比较，需要报告夹层校正或至少说明静态损失</w:t>
            </w:r>
          </w:p>
        </w:tc>
      </w:tr>
      <w:tr>
        <w:tc>
          <w:tcPr>
            <w:tcW w:type="dxa" w:w="13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稳定性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6.30放置14天主要衰减来自储存过程</w:t>
            </w:r>
          </w:p>
        </w:tc>
        <w:tc>
          <w:tcPr>
            <w:tcW w:type="dxa" w:w="244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7.09固态5000次保持89.20%</w:t>
            </w:r>
          </w:p>
        </w:tc>
        <w:tc>
          <w:tcPr>
            <w:tcW w:type="dxa" w:w="309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固态路线的优势可以落在长期稳定性和封装可控性上</w:t>
            </w:r>
          </w:p>
        </w:tc>
      </w:tr>
    </w:tbl>
    <w:p>
      <w:pPr>
        <w:spacing w:after="40"/>
      </w:pPr>
    </w:p>
    <w:p>
      <w:pPr>
        <w:pStyle w:val="Heading1"/>
      </w:pPr>
      <w:r>
        <w:t>6. 本次汇报建议结论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液态路线已经给出高对比度上限：单层 ATO、LiClO4/ACN、-2/0.5 V 可达约 66% ΔT；但放置稳定性和 ATO层数/光学损失仍是问题。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固态 DALE50 路线已经从“稳定但对比度中等”推进到“高对比度且可稳定循环”：-2/0.5 V 下 ΔT 65.56%，而 -1.8/0.2 V 条件下 5000次保持89.20%。</w:t>
      </w:r>
    </w:p>
    <w:p>
      <w:pPr>
        <w:pStyle w:val="ListNumber"/>
      </w:pPr>
      <w:r>
        <w:rPr>
          <w:rFonts w:ascii="Microsoft YaHei" w:hAnsi="Microsoft YaHei" w:eastAsia="Microsoft YaHei"/>
          <w:sz w:val="20"/>
        </w:rPr>
        <w:t>下一轮应把固态 -2/0.5 V 长循环、单/双 ATO 平行复测、空白夹层背景校正放在优先级最高的位置；液态则作为机制对照和材料变量筛选平台。</w:t>
      </w:r>
    </w:p>
    <w:p>
      <w:pPr>
        <w:pStyle w:val="Heading1"/>
      </w:pPr>
      <w:r>
        <w:t>7. 下一步实验优先级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79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优先级</w:t>
            </w:r>
          </w:p>
        </w:tc>
        <w:tc>
          <w:tcPr>
            <w:tcW w:type="dxa" w:w="223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实验</w:t>
            </w:r>
          </w:p>
        </w:tc>
        <w:tc>
          <w:tcPr>
            <w:tcW w:type="dxa" w:w="31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目的</w:t>
            </w:r>
          </w:p>
        </w:tc>
        <w:tc>
          <w:tcPr>
            <w:tcW w:type="dxa" w:w="316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建议判据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DALE50 -2/0.5 V 长循环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验证高ΔT窗口是否牺牲长期稳定性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至少 5000 cycles；记录1-10、500、1000、2000、3000、4000、5000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P0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固态空白夹层复测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把固态ΔT与液态ΔT比较时做背景校正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使用真实器件一致的FTO/ATO/胶体/腔体厚度和位置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单层/双层ATO平行器件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确认ATO容量与光学损失的平衡点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同一TiO2/PBI批次、同一电压窗口、同一腔体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P1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7.11分层旋涂样品性能测试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把膜厚/层数与ΔT、tc/tb关联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同步记录边缘/中间膜厚，优先比较中间区域</w:t>
            </w:r>
          </w:p>
        </w:tc>
      </w:tr>
      <w:tr>
        <w:tc>
          <w:tcPr>
            <w:tcW w:type="dxa" w:w="79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P2</w:t>
            </w:r>
          </w:p>
        </w:tc>
        <w:tc>
          <w:tcPr>
            <w:tcW w:type="dxa" w:w="223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PBI-Cl浸泡量/冲洗强度微调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区分有效锚定与物理吸附/聚集</w:t>
            </w:r>
          </w:p>
        </w:tc>
        <w:tc>
          <w:tcPr>
            <w:tcW w:type="dxa" w:w="31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看ΔT、残余峰、放置衰减和循环保持率</w:t>
            </w:r>
          </w:p>
        </w:tc>
      </w:tr>
    </w:tbl>
    <w:p>
      <w:pPr>
        <w:spacing w:after="40"/>
      </w:pPr>
    </w:p>
    <w:p>
      <w:pPr>
        <w:pStyle w:val="Heading1"/>
      </w:pPr>
      <w:r>
        <w:t>8. 数据源清单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088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类别</w:t>
            </w:r>
          </w:p>
        </w:tc>
        <w:tc>
          <w:tcPr>
            <w:tcW w:type="dxa" w:w="7272"/>
            <w:shd w:fill="E8EEF5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16"/>
              </w:rPr>
              <w:t>文件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上一份PPT</w:t>
            </w:r>
          </w:p>
        </w:tc>
        <w:tc>
          <w:tcPr>
            <w:tcW w:type="dxa" w:w="72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D:\Desktop\组会\组会\敖思亮20260617.pptx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液态基准</w:t>
            </w:r>
          </w:p>
        </w:tc>
        <w:tc>
          <w:tcPr>
            <w:tcW w:type="dxa" w:w="72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data/2026-06-16-dye-bath-response-time.json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6.30放置/双层ATO/DAE50尺寸</w:t>
            </w:r>
          </w:p>
        </w:tc>
        <w:tc>
          <w:tcPr>
            <w:tcW w:type="dxa" w:w="72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data/2026-06-30-0616-sample-aging-response-time.json；data/2026-06-30-0616-sample-aging-cycling-stability.json；data/2026-06-30-double-ato-condition-response-time.json；data/2026-06-30-dae50-size-response-time.json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7.2纯片透过率</w:t>
            </w:r>
          </w:p>
        </w:tc>
        <w:tc>
          <w:tcPr>
            <w:tcW w:type="dxa" w:w="72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data/2026-07-02-pure-pbi-ato-fto-transmittance.json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7.4与7.10液态响应</w:t>
            </w:r>
          </w:p>
        </w:tc>
        <w:tc>
          <w:tcPr>
            <w:tcW w:type="dxa" w:w="72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data/2026-07-04-ato-liquid-spectroechem-response-time.json；data/2026-07-10-xuantu2-spectroechem-response-time.json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固态稳定/透过率/电压窗口</w:t>
            </w:r>
          </w:p>
        </w:tc>
        <w:tc>
          <w:tcPr>
            <w:tcW w:type="dxa" w:w="72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data/2026-07-09-dale50-il50-solid-cycling-stability.json；data/2026-07-10-dale-solid-electrolyte-transmittance.json；data/2026-07-11-dale50-il50-voltage-response-time.json</w:t>
            </w:r>
          </w:p>
        </w:tc>
      </w:tr>
      <w:tr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sz w:val="16"/>
              </w:rPr>
              <w:t>制备与膜厚辅助记录</w:t>
            </w:r>
          </w:p>
        </w:tc>
        <w:tc>
          <w:tcPr>
            <w:tcW w:type="dxa" w:w="72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0"/>
              <w:jc w:val="left"/>
            </w:pPr>
            <w:r>
              <w:rPr>
                <w:rFonts w:ascii="Microsoft YaHei" w:hAnsi="Microsoft YaHei" w:eastAsia="Microsoft YaHei"/>
                <w:sz w:val="16"/>
              </w:rPr>
              <w:t>experiments/2026-07-01-pbi-cl-thickness-meeting.md；experiments/2026-07-06-spincoat-thickness-pbi-cl.md；experiments/2026-07-11-tio2-spin-coating-film.md；experiments/2026-07-13-pbi-cl-dye-soak-thickness.md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5F5F"/>
        <w:sz w:val="17"/>
      </w:rPr>
      <w:t>本次组会汇报脉络稿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8" w:lineRule="auto"/>
      <w:contextualSpacing/>
    </w:pPr>
    <w:rPr>
      <w:rFonts w:ascii="Microsoft YaHei" w:hAnsi="Microsoft YaHe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8" w:lineRule="auto"/>
      <w:contextualSpacing/>
    </w:pPr>
    <w:rPr>
      <w:rFonts w:ascii="Microsoft YaHei" w:hAnsi="Microsoft YaHe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