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三国法</w:t>
      </w:r>
    </w:p>
    <w:p>
      <w:pPr>
        <w:spacing w:after="400"/>
        <w:jc w:val="center"/>
      </w:pPr>
      <w:r>
        <w:rPr>
          <w:b/>
        </w:rPr>
        <w:t>共 2 道题 (目标: 2题)</w:t>
      </w:r>
    </w:p>
    <w:p>
      <w:pPr>
        <w:spacing w:after="200"/>
        <w:jc w:val="center"/>
      </w:pPr>
      <w:r>
        <w:rPr>
          <w:i/>
        </w:rPr>
        <w:t>题目编号：[45, 47]</w:t>
      </w:r>
    </w:p>
    <w:p>
      <w:pPr>
        <w:jc w:val="center"/>
      </w:pPr>
      <w:r>
        <w:t>============================================================</w:t>
      </w:r>
    </w:p>
    <w:p/>
    <w:p>
      <w:r>
        <w:t>45.外国法查明的费用承担有约定从约定，无约定的，人民法院可以根据当事人的诉讼请求和具体案情， 在作出裁判时确定上述合理费用的负担，并非必须由败诉方承担，A 项错误。 对此，下列说法正确的是？</w:t>
      </w:r>
    </w:p>
    <w:p>
      <w:r>
        <w:t>A.（选项内容待补充）</w:t>
      </w:r>
    </w:p>
    <w:p>
      <w:r>
        <w:t>B.（选项内容待补充）</w:t>
      </w:r>
    </w:p>
    <w:p>
      <w:r>
        <w:t>C.（选项内容待补充）</w:t>
      </w:r>
    </w:p>
    <w:p>
      <w:r>
        <w:t>D.（选项内容待补充）</w:t>
      </w:r>
    </w:p>
    <w:p>
      <w:r>
        <w:t>45. 正确答案：B</w:t>
      </w:r>
    </w:p>
    <w:p>
      <w:r>
        <w:t>【答案解析】</w:t>
      </w:r>
    </w:p>
    <w:p>
      <w:r>
        <w:t>外国法查明的费用承担有约定从约定，无约定的，人民法院可以根据当事人的诉讼请求和具体案情， 在作出裁判时确定上述合理费用的负担，并非必须由败诉方承担，A 项错误。</w:t>
      </w:r>
    </w:p>
    <w:p>
      <w:r>
        <w:t>本案适用的欧盟法是因当事人选择而被适用，查明义务在当事人而非法院，B 项正确，C 项错误。</w:t>
      </w:r>
    </w:p>
    <w:p>
      <w:r>
        <w:t>一般合同在法律适用上以当事人意思自治优先，当事人可以协议选择适用任意法律，包括未对中国生 效的国际条约，不受实际联系原则的限制。且没有限制意思自治的范围，合同中选用欧盟法的约定有效， D 项错误。</w:t>
      </w:r>
    </w:p>
    <w:p>
      <w:r>
        <w:t>综上所述，本题答案为B。</w:t>
      </w:r>
    </w:p>
    <w:p>
      <w:pPr>
        <w:spacing w:before="120" w:after="120"/>
        <w:jc w:val="center"/>
      </w:pPr>
      <w:r>
        <w:t>------------------------------</w:t>
      </w:r>
    </w:p>
    <w:p>
      <w:r>
        <w:t>47.《纽约公约》是外国仲裁裁决在中国申请承认与执行的法律依据，本案香港地区仲裁裁决在内地申请 认可与执行的法律依据是《最高人民法院关于内地与香港特别行政区相互执行仲裁裁决的安排》,A 项 错 误。 对此，下列说法正确的是？</w:t>
      </w:r>
    </w:p>
    <w:p>
      <w:r>
        <w:t>A.（选项内容待补充）</w:t>
      </w:r>
    </w:p>
    <w:p>
      <w:r>
        <w:t>B.（选项内容待补充）</w:t>
      </w:r>
    </w:p>
    <w:p>
      <w:r>
        <w:t>C.（选项内容待补充）</w:t>
      </w:r>
    </w:p>
    <w:p>
      <w:r>
        <w:t>D.（选项内容待补充）</w:t>
      </w:r>
    </w:p>
    <w:p>
      <w:r>
        <w:t>47. 正确答案：D</w:t>
      </w:r>
    </w:p>
    <w:p>
      <w:r>
        <w:t>【答案解析】</w:t>
      </w:r>
    </w:p>
    <w:p>
      <w:r>
        <w:t>《纽约公约》是外国仲裁裁决在中国申请承认与执行的法律依据，本案香港地区仲裁裁决在内地申请 认可与执行的法律依据是《最高人民法院关于内地与香港特别行政区相互执行仲裁裁决的安排》,A 项 错 误。</w:t>
      </w:r>
    </w:p>
    <w:p>
      <w: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r>
    </w:p>
    <w:p>
      <w: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r>
    </w:p>
    <w:p>
      <w: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r>
    </w:p>
    <w:p>
      <w:r>
        <w:t>综上所述，本题答案为 D。</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