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2024年法考客观题 - 行政法（真题版）</w:t>
      </w:r>
    </w:p>
    <w:p>
      <w:pPr>
        <w:spacing w:after="400"/>
        <w:jc w:val="center"/>
      </w:pPr>
      <w:r>
        <w:rPr>
          <w:b/>
        </w:rPr>
        <w:t>共 4 道题</w:t>
      </w:r>
    </w:p>
    <w:p>
      <w:pPr>
        <w:spacing w:after="200"/>
        <w:jc w:val="center"/>
      </w:pPr>
      <w:r>
        <w:rPr>
          <w:i/>
        </w:rPr>
        <w:t>题目编号：[90, 92, 94, 96]</w:t>
      </w:r>
    </w:p>
    <w:p>
      <w:pPr>
        <w:jc w:val="center"/>
      </w:pPr>
      <w:r>
        <w:t>============================================================</w:t>
      </w:r>
    </w:p>
    <w:p/>
    <w:p>
      <w:r>
        <w:rPr>
          <w:b/>
          <w:sz w:val="28"/>
        </w:rPr>
        <w:t>第90题</w:t>
      </w:r>
    </w:p>
    <w:p>
      <w:pPr>
        <w:spacing w:after="120"/>
      </w:pPr>
      <w:r>
        <w:t>题目90（题干从答案解析中推断）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正确答案：AC</w:t>
      </w:r>
    </w:p>
    <w:p>
      <w:pPr>
        <w:spacing w:before="120" w:after="240"/>
      </w:pPr>
      <w:r>
        <w:t>【答案解析】</w:t>
        <w:br/>
        <w:t>债务人履行债务的，定金应当抵作价款或者收回。给付定金的一方不履行债务或者履行债务不符合约  定，致使不能实现合同目的的，无权请求返还定金；收受定金的一方不履行债务或者履行债务不符合约定， 致使不能实现合同目的的，应当双倍返还定金。在本案中，乙公司收受了定金，但是未能履约，基于前述  规则应当双倍返还定金，也即40万元。 C 选项正确。</w:t>
        <w:br/>
        <w:t>定金不足以弥补一方违约造成的损失的，对方可以请求赔偿超过定金数额的损失。在本案中，上述所 谓40万元实际上有20万元本来便是甲所支付的，因而在乙双倍返还定金40万元后，甲仍有30万元损失 未能得到弥补，也即基于前述规则，乙仍应当赔偿30万元的损失。 A 选项正确、B 选项错误。</w:t>
        <w:br/>
        <w:t>当事人既约定违约金，又约定定金的，一方违约时，对方可以选择适用违约金或者定金条款。据此， D 选项错误。</w:t>
        <w:br/>
        <w:t>综上所述，本题答案为AC。</w:t>
      </w:r>
    </w:p>
    <w:p>
      <w:pPr>
        <w:spacing w:before="120" w:after="240"/>
        <w:jc w:val="center"/>
      </w:pPr>
      <w:r>
        <w:t>--------------------------------------------------</w:t>
      </w:r>
    </w:p>
    <w:p>
      <w:r>
        <w:rPr>
          <w:b/>
          <w:sz w:val="28"/>
        </w:rPr>
        <w:t>第92题</w:t>
      </w:r>
    </w:p>
    <w:p>
      <w:pPr>
        <w:spacing w:after="120"/>
      </w:pPr>
      <w:r>
        <w:t>题目92（题干从答案解析中推断）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正确答案：AB</w:t>
      </w:r>
    </w:p>
    <w:p>
      <w:pPr>
        <w:spacing w:before="120" w:after="240"/>
      </w:pPr>
      <w:r>
        <w:t>【答案解析】</w:t>
        <w:br/>
        <w:t>甲将自己800万元的合法财产设立信托，信托财产具有确定性。因此， A 项正确。</w:t>
        <w:br/>
        <w:t>甲的信托目的合法，信托目的具有确定性。因此，B 项正确。</w:t>
        <w:br/>
        <w:t>甲指定受益人为自己的子女和未来的子女，受益人范围能够确定下来，符合受益人确定原则。因此， C 项错误。</w:t>
        <w:br/>
        <w:t>《信托法》第17条规定：“除因下列情形之一外，对信托财产不得强制执行：(一)设立信托前债权 人已对该信托财产享有优先受偿的权利，并依法行使该权利的；(二)受托人处理信托事务所产生债务， 债权人要求清偿该债务的；(三)信托财产本身应担负的税款；(四)法律规定的其他情形。对于违反前款 规定而强制执行信托财产，委托人、受托人或者受益人有权向人民法院提出异议。”甲的信托合法有效， 信托财产已独立于甲的其他财产，且不存在上述17条规定的例外情形，故乙不可以请求法院执行甲的信 托财产。因此，D 项错误。</w:t>
        <w:br/>
        <w:t>综上所述，本题答案为AB。</w:t>
      </w:r>
    </w:p>
    <w:p>
      <w:pPr>
        <w:spacing w:before="120" w:after="240"/>
        <w:jc w:val="center"/>
      </w:pPr>
      <w:r>
        <w:t>--------------------------------------------------</w:t>
      </w:r>
    </w:p>
    <w:p>
      <w:r>
        <w:rPr>
          <w:b/>
          <w:sz w:val="28"/>
        </w:rPr>
        <w:t>第94题</w:t>
      </w:r>
    </w:p>
    <w:p>
      <w:pPr>
        <w:spacing w:after="120"/>
      </w:pPr>
      <w:r>
        <w:t>题目94（题干从答案解析中推断）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正确答案：BC</w:t>
      </w:r>
    </w:p>
    <w:p>
      <w:pPr>
        <w:spacing w:before="120" w:after="240"/>
      </w:pPr>
      <w:r>
        <w:t>【答案解析】</w:t>
        <w:br/>
        <w:t>《合伙企业法》第21条规定：“合伙人在合伙企业清算前，不得请求分割合伙企业的财产；但是，本 法另有规定的除外。合伙人在合伙企业清算前私自转移或者处分合伙企业财产的，合伙企业不得以此对抗 善意第三人。”合伙企业不得对抗善意第三人丁，丁有权取得该洗衣设备，丙的处置行为有效。因此，A 项错误，C 项正确，D 项错误。</w:t>
        <w:br/>
        <w:t>《合伙企业法》第49条第1款规定：“合伙人有下列情形之一的，经其他合伙人一致同意，可以决议</w:t>
        <w:br/>
        <w:t>将其除名：(一)未履行出资义务；(二)因故意或者重大过失给合伙企业造成损失；(三)执行合伙事务 时有不正当行为；(四)发生合伙协议约定的事由。”本题中，丙未经甲乙同意擅自处分该洗衣设备，属于 执行合伙事务时有不正当行为的情形，甲乙可一致同意将丙从合伙企业中除名。因此，B 项正确。</w:t>
        <w:br/>
        <w:t>综上所述，本题答案为 BC。</w:t>
      </w:r>
    </w:p>
    <w:p>
      <w:pPr>
        <w:spacing w:before="120" w:after="240"/>
        <w:jc w:val="center"/>
      </w:pPr>
      <w:r>
        <w:t>--------------------------------------------------</w:t>
      </w:r>
    </w:p>
    <w:p>
      <w:r>
        <w:rPr>
          <w:b/>
          <w:sz w:val="28"/>
        </w:rPr>
        <w:t>第96题</w:t>
      </w:r>
    </w:p>
    <w:p>
      <w:pPr>
        <w:spacing w:after="120"/>
      </w:pPr>
      <w:r>
        <w:t>题目96（题干从答案解析中推断）</w:t>
      </w:r>
    </w:p>
    <w:p>
      <w:pPr>
        <w:ind w:left="400"/>
      </w:pPr>
      <w:r>
        <w:t>A. 选项A（具体内容见解析）</w:t>
      </w:r>
    </w:p>
    <w:p>
      <w:pPr>
        <w:ind w:left="400"/>
      </w:pPr>
      <w:r>
        <w:t>B. 选项B（具体内容见解析）</w:t>
      </w:r>
    </w:p>
    <w:p>
      <w:pPr>
        <w:ind w:left="400"/>
      </w:pPr>
      <w:r>
        <w:t>C. 选项C（具体内容见解析）</w:t>
      </w:r>
    </w:p>
    <w:p>
      <w:pPr>
        <w:ind w:left="400"/>
      </w:pPr>
      <w:r>
        <w:t>D. 选项D（具体内容见解析）</w:t>
      </w:r>
    </w:p>
    <w:p>
      <w:pPr>
        <w:spacing w:before="120"/>
      </w:pPr>
      <w:r>
        <w:rPr>
          <w:b/>
          <w:color w:val="008000"/>
        </w:rPr>
        <w:t>正确答案：AC</w:t>
      </w:r>
    </w:p>
    <w:p>
      <w:pPr>
        <w:spacing w:before="120" w:after="240"/>
      </w:pPr>
      <w:r>
        <w:t>【答案解析】</w:t>
        <w:br/>
        <w:t>《消费者权益保护法》第37条第1款规定：“消费者协会履行下列公益性职责： ……(四)就有关消 费者合法权益的问题，向有关部门反映、查询，提出建议；(五)受理消费者的投诉，并对投诉事项进行 调查、调解； ……”本题中，A 项 和C 项分别对应着前述法条中的第(四)项和第(五)项。因此， AC  项正确。</w:t>
        <w:br/>
        <w:t>消费者协会是依法成立的对商品和服务进行社会监督的保护消费者合法权益的社会组织，无罚款权力。 因 此 ，B 项错误。</w:t>
        <w:br/>
        <w:t>《消费者权益保护法》第47条规定：“对侵害众多消费者合法权益的行为，中国消费者协会以及在省、 自治区、直辖市设立的消费者协会，可以向人民法院提起诉讼。”本案中的消费者协会系市级消费者协会， 不能提起公益诉讼。因此，D 项错误。</w:t>
        <w:br/>
        <w:t>综上所述，本题答案为AC。</w:t>
      </w:r>
    </w:p>
    <w:p>
      <w:pPr>
        <w:spacing w:before="120" w:after="240"/>
        <w:jc w:val="center"/>
      </w:pPr>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