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76" w:rsidRDefault="008A5A76" w:rsidP="008A5A76">
      <w:pPr>
        <w:tabs>
          <w:tab w:val="left" w:pos="5125"/>
        </w:tabs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</w:rPr>
        <w:t>四.</w:t>
      </w:r>
      <w:r>
        <w:rPr>
          <w:rFonts w:ascii="標楷體" w:eastAsia="標楷體" w:hAnsi="標楷體" w:hint="eastAsia"/>
          <w:szCs w:val="24"/>
        </w:rPr>
        <w:t>門檻設立</w:t>
      </w:r>
    </w:p>
    <w:p w:rsidR="008A5A76" w:rsidRDefault="008A5A76" w:rsidP="008A5A76">
      <w:pPr>
        <w:pStyle w:val="Default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諸多學者皆以不同的方式在進行配對交易的進場門檻設立，舉凡Gatev(2006)以2倍標準差做為進出場門檻；黃煜翔(2018)則以1到3倍標準差為區間，並以0.5倍最為門檻值的分隔；Kiri</w:t>
      </w:r>
      <w:r>
        <w:rPr>
          <w:rFonts w:ascii="標楷體" w:eastAsia="標楷體" w:hAnsi="標楷體" w:cstheme="minorBidi" w:hint="eastAsia"/>
        </w:rPr>
        <w:t>ll Temlyakov(2012)與R.Todd Smith and Xun Xu（2017）</w:t>
      </w:r>
      <w:r>
        <w:rPr>
          <w:rFonts w:ascii="標楷體" w:eastAsia="標楷體" w:hAnsi="標楷體" w:hint="eastAsia"/>
        </w:rPr>
        <w:t>則致力於參數的實證研究，前者致力於找尋最佳化參數；後者則利用不同的參數進行實證分析。</w:t>
      </w:r>
    </w:p>
    <w:p w:rsidR="008A5A76" w:rsidRDefault="008A5A76" w:rsidP="008A5A76">
      <w:pPr>
        <w:pStyle w:val="Default"/>
        <w:rPr>
          <w:rFonts w:ascii="標楷體" w:eastAsia="標楷體" w:hAnsi="標楷體" w:hint="eastAsia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開倉門檻設立</w:t>
      </w:r>
      <w:r>
        <w:rPr>
          <w:rFonts w:ascii="新細明體" w:eastAsia="新細明體" w:hAnsi="新細明體" w:hint="eastAsia"/>
          <w:szCs w:val="24"/>
        </w:rPr>
        <w:t>：</w:t>
      </w: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但實務上的推移，顯示最佳化參數不見得可以維持良好的報酬率，故本研究選擇以形成期之價差1.5倍標準差作為啟動交易的門檻值，進行2011年至2020年的長期單一配對標的實證。</w:t>
      </w: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OPEN = 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/>
                <w:szCs w:val="24"/>
              </w:rPr>
              <m:t>X</m:t>
            </m:r>
          </m:sup>
        </m:sSubSup>
        <m:r>
          <w:rPr>
            <w:rFonts w:ascii="Cambria Math" w:eastAsia="標楷體" w:hAnsi="Cambria Math"/>
            <w:szCs w:val="24"/>
          </w:rPr>
          <m:t>-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/>
                <w:szCs w:val="24"/>
              </w:rPr>
              <m:t>Y</m:t>
            </m:r>
          </m:sup>
        </m:sSubSup>
        <m:r>
          <m:rPr>
            <m:sty m:val="p"/>
          </m:rPr>
          <w:rPr>
            <w:rFonts w:ascii="Cambria Math" w:eastAsia="標楷體" w:hAnsi="Cambria Math"/>
            <w:szCs w:val="24"/>
          </w:rPr>
          <m:t>&gt;μ±1.5*StdevD(difference)</m:t>
        </m:r>
      </m:oMath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當交易期X股票與Y股票的價差大於兩者在形成期的價差平均值加減價差1.5倍標準差時，則開倉，而買進或放空則端看兩者價差偏離幅度而定，若X股票價格漲幅高於Y股票，則認定現階段X股價被高估，Y股價被低估，此時放空X股票，做多Y股票；反之，若X股票價格漲幅低於Y股票，則認定現階段Y股價被高估，X股價被低估，此時放空Y股票，做多X股票。</w:t>
      </w: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平倉門檻設立</w:t>
      </w:r>
      <w:r>
        <w:rPr>
          <w:rFonts w:ascii="新細明體" w:eastAsia="新細明體" w:hAnsi="新細明體" w:hint="eastAsia"/>
          <w:szCs w:val="24"/>
        </w:rPr>
        <w:t>：</w:t>
      </w: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當交易期X股票與Y股票的價差大於兩者在形成期的價差平均值加減價差0.2倍標準差時，則進行平倉，結算獲利。</w:t>
      </w: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Gatev(2006)並未對出場時點設置門檻，而是啟動交易後，兩標的若未回歸到正常價差水平，則待交易日到期時進行平倉，若兩標的價格持續背離，則帶有未平倉的無限風險，故本研究對停損停利進行限制，以5倍標準差為停損停利值，若兩標的價格偏離超過5倍標準差時，則立即進行平倉計算損益，若兩標的無法收歛至目標獲利門檻又無處發停損停利值時，則待交易日到期進行平倉。</w:t>
      </w: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CLOSE</m:t>
            </m:r>
          </m:e>
          <m:sub>
            <m:r>
              <w:rPr>
                <w:rFonts w:ascii="Cambria Math" w:eastAsia="標楷體" w:hAnsi="Cambria Math" w:hint="eastAsia"/>
                <w:szCs w:val="24"/>
              </w:rPr>
              <m:t>平倉</m:t>
            </m:r>
          </m:sub>
        </m:sSub>
      </m:oMath>
      <w:r>
        <w:rPr>
          <w:rFonts w:ascii="標楷體" w:eastAsia="標楷體" w:hAnsi="標楷體" w:hint="eastAsia"/>
          <w:szCs w:val="24"/>
        </w:rPr>
        <w:t xml:space="preserve"> = 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/>
                <w:szCs w:val="24"/>
              </w:rPr>
              <m:t>X</m:t>
            </m:r>
          </m:sup>
        </m:sSubSup>
        <m:r>
          <w:rPr>
            <w:rFonts w:ascii="Cambria Math" w:eastAsia="標楷體" w:hAnsi="Cambria Math"/>
            <w:szCs w:val="24"/>
          </w:rPr>
          <m:t>-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/>
                <w:szCs w:val="24"/>
              </w:rPr>
              <m:t>Y</m:t>
            </m:r>
          </m:sup>
        </m:sSubSup>
        <m:r>
          <m:rPr>
            <m:sty m:val="p"/>
          </m:rPr>
          <w:rPr>
            <w:rFonts w:ascii="Cambria Math" w:eastAsia="標楷體" w:hAnsi="Cambria Math"/>
            <w:szCs w:val="24"/>
          </w:rPr>
          <m:t>&gt;μ±0.2*StdevD(difference)</m:t>
        </m:r>
      </m:oMath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m:oMath>
        <m:sSub>
          <m:sSubPr>
            <m:ctrlPr>
              <w:rPr>
                <w:rFonts w:ascii="Cambria Math" w:eastAsia="標楷體" w:hAnsi="Cambria Math"/>
                <w:szCs w:val="24"/>
              </w:rPr>
            </m:ctrlPr>
          </m:sSubPr>
          <m:e>
            <m:r>
              <w:rPr>
                <w:rFonts w:ascii="Cambria Math" w:eastAsia="標楷體" w:hAnsi="Cambria Math"/>
                <w:szCs w:val="24"/>
              </w:rPr>
              <m:t>CLOSE</m:t>
            </m:r>
          </m:e>
          <m:sub>
            <m:r>
              <w:rPr>
                <w:rFonts w:ascii="Cambria Math" w:eastAsia="標楷體" w:hAnsi="Cambria Math" w:hint="eastAsia"/>
                <w:szCs w:val="24"/>
              </w:rPr>
              <m:t>強制平倉</m:t>
            </m:r>
          </m:sub>
        </m:sSub>
      </m:oMath>
      <w:r>
        <w:rPr>
          <w:rFonts w:ascii="標楷體" w:eastAsia="標楷體" w:hAnsi="標楷體" w:hint="eastAsia"/>
          <w:szCs w:val="24"/>
        </w:rPr>
        <w:t xml:space="preserve"> = </w:t>
      </w:r>
      <m:oMath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/>
                <w:szCs w:val="24"/>
              </w:rPr>
              <m:t>X</m:t>
            </m:r>
          </m:sup>
        </m:sSubSup>
        <m:r>
          <w:rPr>
            <w:rFonts w:ascii="Cambria Math" w:eastAsia="標楷體" w:hAnsi="Cambria Math"/>
            <w:szCs w:val="24"/>
          </w:rPr>
          <m:t>-</m:t>
        </m:r>
        <m:sSubSup>
          <m:sSubSupPr>
            <m:ctrlPr>
              <w:rPr>
                <w:rFonts w:ascii="Cambria Math" w:eastAsia="標楷體" w:hAnsi="Cambria Math"/>
                <w:i/>
                <w:szCs w:val="24"/>
              </w:rPr>
            </m:ctrlPr>
          </m:sSubSupPr>
          <m:e>
            <m:r>
              <w:rPr>
                <w:rFonts w:ascii="Cambria Math" w:eastAsia="標楷體" w:hAnsi="Cambria Math"/>
                <w:szCs w:val="24"/>
              </w:rPr>
              <m:t>P</m:t>
            </m:r>
          </m:e>
          <m:sub>
            <m:r>
              <w:rPr>
                <w:rFonts w:ascii="Cambria Math" w:eastAsia="標楷體" w:hAnsi="Cambria Math"/>
                <w:szCs w:val="24"/>
              </w:rPr>
              <m:t>T</m:t>
            </m:r>
          </m:sub>
          <m:sup>
            <m:r>
              <w:rPr>
                <w:rFonts w:ascii="Cambria Math" w:eastAsia="標楷體" w:hAnsi="Cambria Math"/>
                <w:szCs w:val="24"/>
              </w:rPr>
              <m:t>Y</m:t>
            </m:r>
          </m:sup>
        </m:sSubSup>
        <m:r>
          <m:rPr>
            <m:sty m:val="p"/>
          </m:rPr>
          <w:rPr>
            <w:rFonts w:ascii="Cambria Math" w:eastAsia="標楷體" w:hAnsi="Cambria Math"/>
            <w:szCs w:val="24"/>
          </w:rPr>
          <m:t>&gt;μ±5*StdevD(difference)</m:t>
        </m:r>
      </m:oMath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五.交易成本與報酬</w:t>
      </w: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   配對交易為當組合中兩者之價差偏離門檻便會啟動交易，買進向下偏離之股票；而賣空向上偏離之股票，待兩者回歸均值時再進行平倉獲取報酬，如此一買一賣之行為使得交易次數頻繁，交易成本便會對報酬產生影響，因此為了更講求真實性，我們考慮交易成本。</w:t>
      </w:r>
    </w:p>
    <w:p w:rsidR="008A5A76" w:rsidRDefault="008A5A76" w:rsidP="008A5A7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做多成本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5A76" w:rsidTr="008A5A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平倉</w:t>
            </w:r>
          </w:p>
        </w:tc>
      </w:tr>
      <w:tr w:rsidR="008A5A76" w:rsidTr="008A5A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手續費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0.1425%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0.1425%</w:t>
            </w:r>
          </w:p>
        </w:tc>
      </w:tr>
      <w:tr w:rsidR="008A5A76" w:rsidTr="008A5A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證交稅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0.3%</w:t>
            </w:r>
          </w:p>
        </w:tc>
      </w:tr>
    </w:tbl>
    <w:p w:rsidR="008A5A76" w:rsidRDefault="008A5A76" w:rsidP="008A5A76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做空成本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5A76" w:rsidTr="008A5A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開倉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平倉</w:t>
            </w:r>
          </w:p>
        </w:tc>
      </w:tr>
      <w:tr w:rsidR="008A5A76" w:rsidTr="008A5A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手續費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0.1425%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0.1425%</w:t>
            </w:r>
          </w:p>
        </w:tc>
      </w:tr>
      <w:tr w:rsidR="008A5A76" w:rsidTr="008A5A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證交稅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0.3%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8A5A76" w:rsidTr="008A5A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保證金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9%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  <w:tr w:rsidR="008A5A76" w:rsidTr="008A5A76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借券費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0.08%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5A76" w:rsidRDefault="008A5A76">
            <w:p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0</w:t>
            </w:r>
          </w:p>
        </w:tc>
      </w:tr>
    </w:tbl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接下來為報酬率的計算，假設一配對交易組合，當兩者價差觸發門檻值時(本研究選定觸發門檻值為1.5標準差)，X股票向上偏離均值，表示股價被高估，則做空(賣)X股票；Y股票向下偏離均值，表示股價被低估，則做多(買)Y股票，待兩者價差回歸均值時，則進行反向平倉，買回X股票，賣出Y股票；反之，Y股票向上偏離均值，表示股價被高估，則做空(賣)Y股票；X股票向下偏離均值，表示股價被低估，則做多(買)X股票，待兩者價差回歸均值時，則進行反向平倉，買回Y股票，賣出X股票。</w:t>
      </w: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</w:p>
    <w:p w:rsidR="008A5A76" w:rsidRDefault="008A5A76" w:rsidP="008A5A76">
      <w:pPr>
        <w:rPr>
          <w:rFonts w:ascii="標楷體" w:eastAsia="標楷體" w:hAnsi="標楷體" w:cs="CMR12" w:hint="eastAsia"/>
          <w:kern w:val="0"/>
          <w:szCs w:val="24"/>
        </w:rPr>
      </w:pPr>
      <w:r>
        <w:rPr>
          <w:rFonts w:ascii="標楷體" w:eastAsia="標楷體" w:hAnsi="標楷體" w:hint="eastAsia"/>
          <w:szCs w:val="24"/>
        </w:rPr>
        <w:t>報酬率計算方法參考自</w:t>
      </w:r>
      <w:r>
        <w:rPr>
          <w:rFonts w:ascii="標楷體" w:eastAsia="標楷體" w:hAnsi="標楷體" w:cs="CMR12" w:hint="eastAsia"/>
          <w:kern w:val="0"/>
          <w:szCs w:val="24"/>
        </w:rPr>
        <w:t>Kirill Temlyakov(2012)，計算方法如下</w:t>
      </w:r>
    </w:p>
    <w:p w:rsidR="008A5A76" w:rsidRDefault="008A5A76" w:rsidP="008A5A76">
      <w:pPr>
        <w:rPr>
          <w:rFonts w:ascii="標楷體" w:eastAsia="標楷體" w:hAnsi="標楷體" w:cs="CMR12" w:hint="eastAsia"/>
          <w:kern w:val="0"/>
          <w:szCs w:val="24"/>
        </w:rPr>
      </w:pPr>
      <w:r>
        <w:rPr>
          <w:rFonts w:ascii="標楷體" w:eastAsia="標楷體" w:hAnsi="標楷體" w:cs="CMR12" w:hint="eastAsia"/>
          <w:kern w:val="0"/>
          <w:szCs w:val="24"/>
        </w:rPr>
        <w:t>報酬 = (總報酬/總交易量)*100%</w:t>
      </w:r>
    </w:p>
    <w:p w:rsidR="008A5A76" w:rsidRDefault="008A5A76" w:rsidP="008A5A76">
      <w:pPr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舉例：買進1000元價值的X股票，與賣空1000元價值的Y股票，最後賺得500元，報酬率算成500/2000=25%</w:t>
      </w:r>
    </w:p>
    <w:p w:rsidR="008A5A76" w:rsidRDefault="008A5A76" w:rsidP="008A5A76">
      <w:pPr>
        <w:rPr>
          <w:rFonts w:ascii="標楷體" w:eastAsia="標楷體" w:hAnsi="標楷體" w:hint="eastAsia"/>
        </w:rPr>
      </w:pPr>
    </w:p>
    <w:p w:rsidR="000461D9" w:rsidRDefault="000461D9">
      <w:bookmarkStart w:id="0" w:name="_GoBack"/>
      <w:bookmarkEnd w:id="0"/>
    </w:p>
    <w:sectPr w:rsidR="000461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AC3C36"/>
    <w:multiLevelType w:val="hybridMultilevel"/>
    <w:tmpl w:val="8AB6FE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76"/>
    <w:rsid w:val="000461D9"/>
    <w:rsid w:val="008A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3CB4C-B2AF-417B-9C19-C597B7F59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A7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A76"/>
    <w:pPr>
      <w:ind w:leftChars="200" w:left="480"/>
    </w:pPr>
  </w:style>
  <w:style w:type="paragraph" w:customStyle="1" w:styleId="Default">
    <w:name w:val="Default"/>
    <w:rsid w:val="008A5A76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table" w:styleId="a4">
    <w:name w:val="Table Grid"/>
    <w:basedOn w:val="a1"/>
    <w:uiPriority w:val="39"/>
    <w:rsid w:val="008A5A7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4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王紫</dc:creator>
  <cp:keywords/>
  <dc:description/>
  <cp:lastModifiedBy>王紫</cp:lastModifiedBy>
  <cp:revision>1</cp:revision>
  <dcterms:created xsi:type="dcterms:W3CDTF">2021-03-24T06:38:00Z</dcterms:created>
  <dcterms:modified xsi:type="dcterms:W3CDTF">2021-03-24T06:38:00Z</dcterms:modified>
</cp:coreProperties>
</file>