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EF14F">
      <w:pPr>
        <w:pStyle w:val="5"/>
        <w:keepNext w:val="0"/>
        <w:keepLines w:val="0"/>
        <w:widowControl/>
        <w:suppressLineNumbers w:val="0"/>
      </w:pPr>
      <w:r>
        <w:t>下面给你一个**“一篇论文同时补齐西班牙 + 波兰匹配度”</w:t>
      </w:r>
      <w:r>
        <w:rPr>
          <w:rStyle w:val="8"/>
        </w:rPr>
        <w:t>的</w:t>
      </w:r>
      <w:r>
        <w:t>完整论文框架**，并严格满足你的要求：</w:t>
      </w:r>
      <w:r>
        <w:rPr>
          <w:rStyle w:val="8"/>
        </w:rPr>
        <w:t>所有数据都用公开、免费、可直接下载/API 的来源</w:t>
      </w:r>
      <w:r>
        <w:t>（核心依赖：Eurostat + ECB + World Bank/IMF 公共数据；不需要 ORBIS/Amadeus/商业数据库）。</w:t>
      </w:r>
    </w:p>
    <w:p w14:paraId="1CA783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1733B">
      <w:pPr>
        <w:pStyle w:val="2"/>
        <w:keepNext w:val="0"/>
        <w:keepLines w:val="0"/>
        <w:widowControl/>
        <w:suppressLineNumbers w:val="0"/>
      </w:pPr>
      <w:r>
        <w:t>论文题目（建议）</w:t>
      </w:r>
    </w:p>
    <w:p w14:paraId="698A3AB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External Energy Cost Shocks, Core Inflation Persistence, and Trade Competitiveness: Evidence from Spain and Poland (2000–2024)</w:t>
      </w:r>
      <w:r>
        <w:br w:type="textWrapping"/>
      </w:r>
      <w:r>
        <w:t>（外生能源成本冲击、核心通胀持久性与贸易竞争力：来自西班牙与波兰的证据）</w:t>
      </w:r>
    </w:p>
    <w:p w14:paraId="7D5C4C9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FB924">
      <w:pPr>
        <w:pStyle w:val="2"/>
        <w:keepNext w:val="0"/>
        <w:keepLines w:val="0"/>
        <w:widowControl/>
        <w:suppressLineNumbers w:val="0"/>
      </w:pPr>
      <w:r>
        <w:t>0. 研究一句话（电梯陈述）</w:t>
      </w:r>
    </w:p>
    <w:p w14:paraId="399E5032">
      <w:pPr>
        <w:pStyle w:val="5"/>
        <w:keepNext w:val="0"/>
        <w:keepLines w:val="0"/>
        <w:widowControl/>
        <w:suppressLineNumbers w:val="0"/>
      </w:pPr>
      <w:r>
        <w:t>用“</w:t>
      </w:r>
      <w:r>
        <w:rPr>
          <w:rStyle w:val="8"/>
        </w:rPr>
        <w:t>外生能源价格冲击 × 预定暴露度（能源进口依赖/能源强度/工业结构）</w:t>
      </w:r>
      <w:r>
        <w:t>”构造</w:t>
      </w:r>
      <w:r>
        <w:rPr>
          <w:rStyle w:val="8"/>
        </w:rPr>
        <w:t>可识别的成本冲击</w:t>
      </w:r>
      <w:r>
        <w:t>，量化其对</w:t>
      </w:r>
      <w:r>
        <w:rPr>
          <w:rStyle w:val="8"/>
        </w:rPr>
        <w:t>核心通胀</w:t>
      </w:r>
      <w:r>
        <w:t>与</w:t>
      </w:r>
      <w:r>
        <w:rPr>
          <w:rStyle w:val="8"/>
        </w:rPr>
        <w:t>出口竞争力（出口量/出口价格）的动态传导，并比较西班牙 vs 波兰</w:t>
      </w:r>
      <w:r>
        <w:t>在制度与结构上的异质性响应。</w:t>
      </w:r>
    </w:p>
    <w:p w14:paraId="08A942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F0E08">
      <w:pPr>
        <w:pStyle w:val="2"/>
        <w:keepNext w:val="0"/>
        <w:keepLines w:val="0"/>
        <w:widowControl/>
        <w:suppressLineNumbers w:val="0"/>
      </w:pPr>
      <w:r>
        <w:t>1. Abstract（结构模板）</w:t>
      </w:r>
    </w:p>
    <w:p w14:paraId="123D4A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A2BD54">
      <w:pPr>
        <w:pStyle w:val="5"/>
        <w:keepNext w:val="0"/>
        <w:keepLines w:val="0"/>
        <w:widowControl/>
        <w:suppressLineNumbers w:val="0"/>
        <w:ind w:left="720"/>
      </w:pPr>
      <w:r>
        <w:t>背景：欧洲能源价格剧烈波动引发“从能源到核心通胀”的二次传导与竞争力再配置争议</w:t>
      </w:r>
    </w:p>
    <w:p w14:paraId="700852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343C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ED981A">
      <w:pPr>
        <w:pStyle w:val="5"/>
        <w:keepNext w:val="0"/>
        <w:keepLines w:val="0"/>
        <w:widowControl/>
        <w:suppressLineNumbers w:val="0"/>
        <w:ind w:left="720"/>
      </w:pPr>
      <w:r>
        <w:t xml:space="preserve">方法：月度/季度面板 + Local Projections（LP）/动态 DID；核心识别来自 </w:t>
      </w:r>
      <w:r>
        <w:rPr>
          <w:rStyle w:val="9"/>
        </w:rPr>
        <w:t>ExternalEnergyPrice_t × Exposure_i</w:t>
      </w:r>
    </w:p>
    <w:p w14:paraId="06E09E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BE13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D6DEF8">
      <w:pPr>
        <w:pStyle w:val="5"/>
        <w:keepNext w:val="0"/>
        <w:keepLines w:val="0"/>
        <w:widowControl/>
        <w:suppressLineNumbers w:val="0"/>
        <w:ind w:left="720"/>
      </w:pPr>
      <w:r>
        <w:t>结果：给出核心通胀与出口指标的 IRFs（0–24 个月），并比较 Spain vs Poland 的差异</w:t>
      </w:r>
    </w:p>
    <w:p w14:paraId="0AB5D6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7F3A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6B14AD">
      <w:pPr>
        <w:pStyle w:val="5"/>
        <w:keepNext w:val="0"/>
        <w:keepLines w:val="0"/>
        <w:widowControl/>
        <w:suppressLineNumbers w:val="0"/>
        <w:ind w:left="720"/>
      </w:pPr>
      <w:r>
        <w:t>机制：生产端（PPI）vs 消费端（HICP）、汇率缓冲（PLN/EUR）、产业结构与暴露度</w:t>
      </w:r>
    </w:p>
    <w:p w14:paraId="47702B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6E4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CDA9EB">
      <w:pPr>
        <w:pStyle w:val="5"/>
        <w:keepNext w:val="0"/>
        <w:keepLines w:val="0"/>
        <w:widowControl/>
        <w:suppressLineNumbers w:val="0"/>
        <w:ind w:left="720"/>
      </w:pPr>
      <w:r>
        <w:t>政策含义：货币政策与财政补贴如何改变二次传导；绿色转型约束下竞争力影响</w:t>
      </w:r>
    </w:p>
    <w:p w14:paraId="36E41B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765F0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A880F">
      <w:pPr>
        <w:pStyle w:val="2"/>
        <w:keepNext w:val="0"/>
        <w:keepLines w:val="0"/>
        <w:widowControl/>
        <w:suppressLineNumbers w:val="0"/>
      </w:pPr>
      <w:r>
        <w:t>2. Introduction</w:t>
      </w:r>
    </w:p>
    <w:p w14:paraId="54D859D0">
      <w:pPr>
        <w:pStyle w:val="3"/>
        <w:keepNext w:val="0"/>
        <w:keepLines w:val="0"/>
        <w:widowControl/>
        <w:suppressLineNumbers w:val="0"/>
      </w:pPr>
      <w:r>
        <w:t>2.1 研究动机（西班牙 + 波兰都吃）</w:t>
      </w:r>
    </w:p>
    <w:p w14:paraId="2783F2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4EA208">
      <w:pPr>
        <w:pStyle w:val="5"/>
        <w:keepNext w:val="0"/>
        <w:keepLines w:val="0"/>
        <w:widowControl/>
        <w:suppressLineNumbers w:val="0"/>
        <w:ind w:left="720"/>
      </w:pPr>
      <w:r>
        <w:t>为什么同样的能源冲击，有的国家核心通胀更“黏”、竞争力更受损？</w:t>
      </w:r>
    </w:p>
    <w:p w14:paraId="24D253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0661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A69DE5">
      <w:pPr>
        <w:pStyle w:val="5"/>
        <w:keepNext w:val="0"/>
        <w:keepLines w:val="0"/>
        <w:widowControl/>
        <w:suppressLineNumbers w:val="0"/>
        <w:ind w:left="720"/>
      </w:pPr>
      <w:r>
        <w:t>为什么 Spain（欧元区、无独立汇率）与 Poland（非欧元、汇率可调整）可能表现不同？</w:t>
      </w:r>
    </w:p>
    <w:p w14:paraId="17A484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DC9B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E24F79">
      <w:pPr>
        <w:pStyle w:val="5"/>
        <w:keepNext w:val="0"/>
        <w:keepLines w:val="0"/>
        <w:widowControl/>
        <w:suppressLineNumbers w:val="0"/>
        <w:ind w:left="720"/>
      </w:pPr>
      <w:r>
        <w:t>这直接对应：欧元区通胀治理、CEE 转型竞争力、能源依赖与产业升级</w:t>
      </w:r>
    </w:p>
    <w:p w14:paraId="4A7964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18F27B6">
      <w:pPr>
        <w:pStyle w:val="3"/>
        <w:keepNext w:val="0"/>
        <w:keepLines w:val="0"/>
        <w:widowControl/>
        <w:suppressLineNumbers w:val="0"/>
      </w:pPr>
      <w:r>
        <w:t>2.2 你的贡献点（建议写成 3 条）</w:t>
      </w:r>
    </w:p>
    <w:p w14:paraId="487E08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B1F7F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统一框架</w:t>
      </w:r>
      <w:r>
        <w:t>：同一套识别，既解释“核心通胀持久性”，又解释“贸易竞争力”。</w:t>
      </w:r>
    </w:p>
    <w:p w14:paraId="724A1C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7BE4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95E569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可复制数据</w:t>
      </w:r>
      <w:r>
        <w:t>：完全依赖公开数据，任何人能复现。</w:t>
      </w:r>
    </w:p>
    <w:p w14:paraId="1E88A2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A5E0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07461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异质性结构化</w:t>
      </w:r>
      <w:r>
        <w:t>：把差异压缩为少数可解释的“暴露度维度”（能源进口依赖/能源强度/工业比重 + 汇率制度）。</w:t>
      </w:r>
    </w:p>
    <w:p w14:paraId="2D59E0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26D61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3AE12">
      <w:pPr>
        <w:pStyle w:val="2"/>
        <w:keepNext w:val="0"/>
        <w:keepLines w:val="0"/>
        <w:widowControl/>
        <w:suppressLineNumbers w:val="0"/>
      </w:pPr>
      <w:r>
        <w:t>3. Institutional Background（短，但很关键）</w:t>
      </w:r>
    </w:p>
    <w:p w14:paraId="58901BB5">
      <w:pPr>
        <w:pStyle w:val="5"/>
        <w:keepNext w:val="0"/>
        <w:keepLines w:val="0"/>
        <w:widowControl/>
        <w:suppressLineNumbers w:val="0"/>
      </w:pPr>
      <w:r>
        <w:t>（这里不要写成百科，而是服务识别与异质性）</w:t>
      </w:r>
    </w:p>
    <w:p w14:paraId="030A12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B0CF28">
      <w:pPr>
        <w:pStyle w:val="5"/>
        <w:keepNext w:val="0"/>
        <w:keepLines w:val="0"/>
        <w:widowControl/>
        <w:suppressLineNumbers w:val="0"/>
        <w:ind w:left="720"/>
      </w:pPr>
      <w:r>
        <w:t>Spain：欧元区；能源进口依赖结构；价格管制/补贴可能改变传导</w:t>
      </w:r>
    </w:p>
    <w:p w14:paraId="1682AC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0F3E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8D960E">
      <w:pPr>
        <w:pStyle w:val="5"/>
        <w:keepNext w:val="0"/>
        <w:keepLines w:val="0"/>
        <w:widowControl/>
        <w:suppressLineNumbers w:val="0"/>
        <w:ind w:left="720"/>
      </w:pPr>
      <w:r>
        <w:t>Poland：非欧元；PLN 汇率可能缓冲成本冲击；煤电结构与重工业比重影响暴露度</w:t>
      </w:r>
    </w:p>
    <w:p w14:paraId="79B86D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8BD0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8D8D07">
      <w:pPr>
        <w:pStyle w:val="5"/>
        <w:keepNext w:val="0"/>
        <w:keepLines w:val="0"/>
        <w:widowControl/>
        <w:suppressLineNumbers w:val="0"/>
        <w:ind w:left="720"/>
      </w:pPr>
      <w:r>
        <w:t>EU 共通：能源危机、价格干预、供应链冲击</w:t>
      </w:r>
    </w:p>
    <w:p w14:paraId="09FEBB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360D6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CD38C">
      <w:pPr>
        <w:pStyle w:val="2"/>
        <w:keepNext w:val="0"/>
        <w:keepLines w:val="0"/>
        <w:widowControl/>
        <w:suppressLineNumbers w:val="0"/>
      </w:pPr>
      <w:r>
        <w:t>4. Data（保证“完全不难拿”）</w:t>
      </w:r>
    </w:p>
    <w:p w14:paraId="03602693">
      <w:pPr>
        <w:pStyle w:val="3"/>
        <w:keepNext w:val="0"/>
        <w:keepLines w:val="0"/>
        <w:widowControl/>
        <w:suppressLineNumbers w:val="0"/>
      </w:pPr>
      <w:r>
        <w:t>4.1 样本与频率</w:t>
      </w:r>
    </w:p>
    <w:p w14:paraId="37306A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D1FC4B">
      <w:pPr>
        <w:pStyle w:val="5"/>
        <w:keepNext w:val="0"/>
        <w:keepLines w:val="0"/>
        <w:widowControl/>
        <w:suppressLineNumbers w:val="0"/>
        <w:ind w:left="720"/>
      </w:pPr>
      <w:r>
        <w:t>主样本：</w:t>
      </w:r>
      <w:r>
        <w:rPr>
          <w:rStyle w:val="8"/>
        </w:rPr>
        <w:t>EU 国家面板（含 Spain、Poland）</w:t>
      </w:r>
      <w:r>
        <w:t>，2000–2024</w:t>
      </w:r>
    </w:p>
    <w:p w14:paraId="583F4B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E751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7CB532">
      <w:pPr>
        <w:pStyle w:val="5"/>
        <w:keepNext w:val="0"/>
        <w:keepLines w:val="0"/>
        <w:widowControl/>
        <w:suppressLineNumbers w:val="0"/>
        <w:ind w:left="720"/>
      </w:pPr>
      <w:r>
        <w:t>频率：</w:t>
      </w:r>
    </w:p>
    <w:p w14:paraId="0DD1EE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F418A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D250FC">
      <w:pPr>
        <w:pStyle w:val="5"/>
        <w:keepNext w:val="0"/>
        <w:keepLines w:val="0"/>
        <w:widowControl/>
        <w:suppressLineNumbers w:val="0"/>
        <w:ind w:left="1440"/>
      </w:pPr>
      <w:r>
        <w:t>通胀/价格：</w:t>
      </w:r>
      <w:r>
        <w:rPr>
          <w:rStyle w:val="8"/>
        </w:rPr>
        <w:t>月度</w:t>
      </w:r>
      <w:r>
        <w:t>（HICP）</w:t>
      </w:r>
    </w:p>
    <w:p w14:paraId="0951F53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2BFC2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DE38D0">
      <w:pPr>
        <w:pStyle w:val="5"/>
        <w:keepNext w:val="0"/>
        <w:keepLines w:val="0"/>
        <w:widowControl/>
        <w:suppressLineNumbers w:val="0"/>
        <w:ind w:left="1440"/>
      </w:pPr>
      <w:r>
        <w:t xml:space="preserve">生产/竞争力：月度（PPI、工业生产）+ </w:t>
      </w:r>
      <w:r>
        <w:rPr>
          <w:rStyle w:val="8"/>
        </w:rPr>
        <w:t>季度</w:t>
      </w:r>
      <w:r>
        <w:t>（出口量/出口价格指数更稳）</w:t>
      </w:r>
    </w:p>
    <w:p w14:paraId="78A0C5D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01BC7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为什么建议用 EU 面板？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你可以用 time FE 吸收共同冲击，同时用“外生冲击 × 暴露度”做识别，统计上更强；但你最终呈现聚焦 Spain vs Poland。</w:t>
      </w:r>
    </w:p>
    <w:p w14:paraId="355DDA5A">
      <w:pPr>
        <w:pStyle w:val="3"/>
        <w:keepNext w:val="0"/>
        <w:keepLines w:val="0"/>
        <w:widowControl/>
        <w:suppressLineNumbers w:val="0"/>
      </w:pPr>
      <w:r>
        <w:t>4.2 变量清单（全是公开数据）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115"/>
        <w:gridCol w:w="929"/>
        <w:gridCol w:w="3368"/>
      </w:tblGrid>
      <w:tr w14:paraId="58DDD33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0F2B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7134AC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变量（建议）</w:t>
            </w:r>
          </w:p>
        </w:tc>
        <w:tc>
          <w:tcPr>
            <w:tcW w:w="0" w:type="auto"/>
            <w:shd w:val="clear"/>
            <w:vAlign w:val="center"/>
          </w:tcPr>
          <w:p w14:paraId="68E5B0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频率</w:t>
            </w:r>
          </w:p>
        </w:tc>
        <w:tc>
          <w:tcPr>
            <w:tcW w:w="0" w:type="auto"/>
            <w:shd w:val="clear"/>
            <w:vAlign w:val="center"/>
          </w:tcPr>
          <w:p w14:paraId="60A6C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公开来源（易获取）</w:t>
            </w:r>
          </w:p>
        </w:tc>
      </w:tr>
      <w:tr w14:paraId="262038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F6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通胀</w:t>
            </w:r>
          </w:p>
        </w:tc>
        <w:tc>
          <w:tcPr>
            <w:tcW w:w="0" w:type="auto"/>
            <w:shd w:val="clear"/>
            <w:vAlign w:val="center"/>
          </w:tcPr>
          <w:p w14:paraId="43820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HICP headline、HICP core（不含能源食品）</w:t>
            </w:r>
          </w:p>
        </w:tc>
        <w:tc>
          <w:tcPr>
            <w:tcW w:w="0" w:type="auto"/>
            <w:shd w:val="clear"/>
            <w:vAlign w:val="center"/>
          </w:tcPr>
          <w:p w14:paraId="6C9F757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17D51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645344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17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能源通胀</w:t>
            </w:r>
          </w:p>
        </w:tc>
        <w:tc>
          <w:tcPr>
            <w:tcW w:w="0" w:type="auto"/>
            <w:shd w:val="clear"/>
            <w:vAlign w:val="center"/>
          </w:tcPr>
          <w:p w14:paraId="2E9E8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HICP energy / electricity / gas（如可得）</w:t>
            </w:r>
          </w:p>
        </w:tc>
        <w:tc>
          <w:tcPr>
            <w:tcW w:w="0" w:type="auto"/>
            <w:shd w:val="clear"/>
            <w:vAlign w:val="center"/>
          </w:tcPr>
          <w:p w14:paraId="2D7ADE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46E3F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35ECED7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47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生产端</w:t>
            </w:r>
          </w:p>
        </w:tc>
        <w:tc>
          <w:tcPr>
            <w:tcW w:w="0" w:type="auto"/>
            <w:shd w:val="clear"/>
            <w:vAlign w:val="center"/>
          </w:tcPr>
          <w:p w14:paraId="4EA89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PPI total、PPI manufacturing</w:t>
            </w:r>
          </w:p>
        </w:tc>
        <w:tc>
          <w:tcPr>
            <w:tcW w:w="0" w:type="auto"/>
            <w:shd w:val="clear"/>
            <w:vAlign w:val="center"/>
          </w:tcPr>
          <w:p w14:paraId="536637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077B6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2AB97F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93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实体活动</w:t>
            </w:r>
          </w:p>
        </w:tc>
        <w:tc>
          <w:tcPr>
            <w:tcW w:w="0" w:type="auto"/>
            <w:shd w:val="clear"/>
            <w:vAlign w:val="center"/>
          </w:tcPr>
          <w:p w14:paraId="533B9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Industrial Production Index</w:t>
            </w:r>
          </w:p>
        </w:tc>
        <w:tc>
          <w:tcPr>
            <w:tcW w:w="0" w:type="auto"/>
            <w:shd w:val="clear"/>
            <w:vAlign w:val="center"/>
          </w:tcPr>
          <w:p w14:paraId="641097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0C5C7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72A467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62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贸易竞争力</w:t>
            </w:r>
          </w:p>
        </w:tc>
        <w:tc>
          <w:tcPr>
            <w:tcW w:w="0" w:type="auto"/>
            <w:shd w:val="clear"/>
            <w:vAlign w:val="center"/>
          </w:tcPr>
          <w:p w14:paraId="598EA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Export volume index、Export unit value / export price index</w:t>
            </w:r>
          </w:p>
        </w:tc>
        <w:tc>
          <w:tcPr>
            <w:tcW w:w="0" w:type="auto"/>
            <w:shd w:val="clear"/>
            <w:vAlign w:val="center"/>
          </w:tcPr>
          <w:p w14:paraId="59A6E7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季度/月度(视口径)</w:t>
            </w:r>
          </w:p>
        </w:tc>
        <w:tc>
          <w:tcPr>
            <w:tcW w:w="0" w:type="auto"/>
            <w:shd w:val="clear"/>
            <w:vAlign w:val="center"/>
          </w:tcPr>
          <w:p w14:paraId="219EA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60DD55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55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汇率</w:t>
            </w:r>
          </w:p>
        </w:tc>
        <w:tc>
          <w:tcPr>
            <w:tcW w:w="0" w:type="auto"/>
            <w:shd w:val="clear"/>
            <w:vAlign w:val="center"/>
          </w:tcPr>
          <w:p w14:paraId="6ABC7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PLN/EUR、NEER/REER（可选）</w:t>
            </w:r>
          </w:p>
        </w:tc>
        <w:tc>
          <w:tcPr>
            <w:tcW w:w="0" w:type="auto"/>
            <w:shd w:val="clear"/>
            <w:vAlign w:val="center"/>
          </w:tcPr>
          <w:p w14:paraId="5D92CB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4B3D4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ECB SDW</w:t>
            </w:r>
          </w:p>
        </w:tc>
      </w:tr>
      <w:tr w14:paraId="721089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DB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外生冲击</w:t>
            </w:r>
          </w:p>
        </w:tc>
        <w:tc>
          <w:tcPr>
            <w:tcW w:w="0" w:type="auto"/>
            <w:shd w:val="clear"/>
            <w:vAlign w:val="center"/>
          </w:tcPr>
          <w:p w14:paraId="41776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欧盟天然气/原油/煤价（外部）</w:t>
            </w:r>
          </w:p>
        </w:tc>
        <w:tc>
          <w:tcPr>
            <w:tcW w:w="0" w:type="auto"/>
            <w:shd w:val="clear"/>
            <w:vAlign w:val="center"/>
          </w:tcPr>
          <w:p w14:paraId="7A3DD3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</w:t>
            </w:r>
          </w:p>
        </w:tc>
        <w:tc>
          <w:tcPr>
            <w:tcW w:w="0" w:type="auto"/>
            <w:shd w:val="clear"/>
            <w:vAlign w:val="center"/>
          </w:tcPr>
          <w:p w14:paraId="5F209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IMF Primary Commodity Prices 或 World Bank Commodity Prices（公开）</w:t>
            </w:r>
          </w:p>
        </w:tc>
      </w:tr>
      <w:tr w14:paraId="4F3A56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A0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暴露度（预定）</w:t>
            </w:r>
          </w:p>
        </w:tc>
        <w:tc>
          <w:tcPr>
            <w:tcW w:w="0" w:type="auto"/>
            <w:shd w:val="clear"/>
            <w:vAlign w:val="center"/>
          </w:tcPr>
          <w:p w14:paraId="6CB32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能源进口依赖（Energy import dependency）</w:t>
            </w:r>
          </w:p>
        </w:tc>
        <w:tc>
          <w:tcPr>
            <w:tcW w:w="0" w:type="auto"/>
            <w:shd w:val="clear"/>
            <w:vAlign w:val="center"/>
          </w:tcPr>
          <w:p w14:paraId="18A3B2B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</w:t>
            </w:r>
          </w:p>
        </w:tc>
        <w:tc>
          <w:tcPr>
            <w:tcW w:w="0" w:type="auto"/>
            <w:shd w:val="clear"/>
            <w:vAlign w:val="center"/>
          </w:tcPr>
          <w:p w14:paraId="4701E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</w:t>
            </w:r>
          </w:p>
        </w:tc>
      </w:tr>
      <w:tr w14:paraId="25D4EF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74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暴露度（预定）</w:t>
            </w:r>
          </w:p>
        </w:tc>
        <w:tc>
          <w:tcPr>
            <w:tcW w:w="0" w:type="auto"/>
            <w:shd w:val="clear"/>
            <w:vAlign w:val="center"/>
          </w:tcPr>
          <w:p w14:paraId="7648C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能源强度（Energy use per GDP）</w:t>
            </w:r>
          </w:p>
        </w:tc>
        <w:tc>
          <w:tcPr>
            <w:tcW w:w="0" w:type="auto"/>
            <w:shd w:val="clear"/>
            <w:vAlign w:val="center"/>
          </w:tcPr>
          <w:p w14:paraId="25FDB9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</w:t>
            </w:r>
          </w:p>
        </w:tc>
        <w:tc>
          <w:tcPr>
            <w:tcW w:w="0" w:type="auto"/>
            <w:shd w:val="clear"/>
            <w:vAlign w:val="center"/>
          </w:tcPr>
          <w:p w14:paraId="7CEA6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World Bank/WDI（公开）</w:t>
            </w:r>
          </w:p>
        </w:tc>
      </w:tr>
      <w:tr w14:paraId="1E9266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B6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暴露度（预定）</w:t>
            </w:r>
          </w:p>
        </w:tc>
        <w:tc>
          <w:tcPr>
            <w:tcW w:w="0" w:type="auto"/>
            <w:shd w:val="clear"/>
            <w:vAlign w:val="center"/>
          </w:tcPr>
          <w:p w14:paraId="4CBAC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工业比重（manufacturing value added share）</w:t>
            </w:r>
          </w:p>
        </w:tc>
        <w:tc>
          <w:tcPr>
            <w:tcW w:w="0" w:type="auto"/>
            <w:shd w:val="clear"/>
            <w:vAlign w:val="center"/>
          </w:tcPr>
          <w:p w14:paraId="0AE4B2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年度</w:t>
            </w:r>
          </w:p>
        </w:tc>
        <w:tc>
          <w:tcPr>
            <w:tcW w:w="0" w:type="auto"/>
            <w:shd w:val="clear"/>
            <w:vAlign w:val="center"/>
          </w:tcPr>
          <w:p w14:paraId="5E09D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Eurostat / World Bank</w:t>
            </w:r>
          </w:p>
        </w:tc>
      </w:tr>
    </w:tbl>
    <w:p w14:paraId="0B8A314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这套数据的关键好处：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你完全可以只用 </w:t>
      </w:r>
      <w:r>
        <w:rPr>
          <w:rStyle w:val="8"/>
          <w:rFonts w:hint="eastAsia" w:ascii="宋体" w:hAnsi="宋体" w:eastAsia="宋体" w:cs="宋体"/>
          <w:sz w:val="24"/>
          <w:szCs w:val="24"/>
        </w:rPr>
        <w:t>Eurostat + ECB</w:t>
      </w:r>
      <w:r>
        <w:rPr>
          <w:rFonts w:hint="eastAsia" w:ascii="宋体" w:hAnsi="宋体" w:eastAsia="宋体" w:cs="宋体"/>
          <w:sz w:val="24"/>
          <w:szCs w:val="24"/>
        </w:rPr>
        <w:t xml:space="preserve"> 就把 80% 做完；IMF/WB 只是提供“外生价格冲击”的公共序列。</w:t>
      </w:r>
    </w:p>
    <w:p w14:paraId="508652A8">
      <w:pPr>
        <w:pStyle w:val="3"/>
        <w:keepNext w:val="0"/>
        <w:keepLines w:val="0"/>
        <w:widowControl/>
        <w:suppressLineNumbers w:val="0"/>
      </w:pPr>
      <w:r>
        <w:t>4.3 构造“外生能源成本冲击”的最简做法（强烈推荐）</w:t>
      </w:r>
    </w:p>
    <w:p w14:paraId="36E663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F8EBB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ExternalPrice_t</w:t>
      </w:r>
      <w:r>
        <w:t>：外部天然气价格（或油价）取对数差分（Δlog）</w:t>
      </w:r>
    </w:p>
    <w:p w14:paraId="16907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20A9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5D82F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Exposure_i</w:t>
      </w:r>
      <w:r>
        <w:t>：用</w:t>
      </w:r>
      <w:r>
        <w:rPr>
          <w:rStyle w:val="8"/>
        </w:rPr>
        <w:t>政策前固定</w:t>
      </w:r>
      <w:r>
        <w:t>的平均暴露度（例如 2000–2005 或 2000–2010 均值）</w:t>
      </w:r>
    </w:p>
    <w:p w14:paraId="725F23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7DC4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5DD276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预测型冲击</w:t>
      </w:r>
      <w:r>
        <w:t>：</w:t>
      </w:r>
      <w:r>
        <w:rPr>
          <w:rStyle w:val="9"/>
        </w:rPr>
        <w:t>Shock_{i,t} = Δlog(ExternalPrice_t) × Exposure_i</w:t>
      </w:r>
    </w:p>
    <w:p w14:paraId="6F57DE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EB84D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A46049">
      <w:pPr>
        <w:pStyle w:val="5"/>
        <w:keepNext w:val="0"/>
        <w:keepLines w:val="0"/>
        <w:widowControl/>
        <w:suppressLineNumbers w:val="0"/>
        <w:ind w:left="1440"/>
      </w:pPr>
      <w:r>
        <w:t>直觉：同样的外部价格波动，对“更依赖进口/更高能耗”的国家是更大的成本冲击</w:t>
      </w:r>
    </w:p>
    <w:p w14:paraId="61EB20C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45359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ACA4C5">
      <w:pPr>
        <w:pStyle w:val="5"/>
        <w:keepNext w:val="0"/>
        <w:keepLines w:val="0"/>
        <w:widowControl/>
        <w:suppressLineNumbers w:val="0"/>
        <w:ind w:left="1440"/>
      </w:pPr>
      <w:r>
        <w:t>优点：可在包含 time FE 的面板中识别（因为国家间 Shock 不同）</w:t>
      </w:r>
    </w:p>
    <w:p w14:paraId="6466F2A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7D62E7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BC4CF">
      <w:pPr>
        <w:pStyle w:val="2"/>
        <w:keepNext w:val="0"/>
        <w:keepLines w:val="0"/>
        <w:widowControl/>
        <w:suppressLineNumbers w:val="0"/>
      </w:pPr>
      <w:r>
        <w:t>5. Empirical Strategy（给你一套“顶刊味但不复杂”的骨架）</w:t>
      </w:r>
    </w:p>
    <w:p w14:paraId="5DA7E188">
      <w:pPr>
        <w:pStyle w:val="3"/>
        <w:keepNext w:val="0"/>
        <w:keepLines w:val="0"/>
        <w:widowControl/>
        <w:suppressLineNumbers w:val="0"/>
      </w:pPr>
      <w:r>
        <w:t>5.1 主规格：面板 Local Projections（动态效应最清晰）</w:t>
      </w:r>
    </w:p>
    <w:p w14:paraId="43EA379F">
      <w:pPr>
        <w:pStyle w:val="5"/>
        <w:keepNext w:val="0"/>
        <w:keepLines w:val="0"/>
        <w:widowControl/>
        <w:suppressLineNumbers w:val="0"/>
      </w:pPr>
      <w:r>
        <w:t>对每个 horizon (h=0,\dots,H)（建议 H=24 月或 12–16 季度）估计：</w:t>
      </w:r>
    </w:p>
    <w:p w14:paraId="22D32559">
      <w:pPr>
        <w:pStyle w:val="5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y_{i,t+h} - y_{i,t-1} = \alpha_i + \delta_t + \beta_h , Shock_{i,t} + \Gamma_h X_{i,t} + \varepsilon_{i,t+h}</w:t>
      </w:r>
      <w:r>
        <w:br w:type="textWrapping"/>
      </w:r>
      <w:r>
        <w:t>]</w:t>
      </w:r>
    </w:p>
    <w:p w14:paraId="7ECF18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137228D">
      <w:pPr>
        <w:pStyle w:val="5"/>
        <w:keepNext w:val="0"/>
        <w:keepLines w:val="0"/>
        <w:widowControl/>
        <w:suppressLineNumbers w:val="0"/>
        <w:ind w:left="720"/>
      </w:pPr>
      <w:r>
        <w:t>(y)：分别跑</w:t>
      </w:r>
    </w:p>
    <w:p w14:paraId="27D708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DF049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DACF4E7">
      <w:pPr>
        <w:pStyle w:val="5"/>
        <w:keepNext w:val="0"/>
        <w:keepLines w:val="0"/>
        <w:widowControl/>
        <w:suppressLineNumbers w:val="0"/>
        <w:ind w:left="1440"/>
      </w:pPr>
      <w:r>
        <w:t>core inflation（HICP core）</w:t>
      </w:r>
    </w:p>
    <w:p w14:paraId="4277151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10EB71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4D0C1DD3">
      <w:pPr>
        <w:pStyle w:val="5"/>
        <w:keepNext w:val="0"/>
        <w:keepLines w:val="0"/>
        <w:widowControl/>
        <w:suppressLineNumbers w:val="0"/>
        <w:ind w:left="1440"/>
      </w:pPr>
      <w:r>
        <w:t>PPI inflation（生产端）</w:t>
      </w:r>
    </w:p>
    <w:p w14:paraId="3D764D4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6EF4C87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3D466A56">
      <w:pPr>
        <w:pStyle w:val="5"/>
        <w:keepNext w:val="0"/>
        <w:keepLines w:val="0"/>
        <w:widowControl/>
        <w:suppressLineNumbers w:val="0"/>
        <w:ind w:left="1440"/>
      </w:pPr>
      <w:r>
        <w:t>export volume growth（出口量）</w:t>
      </w:r>
    </w:p>
    <w:p w14:paraId="46C7A43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2D98AE9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54BFFBD2">
      <w:pPr>
        <w:pStyle w:val="5"/>
        <w:keepNext w:val="0"/>
        <w:keepLines w:val="0"/>
        <w:widowControl/>
        <w:suppressLineNumbers w:val="0"/>
        <w:ind w:left="1440"/>
      </w:pPr>
      <w:r>
        <w:t>export price / unit value growth（出口价格）</w:t>
      </w:r>
    </w:p>
    <w:p w14:paraId="052D84F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2882" w:hanging="360"/>
      </w:pPr>
    </w:p>
    <w:p w14:paraId="0FFD72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19EA2E">
      <w:pPr>
        <w:pStyle w:val="5"/>
        <w:keepNext w:val="0"/>
        <w:keepLines w:val="0"/>
        <w:widowControl/>
        <w:suppressLineNumbers w:val="0"/>
        <w:ind w:left="720"/>
      </w:pPr>
      <w:r>
        <w:t>(Shock_{i,t})：</w:t>
      </w:r>
      <w:r>
        <w:rPr>
          <w:rStyle w:val="9"/>
        </w:rPr>
        <w:t>Δlog(ExternalPrice_t) × Exposure_i</w:t>
      </w:r>
    </w:p>
    <w:p w14:paraId="234F0A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F7FC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A2A9F6">
      <w:pPr>
        <w:pStyle w:val="5"/>
        <w:keepNext w:val="0"/>
        <w:keepLines w:val="0"/>
        <w:widowControl/>
        <w:suppressLineNumbers w:val="0"/>
        <w:ind w:left="720"/>
      </w:pPr>
      <w:r>
        <w:t>(X)：滞后项、工业生产、汇率等（保持轻量）</w:t>
      </w:r>
    </w:p>
    <w:p w14:paraId="35C715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074F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你最终要展示的就是：IRF 曲线 + Spain vs Poland 的对比。</w:t>
      </w:r>
    </w:p>
    <w:p w14:paraId="24594518">
      <w:pPr>
        <w:pStyle w:val="3"/>
        <w:keepNext w:val="0"/>
        <w:keepLines w:val="0"/>
        <w:widowControl/>
        <w:suppressLineNumbers w:val="0"/>
      </w:pPr>
      <w:r>
        <w:t>5.2 你关心的“国家对比”怎么做（两种都很干净）</w:t>
      </w:r>
    </w:p>
    <w:p w14:paraId="65965007">
      <w:pPr>
        <w:pStyle w:val="4"/>
        <w:keepNext w:val="0"/>
        <w:keepLines w:val="0"/>
        <w:widowControl/>
        <w:suppressLineNumbers w:val="0"/>
      </w:pPr>
      <w:r>
        <w:t>做法 A：交互项直接读出 Spain / Poland 的差异</w:t>
      </w:r>
    </w:p>
    <w:p w14:paraId="44F5812B">
      <w:pPr>
        <w:pStyle w:val="5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... + \beta_h Shock_{i,t} + \theta_h Shock_{i,t}\times \mathbb{1}(Spain) + \kappa_h Shock_{i,t}\times \mathbb{1}(Poland)</w:t>
      </w:r>
      <w:r>
        <w:br w:type="textWrapping"/>
      </w:r>
      <w:r>
        <w:t>]</w:t>
      </w:r>
    </w:p>
    <w:p w14:paraId="26BD7EA6">
      <w:pPr>
        <w:pStyle w:val="4"/>
        <w:keepNext w:val="0"/>
        <w:keepLines w:val="0"/>
        <w:widowControl/>
        <w:suppressLineNumbers w:val="0"/>
      </w:pPr>
      <w:r>
        <w:t>做法 B：先面板估计，再单独对 Spain、Poland 跑同规格 LP 做验证</w:t>
      </w:r>
    </w:p>
    <w:p w14:paraId="268C16B8">
      <w:pPr>
        <w:pStyle w:val="5"/>
        <w:keepNext w:val="0"/>
        <w:keepLines w:val="0"/>
        <w:widowControl/>
        <w:suppressLineNumbers w:val="0"/>
      </w:pPr>
      <w:r>
        <w:t>（审稿人喜欢看到“总体 + 国家特例”的一致性）</w:t>
      </w:r>
    </w:p>
    <w:p w14:paraId="5FF92A77">
      <w:pPr>
        <w:pStyle w:val="3"/>
        <w:keepNext w:val="0"/>
        <w:keepLines w:val="0"/>
        <w:widowControl/>
        <w:suppressLineNumbers w:val="0"/>
      </w:pPr>
      <w:r>
        <w:t>5.3 识别假设（你在文中要讲清楚）</w:t>
      </w:r>
    </w:p>
    <w:p w14:paraId="380F22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2FCFF6">
      <w:pPr>
        <w:pStyle w:val="5"/>
        <w:keepNext w:val="0"/>
        <w:keepLines w:val="0"/>
        <w:widowControl/>
        <w:suppressLineNumbers w:val="0"/>
        <w:ind w:left="720"/>
      </w:pPr>
      <w:r>
        <w:t>外部能源价格变动对单一国家短期来说“近似外生”（尤其在控制全球需求 proxy 后）</w:t>
      </w:r>
    </w:p>
    <w:p w14:paraId="790292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9EE23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4134BE6">
      <w:pPr>
        <w:pStyle w:val="5"/>
        <w:keepNext w:val="0"/>
        <w:keepLines w:val="0"/>
        <w:widowControl/>
        <w:suppressLineNumbers w:val="0"/>
        <w:ind w:left="720"/>
      </w:pPr>
      <w:r>
        <w:t>暴露度是“政策前预定”的结构变量，不随当期冲击反向调整</w:t>
      </w:r>
    </w:p>
    <w:p w14:paraId="654CB0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D65E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80E9B3A">
      <w:pPr>
        <w:pStyle w:val="5"/>
        <w:keepNext w:val="0"/>
        <w:keepLines w:val="0"/>
        <w:widowControl/>
        <w:suppressLineNumbers w:val="0"/>
        <w:ind w:left="720"/>
      </w:pPr>
      <w:r>
        <w:t>time FE 吸收共同冲击（战争、疫情、欧盟共同政策）后，剩余变动来自“暴露度差异”</w:t>
      </w:r>
    </w:p>
    <w:p w14:paraId="661F2E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84FF0A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82931">
      <w:pPr>
        <w:pStyle w:val="2"/>
        <w:keepNext w:val="0"/>
        <w:keepLines w:val="0"/>
        <w:widowControl/>
        <w:suppressLineNumbers w:val="0"/>
      </w:pPr>
      <w:r>
        <w:t>6. Results（主结果结构：建议你按“通胀→机制→贸易”三段推进）</w:t>
      </w:r>
    </w:p>
    <w:p w14:paraId="6B2BD2E8">
      <w:pPr>
        <w:pStyle w:val="3"/>
        <w:keepNext w:val="0"/>
        <w:keepLines w:val="0"/>
        <w:widowControl/>
        <w:suppressLineNumbers w:val="0"/>
      </w:pPr>
      <w:r>
        <w:t>6.1 主结果 1：能源冲击对 core inflation 的动态传导</w:t>
      </w:r>
    </w:p>
    <w:p w14:paraId="2B2E58A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3C41FD">
      <w:pPr>
        <w:pStyle w:val="5"/>
        <w:keepNext w:val="0"/>
        <w:keepLines w:val="0"/>
        <w:widowControl/>
        <w:suppressLineNumbers w:val="0"/>
        <w:ind w:left="720"/>
      </w:pPr>
      <w:r>
        <w:t>展示 Spain vs Poland 的 IRFs（0–24 月）</w:t>
      </w:r>
    </w:p>
    <w:p w14:paraId="6169DD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AC52D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B4B8A3">
      <w:pPr>
        <w:pStyle w:val="5"/>
        <w:keepNext w:val="0"/>
        <w:keepLines w:val="0"/>
        <w:widowControl/>
        <w:suppressLineNumbers w:val="0"/>
        <w:ind w:left="720"/>
      </w:pPr>
      <w:r>
        <w:t>比较峰值、持续期、回落速度（通胀“黏性”）</w:t>
      </w:r>
    </w:p>
    <w:p w14:paraId="6844DF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7D412A7">
      <w:pPr>
        <w:pStyle w:val="3"/>
        <w:keepNext w:val="0"/>
        <w:keepLines w:val="0"/>
        <w:widowControl/>
        <w:suppressLineNumbers w:val="0"/>
      </w:pPr>
      <w:r>
        <w:t>6.2 主结果 2：生产端 vs 消费端（机制拆分）</w:t>
      </w:r>
    </w:p>
    <w:p w14:paraId="0BC5D19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6A2179">
      <w:pPr>
        <w:pStyle w:val="5"/>
        <w:keepNext w:val="0"/>
        <w:keepLines w:val="0"/>
        <w:widowControl/>
        <w:suppressLineNumbers w:val="0"/>
        <w:ind w:left="720"/>
      </w:pPr>
      <w:r>
        <w:t>同样的冲击下，PPI 响应更快更强？</w:t>
      </w:r>
    </w:p>
    <w:p w14:paraId="2A3336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1B96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5F9AB3">
      <w:pPr>
        <w:pStyle w:val="5"/>
        <w:keepNext w:val="0"/>
        <w:keepLines w:val="0"/>
        <w:widowControl/>
        <w:suppressLineNumbers w:val="0"/>
        <w:ind w:left="720"/>
      </w:pPr>
      <w:r>
        <w:t>core inflation 是否滞后 6–12 个月才显著？（“二次传导”证据）</w:t>
      </w:r>
    </w:p>
    <w:p w14:paraId="104477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5739C90">
      <w:pPr>
        <w:pStyle w:val="3"/>
        <w:keepNext w:val="0"/>
        <w:keepLines w:val="0"/>
        <w:widowControl/>
        <w:suppressLineNumbers w:val="0"/>
      </w:pPr>
      <w:r>
        <w:t>6.3 主结果 3：贸易竞争力（波兰匹配度的关键）</w:t>
      </w:r>
    </w:p>
    <w:p w14:paraId="1F76B9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C23A1E8">
      <w:pPr>
        <w:pStyle w:val="5"/>
        <w:keepNext w:val="0"/>
        <w:keepLines w:val="0"/>
        <w:widowControl/>
        <w:suppressLineNumbers w:val="0"/>
        <w:ind w:left="720"/>
      </w:pPr>
      <w:r>
        <w:t>出口量是否下降？下降多久？</w:t>
      </w:r>
    </w:p>
    <w:p w14:paraId="7D2D1F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3C3B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5895664">
      <w:pPr>
        <w:pStyle w:val="5"/>
        <w:keepNext w:val="0"/>
        <w:keepLines w:val="0"/>
        <w:widowControl/>
        <w:suppressLineNumbers w:val="0"/>
        <w:ind w:left="720"/>
      </w:pPr>
      <w:r>
        <w:t>出口价格/单位价值是否上升（成本转嫁）？</w:t>
      </w:r>
    </w:p>
    <w:p w14:paraId="45701B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3347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0B03D4B">
      <w:pPr>
        <w:pStyle w:val="5"/>
        <w:keepNext w:val="0"/>
        <w:keepLines w:val="0"/>
        <w:widowControl/>
        <w:suppressLineNumbers w:val="0"/>
        <w:ind w:left="720"/>
      </w:pPr>
      <w:r>
        <w:t>Poland 是否通过 PLN 贬值缓冲出口量？（加入汇率后变化）</w:t>
      </w:r>
    </w:p>
    <w:p w14:paraId="3FE0A3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60360F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B83D1">
      <w:pPr>
        <w:pStyle w:val="2"/>
        <w:keepNext w:val="0"/>
        <w:keepLines w:val="0"/>
        <w:widowControl/>
        <w:suppressLineNumbers w:val="0"/>
      </w:pPr>
      <w:r>
        <w:t>7. Mechanisms（可选，但建议至少做 2 个，且数据不难）</w:t>
      </w:r>
    </w:p>
    <w:p w14:paraId="59001ABD">
      <w:pPr>
        <w:pStyle w:val="3"/>
        <w:keepNext w:val="0"/>
        <w:keepLines w:val="0"/>
        <w:widowControl/>
        <w:suppressLineNumbers w:val="0"/>
      </w:pPr>
      <w:r>
        <w:t>7.1 汇率缓冲渠道（数据最容易、解释最强）</w:t>
      </w:r>
    </w:p>
    <w:p w14:paraId="6411C3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581C72">
      <w:pPr>
        <w:pStyle w:val="5"/>
        <w:keepNext w:val="0"/>
        <w:keepLines w:val="0"/>
        <w:widowControl/>
        <w:suppressLineNumbers w:val="0"/>
        <w:ind w:left="720"/>
      </w:pPr>
      <w:r>
        <w:t>Poland：加入 PLN/EUR 或 REER，观察出口量冲击是否被削弱</w:t>
      </w:r>
    </w:p>
    <w:p w14:paraId="0B97A8D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3801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81521BB">
      <w:pPr>
        <w:pStyle w:val="5"/>
        <w:keepNext w:val="0"/>
        <w:keepLines w:val="0"/>
        <w:widowControl/>
        <w:suppressLineNumbers w:val="0"/>
        <w:ind w:left="720"/>
      </w:pPr>
      <w:r>
        <w:t>Spain：没有独立汇率 → 对比叙事自然成立</w:t>
      </w:r>
    </w:p>
    <w:p w14:paraId="2681AC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562F890">
      <w:pPr>
        <w:pStyle w:val="3"/>
        <w:keepNext w:val="0"/>
        <w:keepLines w:val="0"/>
        <w:widowControl/>
        <w:suppressLineNumbers w:val="0"/>
      </w:pPr>
      <w:r>
        <w:t>7.2 结构暴露度渠道（不需要额外微观数据）</w:t>
      </w:r>
    </w:p>
    <w:p w14:paraId="4D75F1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BF1A59">
      <w:pPr>
        <w:pStyle w:val="5"/>
        <w:keepNext w:val="0"/>
        <w:keepLines w:val="0"/>
        <w:widowControl/>
        <w:suppressLineNumbers w:val="0"/>
        <w:ind w:left="720"/>
      </w:pPr>
      <w:r>
        <w:t>把 Exposure 拆成两类分别跑：</w:t>
      </w:r>
    </w:p>
    <w:p w14:paraId="2E9488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4B0CC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E36185">
      <w:pPr>
        <w:pStyle w:val="5"/>
        <w:keepNext w:val="0"/>
        <w:keepLines w:val="0"/>
        <w:widowControl/>
        <w:suppressLineNumbers w:val="0"/>
        <w:ind w:left="1440"/>
      </w:pPr>
      <w:r>
        <w:t>能源进口依赖</w:t>
      </w:r>
    </w:p>
    <w:p w14:paraId="79C9F08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FD756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BF1443">
      <w:pPr>
        <w:pStyle w:val="5"/>
        <w:keepNext w:val="0"/>
        <w:keepLines w:val="0"/>
        <w:widowControl/>
        <w:suppressLineNumbers w:val="0"/>
        <w:ind w:left="1440"/>
      </w:pPr>
      <w:r>
        <w:t>能源强度（能耗/GDP）</w:t>
      </w:r>
    </w:p>
    <w:p w14:paraId="16FA18F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8F781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4A0A56">
      <w:pPr>
        <w:pStyle w:val="5"/>
        <w:keepNext w:val="0"/>
        <w:keepLines w:val="0"/>
        <w:widowControl/>
        <w:suppressLineNumbers w:val="0"/>
        <w:ind w:left="1440"/>
      </w:pPr>
      <w:r>
        <w:t>工业比重（制造业占比）</w:t>
      </w:r>
      <w:r>
        <w:br w:type="textWrapping"/>
      </w:r>
      <w:r>
        <w:t>看哪个维度解释力更强（这就是“结构机制”）</w:t>
      </w:r>
    </w:p>
    <w:p w14:paraId="5296363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CB4F2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如果你想再加一个“工资渠道”，也可以用 Eurostat 的 compensation 数据做季度版，但不是必须。</w:t>
      </w:r>
    </w:p>
    <w:p w14:paraId="23CBE55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B0872">
      <w:pPr>
        <w:pStyle w:val="2"/>
        <w:keepNext w:val="0"/>
        <w:keepLines w:val="0"/>
        <w:widowControl/>
        <w:suppressLineNumbers w:val="0"/>
      </w:pPr>
      <w:r>
        <w:t>8. Robustness（审稿人关心的点，全部不需要难数据）</w:t>
      </w:r>
    </w:p>
    <w:p w14:paraId="57F0E7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A85401">
      <w:pPr>
        <w:pStyle w:val="5"/>
        <w:keepNext w:val="0"/>
        <w:keepLines w:val="0"/>
        <w:widowControl/>
        <w:suppressLineNumbers w:val="0"/>
        <w:ind w:left="720"/>
      </w:pPr>
      <w:r>
        <w:t>外生价格替代：天然气 vs 原油 vs 煤（同框架）</w:t>
      </w:r>
    </w:p>
    <w:p w14:paraId="4F2B18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3C56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9D61E92">
      <w:pPr>
        <w:pStyle w:val="5"/>
        <w:keepNext w:val="0"/>
        <w:keepLines w:val="0"/>
        <w:widowControl/>
        <w:suppressLineNumbers w:val="0"/>
        <w:ind w:left="720"/>
      </w:pPr>
      <w:r>
        <w:t>暴露度替代：进口依赖 vs 能源强度 vs 工业比重</w:t>
      </w:r>
    </w:p>
    <w:p w14:paraId="7671E8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894C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3BADE9">
      <w:pPr>
        <w:pStyle w:val="5"/>
        <w:keepNext w:val="0"/>
        <w:keepLines w:val="0"/>
        <w:widowControl/>
        <w:suppressLineNumbers w:val="0"/>
        <w:ind w:left="720"/>
      </w:pPr>
      <w:r>
        <w:t>样本切割：去掉 2020 疫情，或分段（2000–2010 / 2011–2019 / 2020–2024）</w:t>
      </w:r>
    </w:p>
    <w:p w14:paraId="10739A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CB8A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E72AE38">
      <w:pPr>
        <w:pStyle w:val="5"/>
        <w:keepNext w:val="0"/>
        <w:keepLines w:val="0"/>
        <w:widowControl/>
        <w:suppressLineNumbers w:val="0"/>
        <w:ind w:left="720"/>
      </w:pPr>
      <w:r>
        <w:t>控制全球需求：加入全球工业生产（如果你嫌麻烦，可以用 Euro area industrial production 做 proxy）</w:t>
      </w:r>
    </w:p>
    <w:p w14:paraId="0C071F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539A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39D849">
      <w:pPr>
        <w:pStyle w:val="5"/>
        <w:keepNext w:val="0"/>
        <w:keepLines w:val="0"/>
        <w:widowControl/>
        <w:suppressLineNumbers w:val="0"/>
        <w:ind w:left="720"/>
      </w:pPr>
      <w:r>
        <w:t>预趋势/安慰剂：用 (Shock_{i,t+1})（lead）检验是否“提前反应”</w:t>
      </w:r>
    </w:p>
    <w:p w14:paraId="44FC483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58F7D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8529">
      <w:pPr>
        <w:pStyle w:val="2"/>
        <w:keepNext w:val="0"/>
        <w:keepLines w:val="0"/>
        <w:widowControl/>
        <w:suppressLineNumbers w:val="0"/>
      </w:pPr>
      <w:r>
        <w:t>9. Discussion &amp; Policy Implications（把西班牙和波兰的“申请叙事”写满）</w:t>
      </w:r>
    </w:p>
    <w:p w14:paraId="78F6098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726746E">
      <w:pPr>
        <w:pStyle w:val="5"/>
        <w:keepNext w:val="0"/>
        <w:keepLines w:val="0"/>
        <w:widowControl/>
        <w:suppressLineNumbers w:val="0"/>
        <w:ind w:left="720"/>
      </w:pPr>
      <w:r>
        <w:t>对西班牙：核心通胀持久性意味着货币政策与财政补贴的取舍；如何避免二次传导</w:t>
      </w:r>
    </w:p>
    <w:p w14:paraId="47D9EB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66CBE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C1D2E36">
      <w:pPr>
        <w:pStyle w:val="5"/>
        <w:keepNext w:val="0"/>
        <w:keepLines w:val="0"/>
        <w:widowControl/>
        <w:suppressLineNumbers w:val="0"/>
        <w:ind w:left="720"/>
      </w:pPr>
      <w:r>
        <w:t>对波兰：绿色与能源成本约束下，出口竞争力如何通过汇率/产业升级/能源结构调整应对</w:t>
      </w:r>
    </w:p>
    <w:p w14:paraId="27169A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05BE6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52FBB0">
      <w:pPr>
        <w:pStyle w:val="5"/>
        <w:keepNext w:val="0"/>
        <w:keepLines w:val="0"/>
        <w:widowControl/>
        <w:suppressLineNumbers w:val="0"/>
        <w:ind w:left="720"/>
      </w:pPr>
      <w:r>
        <w:t>EU 层面：统一能源政策与 CBAM/ETS 的成本传导可能加剧成员国分化（这句话非常欧陆）</w:t>
      </w:r>
    </w:p>
    <w:p w14:paraId="139B85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F38C33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A5027">
      <w:pPr>
        <w:pStyle w:val="2"/>
        <w:keepNext w:val="0"/>
        <w:keepLines w:val="0"/>
        <w:widowControl/>
        <w:suppressLineNumbers w:val="0"/>
      </w:pPr>
      <w:r>
        <w:t>10. Conclusion（标准三句话）</w:t>
      </w:r>
    </w:p>
    <w:p w14:paraId="0E4285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A02AE57">
      <w:pPr>
        <w:pStyle w:val="5"/>
        <w:keepNext w:val="0"/>
        <w:keepLines w:val="0"/>
        <w:widowControl/>
        <w:suppressLineNumbers w:val="0"/>
        <w:ind w:left="720"/>
      </w:pPr>
      <w:r>
        <w:t>总结主发现（通胀动态 + 贸易动态）</w:t>
      </w:r>
    </w:p>
    <w:p w14:paraId="1E3852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96ED3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63F5F0">
      <w:pPr>
        <w:pStyle w:val="5"/>
        <w:keepNext w:val="0"/>
        <w:keepLines w:val="0"/>
        <w:widowControl/>
        <w:suppressLineNumbers w:val="0"/>
        <w:ind w:left="720"/>
      </w:pPr>
      <w:r>
        <w:t>强调结构异质性（为什么 Spain≠Poland）</w:t>
      </w:r>
    </w:p>
    <w:p w14:paraId="42BEEA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C77B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BBC7520">
      <w:pPr>
        <w:pStyle w:val="5"/>
        <w:keepNext w:val="0"/>
        <w:keepLines w:val="0"/>
        <w:widowControl/>
        <w:suppressLineNumbers w:val="0"/>
        <w:ind w:left="720"/>
      </w:pPr>
      <w:r>
        <w:t>指出扩展方向：企业层面、工资谈判、行业分解（但这不是你现在必须做的）</w:t>
      </w:r>
    </w:p>
    <w:p w14:paraId="762CB9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658911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5C37E">
      <w:pPr>
        <w:pStyle w:val="2"/>
        <w:keepNext w:val="0"/>
        <w:keepLines w:val="0"/>
        <w:widowControl/>
        <w:suppressLineNumbers w:val="0"/>
      </w:pPr>
      <w:r>
        <w:t>附录（建议你做，且完全不增加数据成本）</w:t>
      </w:r>
    </w:p>
    <w:p w14:paraId="3EE015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643616">
      <w:pPr>
        <w:pStyle w:val="5"/>
        <w:keepNext w:val="0"/>
        <w:keepLines w:val="0"/>
        <w:widowControl/>
        <w:suppressLineNumbers w:val="0"/>
        <w:ind w:left="720"/>
      </w:pPr>
      <w:r>
        <w:t>A1：数据字典（变量、单位、频率、变换）</w:t>
      </w:r>
    </w:p>
    <w:p w14:paraId="6369019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2A9FB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E208BE">
      <w:pPr>
        <w:pStyle w:val="5"/>
        <w:keepNext w:val="0"/>
        <w:keepLines w:val="0"/>
        <w:widowControl/>
        <w:suppressLineNumbers w:val="0"/>
        <w:ind w:left="720"/>
      </w:pPr>
      <w:r>
        <w:t>A2：冲击构造细节（Δlog、标准化、滞后阶数）</w:t>
      </w:r>
    </w:p>
    <w:p w14:paraId="0CBC23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D1915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155B28C">
      <w:pPr>
        <w:pStyle w:val="5"/>
        <w:keepNext w:val="0"/>
        <w:keepLines w:val="0"/>
        <w:widowControl/>
        <w:suppressLineNumbers w:val="0"/>
        <w:ind w:left="720"/>
      </w:pPr>
      <w:r>
        <w:t>A3：额外图表（所有国家的 IRF heatmap，Spain/Poland 高亮）</w:t>
      </w:r>
    </w:p>
    <w:p w14:paraId="047219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D7358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ED8EC">
      <w:pPr>
        <w:pStyle w:val="2"/>
        <w:keepNext w:val="0"/>
        <w:keepLines w:val="0"/>
        <w:widowControl/>
        <w:suppressLineNumbers w:val="0"/>
      </w:pPr>
      <w:r>
        <w:t>“最小可执行版本”（你最快能产出的版本）</w:t>
      </w:r>
    </w:p>
    <w:p w14:paraId="018D6241">
      <w:pPr>
        <w:pStyle w:val="5"/>
        <w:keepNext w:val="0"/>
        <w:keepLines w:val="0"/>
        <w:widowControl/>
        <w:suppressLineNumbers w:val="0"/>
      </w:pPr>
      <w:r>
        <w:t>如果你要最省事、最稳：</w:t>
      </w:r>
    </w:p>
    <w:p w14:paraId="3F827F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D07B3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只用 Eurostat + ECB</w:t>
      </w:r>
      <w:r>
        <w:t>：HICP(core+energy)、PPI、工业生产、出口量指数、PLN/EUR</w:t>
      </w:r>
    </w:p>
    <w:p w14:paraId="7104051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C40C1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4B0269">
      <w:pPr>
        <w:pStyle w:val="5"/>
        <w:keepNext w:val="0"/>
        <w:keepLines w:val="0"/>
        <w:widowControl/>
        <w:suppressLineNumbers w:val="0"/>
        <w:ind w:left="720"/>
      </w:pPr>
      <w:r>
        <w:t xml:space="preserve">外部冲击先用 </w:t>
      </w:r>
      <w:r>
        <w:rPr>
          <w:rStyle w:val="8"/>
        </w:rPr>
        <w:t>Brent oil</w:t>
      </w:r>
      <w:r>
        <w:t>（公共月度序列很好拿）</w:t>
      </w:r>
    </w:p>
    <w:p w14:paraId="357BDF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BF31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424B9E2">
      <w:pPr>
        <w:pStyle w:val="5"/>
        <w:keepNext w:val="0"/>
        <w:keepLines w:val="0"/>
        <w:widowControl/>
        <w:suppressLineNumbers w:val="0"/>
        <w:ind w:left="720"/>
      </w:pPr>
      <w:r>
        <w:t xml:space="preserve">暴露度只用 </w:t>
      </w:r>
      <w:r>
        <w:rPr>
          <w:rStyle w:val="8"/>
        </w:rPr>
        <w:t>能源进口依赖（Eurostat 年度）</w:t>
      </w:r>
      <w:r>
        <w:t xml:space="preserve"> 的政策前均值</w:t>
      </w:r>
    </w:p>
    <w:p w14:paraId="4A02A3C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888D58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DBC9B0">
      <w:pPr>
        <w:pStyle w:val="5"/>
        <w:keepNext w:val="0"/>
        <w:keepLines w:val="0"/>
        <w:widowControl/>
        <w:suppressLineNumbers w:val="0"/>
        <w:ind w:left="720"/>
      </w:pPr>
      <w:r>
        <w:t>做面板 LP + Spain/Poland 交互项 + 两国单独 LP 验证</w:t>
      </w:r>
    </w:p>
    <w:p w14:paraId="18EB67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CDF2B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7ACB703">
      <w:pPr>
        <w:pStyle w:val="5"/>
        <w:keepNext w:val="0"/>
        <w:keepLines w:val="0"/>
        <w:widowControl/>
        <w:suppressLineNumbers w:val="0"/>
        <w:ind w:left="720"/>
      </w:pPr>
      <w:r>
        <w:t>结果图：4 张 IRF（core、PPI、export volume、export price）× 2 国对比</w:t>
      </w:r>
    </w:p>
    <w:p w14:paraId="7DAA27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BE5985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48F70">
      <w:pPr>
        <w:pStyle w:val="5"/>
        <w:keepNext w:val="0"/>
        <w:keepLines w:val="0"/>
        <w:widowControl/>
        <w:suppressLineNumbers w:val="0"/>
      </w:pPr>
      <w:r>
        <w:t>如果你愿意，我可以在你选定的“频率与样本”后，把这篇直接落成</w:t>
      </w:r>
      <w:r>
        <w:rPr>
          <w:rStyle w:val="8"/>
        </w:rPr>
        <w:t>可写作的目录（每节该写什么句子）+ 回归式模板 + 变量构造公式</w:t>
      </w:r>
      <w:r>
        <w:t>。你只要回复我两点即可（不需要额外信息）：</w:t>
      </w:r>
    </w:p>
    <w:p w14:paraId="774588B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426A24">
      <w:pPr>
        <w:pStyle w:val="5"/>
        <w:keepNext w:val="0"/>
        <w:keepLines w:val="0"/>
        <w:widowControl/>
        <w:suppressLineNumbers w:val="0"/>
        <w:ind w:left="720"/>
      </w:pPr>
      <w:r>
        <w:t xml:space="preserve">你想用 </w:t>
      </w:r>
      <w:r>
        <w:rPr>
          <w:rStyle w:val="8"/>
        </w:rPr>
        <w:t>月度为主</w:t>
      </w:r>
      <w:r>
        <w:t xml:space="preserve"> 还是 </w:t>
      </w:r>
      <w:r>
        <w:rPr>
          <w:rStyle w:val="8"/>
        </w:rPr>
        <w:t>季度为主</w:t>
      </w:r>
      <w:r>
        <w:t>？</w:t>
      </w:r>
    </w:p>
    <w:p w14:paraId="426922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EE42E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1AE98D">
      <w:pPr>
        <w:pStyle w:val="5"/>
        <w:keepNext w:val="0"/>
        <w:keepLines w:val="0"/>
        <w:widowControl/>
        <w:suppressLineNumbers w:val="0"/>
        <w:ind w:left="720"/>
      </w:pPr>
      <w:r>
        <w:t xml:space="preserve">你想样本只做 </w:t>
      </w:r>
      <w:r>
        <w:rPr>
          <w:rStyle w:val="8"/>
        </w:rPr>
        <w:t>Spain+Poland</w:t>
      </w:r>
      <w:r>
        <w:t xml:space="preserve">，还是 </w:t>
      </w:r>
      <w:r>
        <w:rPr>
          <w:rStyle w:val="8"/>
        </w:rPr>
        <w:t>EU 面板（更强）</w:t>
      </w:r>
      <w:r>
        <w:t>？</w:t>
      </w:r>
    </w:p>
    <w:p w14:paraId="2F8770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C2EA2"/>
    <w:multiLevelType w:val="multilevel"/>
    <w:tmpl w:val="B2AC2E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DB4D16"/>
    <w:multiLevelType w:val="multilevel"/>
    <w:tmpl w:val="B3DB4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D2BAF0"/>
    <w:multiLevelType w:val="multilevel"/>
    <w:tmpl w:val="BFD2B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BBE9134"/>
    <w:multiLevelType w:val="multilevel"/>
    <w:tmpl w:val="CBBE91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F4A66B8"/>
    <w:multiLevelType w:val="multilevel"/>
    <w:tmpl w:val="DF4A66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8BADBF"/>
    <w:multiLevelType w:val="multilevel"/>
    <w:tmpl w:val="E78BA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DCD132"/>
    <w:multiLevelType w:val="multilevel"/>
    <w:tmpl w:val="E7DCD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B89D971"/>
    <w:multiLevelType w:val="multilevel"/>
    <w:tmpl w:val="EB89D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F8F08A"/>
    <w:multiLevelType w:val="multilevel"/>
    <w:tmpl w:val="F6F8F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7FD8D78"/>
    <w:multiLevelType w:val="multilevel"/>
    <w:tmpl w:val="F7FD8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3653EE"/>
    <w:multiLevelType w:val="multilevel"/>
    <w:tmpl w:val="FE365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ED406CB"/>
    <w:multiLevelType w:val="multilevel"/>
    <w:tmpl w:val="FED406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F566CDB"/>
    <w:multiLevelType w:val="multilevel"/>
    <w:tmpl w:val="FF566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F9D3EC"/>
    <w:multiLevelType w:val="multilevel"/>
    <w:tmpl w:val="FFF9D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57F581C"/>
    <w:multiLevelType w:val="multilevel"/>
    <w:tmpl w:val="357F5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DD6DDF9"/>
    <w:multiLevelType w:val="multilevel"/>
    <w:tmpl w:val="6DD6D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57DC21F"/>
    <w:multiLevelType w:val="multilevel"/>
    <w:tmpl w:val="757DC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FBBDB05"/>
    <w:multiLevelType w:val="multilevel"/>
    <w:tmpl w:val="7FBBD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FF42DA9"/>
    <w:multiLevelType w:val="multilevel"/>
    <w:tmpl w:val="7FF42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8"/>
  </w:num>
  <w:num w:numId="5">
    <w:abstractNumId w:val="10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3"/>
  </w:num>
  <w:num w:numId="11">
    <w:abstractNumId w:val="12"/>
  </w:num>
  <w:num w:numId="12">
    <w:abstractNumId w:val="5"/>
  </w:num>
  <w:num w:numId="13">
    <w:abstractNumId w:val="18"/>
  </w:num>
  <w:num w:numId="14">
    <w:abstractNumId w:val="6"/>
  </w:num>
  <w:num w:numId="15">
    <w:abstractNumId w:val="15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9"/>
  </w:num>
  <w:num w:numId="19">
    <w:abstractNumId w:val="14"/>
  </w:num>
  <w:num w:numId="20">
    <w:abstractNumId w:val="17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FFED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2025-07-30T01:14:00Z</dcterms:created>
  <dc:creator>Data</dc:creator>
  <cp:lastModifiedBy>アクセラレータ</cp:lastModifiedBy>
  <dcterms:modified xsi:type="dcterms:W3CDTF">2026-01-22T01:52:25Z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