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论文学术含金量与学术规范综合分析报告</w:t>
      </w:r>
    </w:p>
    <w:p>
      <w:pPr>
        <w:jc w:val="center"/>
      </w:pPr>
      <w:r>
        <w:rPr>
          <w:i/>
          <w:iCs/>
        </w:rPr>
        <w:t xml:space="preserve">评估对象：关于欧洲间接税传导与价格刚性的研究</w:t>
      </w:r>
    </w:p>
    <w:p>
      <w:pPr>
        <w:spacing w:after="400"/>
      </w:pPr>
    </w:p>
    <w:p>
      <w:pPr>
        <w:pStyle w:val="Heading1"/>
      </w:pPr>
      <w:r>
        <w:t xml:space="preserve">1. 执行摘要</w:t>
      </w:r>
    </w:p>
    <w:p>
      <w:r>
        <w:rPr>
          <w:b/>
          <w:bCs/>
          <w:sz w:val="28"/>
          <w:szCs w:val="28"/>
        </w:rPr>
        <w:t xml:space="preserve">总体评分：7.7 / 10</w:t>
      </w:r>
    </w:p>
    <w:p>
      <w:r>
        <w:t xml:space="preserve">本报告对该论文的理论基础、方法论、学术规范及可复制性进行了全面评估。论文在理论对话和计量识别策略上表现优异，但在数据一致性、代码管理和可复制性方面存在显著风险。</w:t>
      </w:r>
    </w:p>
    <w:p>
      <w:pPr>
        <w:spacing w:before="200"/>
      </w:pPr>
      <w:r>
        <w:rPr>
          <w:b/>
          <w:bCs/>
        </w:rPr>
        <w:t xml:space="preserve">核心优势：</w:t>
      </w:r>
    </w:p>
    <w:p>
      <w:pPr>
        <w:pStyle w:val="ListParagraph"/>
        <w:numPr>
          <w:ilvl w:val="0"/>
          <w:numId w:val="2"/>
        </w:numPr>
      </w:pPr>
      <w:r>
        <w:t xml:space="preserve">理论对话深入：直接回应 Benzarti 等 (AER, 2020) 的核心发现，具有极高的学术起点。</w:t>
      </w:r>
    </w:p>
    <w:p>
      <w:pPr>
        <w:pStyle w:val="ListParagraph"/>
        <w:numPr>
          <w:ilvl w:val="0"/>
          <w:numId w:val="2"/>
        </w:numPr>
      </w:pPr>
      <w:r>
        <w:t xml:space="preserve">识别策略先进：采用 Stacked Event Study 规避了传统 TWFE 模型在异质性处理效应下的负权重问题。</w:t>
      </w:r>
    </w:p>
    <w:p>
      <w:pPr>
        <w:pStyle w:val="ListParagraph"/>
        <w:numPr>
          <w:ilvl w:val="0"/>
          <w:numId w:val="2"/>
        </w:numPr>
      </w:pPr>
      <w:r>
        <w:t xml:space="preserve">统计推断严谨：针对小样本聚类（30个国家）采用了 Wild Cluster Bootstrap 进行校正。</w:t>
      </w:r>
    </w:p>
    <w:p>
      <w:pPr>
        <w:spacing w:before="200"/>
      </w:pPr>
      <w:r>
        <w:rPr>
          <w:b/>
          <w:bCs/>
        </w:rPr>
        <w:t xml:space="preserve">主要风险：</w:t>
      </w:r>
    </w:p>
    <w:p>
      <w:pPr>
        <w:pStyle w:val="ListParagraph"/>
        <w:numPr>
          <w:ilvl w:val="0"/>
          <w:numId w:val="2"/>
        </w:numPr>
      </w:pPr>
      <w:r>
        <w:t xml:space="preserve">数据一致性危机：正文描述系数 (0.35) 与实证结果文件 (0.43) 存在严重不匹配。</w:t>
      </w:r>
    </w:p>
    <w:p>
      <w:pPr>
        <w:pStyle w:val="ListParagraph"/>
        <w:numPr>
          <w:ilvl w:val="0"/>
          <w:numId w:val="2"/>
        </w:numPr>
      </w:pPr>
      <w:r>
        <w:t xml:space="preserve">预趋势显著性：t=-2 处的显著性暗示存在预期效应，可能挑战因果识别的排他性约束。</w:t>
      </w:r>
    </w:p>
    <w:p>
      <w:pPr>
        <w:pStyle w:val="ListParagraph"/>
        <w:numPr>
          <w:ilvl w:val="0"/>
          <w:numId w:val="2"/>
        </w:numPr>
      </w:pPr>
      <w:r>
        <w:t xml:space="preserve">工程化水平低下：缺乏版本控制（Git）和依赖锁定，代码维护成本极高，可复制性评分偏低。</w:t>
      </w:r>
    </w:p>
    <w:p>
      <w:r>
        <w:br w:type="page"/>
      </w:r>
    </w:p>
    <w:p>
      <w:pPr>
        <w:pStyle w:val="Heading1"/>
      </w:pPr>
      <w:r>
        <w:t xml:space="preserve">2. 学术含金量评估</w:t>
      </w:r>
    </w:p>
    <w:p>
      <w:pPr>
        <w:pStyle w:val="Heading2"/>
      </w:pPr>
      <w:r>
        <w:t xml:space="preserve">2.1 理论贡献与创新</w:t>
      </w:r>
    </w:p>
    <w:p>
      <w:r>
        <w:t xml:space="preserve">论文构建了基于菜单成本与不完全竞争的理论框架，深入探讨了间接税（Tax Wedge）向消费者价格传导的机制。其核心学术价值在于对 Benzarti 等 (2020) 关于传导不对称性结论的挑战与细化。通过引入高频识别传统，论文在理论层面上为价格刚性提供了更具动态性的解释。</w:t>
      </w:r>
    </w:p>
    <w:p>
      <w:pPr>
        <w:pStyle w:val="Heading2"/>
      </w:pPr>
      <w:r>
        <w:t xml:space="preserve">2.2 方法论突破</w:t>
      </w:r>
    </w:p>
    <w:p>
      <w:r>
        <w:t xml:space="preserve">在计量经济学方法上，论文紧跟前沿，采用了 Stacked Event Study 设计。这一设计有效解决了在交错实施（Staggered Adoption）背景下，传统双向固定效应模型可能产生的偏误。此外，Tax Wedge 的代数识别过程逻辑严密，确保了政策变动捕捉的纯净度。</w:t>
      </w:r>
    </w:p>
    <w:p>
      <w:pPr>
        <w:pStyle w:val="Heading2"/>
      </w:pPr>
      <w:r>
        <w:t xml:space="preserve">2.3 实证发现的价值</w:t>
      </w:r>
    </w:p>
    <w:p>
      <w:r>
        <w:t xml:space="preserve">实证结果显示，虽然传导是不完全的，但在对称性上表现出较强的解释力。这一发现对于欧洲各国的增值税政策制定具有直接的参考意义，特别是在评估税率调整对通胀影响的预测方面。</w:t>
      </w:r>
    </w:p>
    <w:p>
      <w:pPr>
        <w:pStyle w:val="Heading2"/>
      </w:pPr>
      <w:r>
        <w:t xml:space="preserve">2.4 学术影响力预测</w:t>
      </w:r>
    </w:p>
    <w:p>
      <w:r>
        <w:t xml:space="preserve">鉴于其研究问题的政策相关性和方法论的严谨性，该论文具备在国际一流经济学期刊（如 Journal of Public Economics 或 European Economic Review）发表的潜力。若能解决预趋势和数据一致性问题，其引用潜力巨大。</w:t>
      </w:r>
    </w:p>
    <w:p>
      <w:r>
        <w:br w:type="page"/>
      </w:r>
    </w:p>
    <w:p>
      <w:pPr>
        <w:pStyle w:val="Heading1"/>
      </w:pPr>
      <w:r>
        <w:t xml:space="preserve">3. 学术规范审查</w:t>
      </w:r>
    </w:p>
    <w:p>
      <w:pPr>
        <w:pStyle w:val="Heading2"/>
      </w:pPr>
      <w:r>
        <w:t xml:space="preserve">3.1 写作规范达标情况</w:t>
      </w:r>
    </w:p>
    <w:p>
      <w:r>
        <w:t xml:space="preserve">论文结构完整，逻辑清晰。然而，在细节描述上存在严重偏差：</w:t>
      </w:r>
    </w:p>
    <w:p>
      <w:pPr>
        <w:pStyle w:val="ListParagraph"/>
        <w:numPr>
          <w:ilvl w:val="0"/>
          <w:numId w:val="2"/>
        </w:numPr>
      </w:pPr>
      <w:r>
        <w:t xml:space="preserve">核心系数矛盾：正文宣称 0.35，而 results_main.md 显示为 0.43。</w:t>
      </w:r>
    </w:p>
    <w:p>
      <w:pPr>
        <w:pStyle w:val="ListParagraph"/>
        <w:numPr>
          <w:ilvl w:val="0"/>
          <w:numId w:val="2"/>
        </w:numPr>
      </w:pPr>
      <w:r>
        <w:t xml:space="preserve">异质性描述错误：对 Periphery 地区的描述与实际统计结果（t=0 时不显著，t=12 时显著）完全相反。</w:t>
      </w:r>
    </w:p>
    <w:p>
      <w:pPr>
        <w:pStyle w:val="Heading2"/>
      </w:pPr>
      <w:r>
        <w:t xml:space="preserve">3.2 数据透明度与可复制性</w:t>
      </w:r>
    </w:p>
    <w:p>
      <w:r>
        <w:t xml:space="preserve">数据来源透明，提供了完整的复现包。但可复制性评分仅为 5.8/10，主要原因包括：</w:t>
      </w:r>
    </w:p>
    <w:p>
      <w:pPr>
        <w:pStyle w:val="ListParagraph"/>
        <w:numPr>
          <w:ilvl w:val="0"/>
          <w:numId w:val="2"/>
        </w:numPr>
      </w:pPr>
      <w:r>
        <w:t xml:space="preserve">缺乏版本控制：未发现 .git 目录，这在现代学术研究中属于重大管理缺失。</w:t>
      </w:r>
    </w:p>
    <w:p>
      <w:pPr>
        <w:pStyle w:val="ListParagraph"/>
        <w:numPr>
          <w:ilvl w:val="0"/>
          <w:numId w:val="2"/>
        </w:numPr>
      </w:pPr>
      <w:r>
        <w:t xml:space="preserve">文档不一致：README 中的操作步骤与实际脚本逻辑存在脱节。</w:t>
      </w:r>
    </w:p>
    <w:p>
      <w:pPr>
        <w:pStyle w:val="Heading2"/>
      </w:pPr>
      <w:r>
        <w:t xml:space="preserve">3.3 引用和学术诚信</w:t>
      </w:r>
    </w:p>
    <w:p>
      <w:r>
        <w:t xml:space="preserve">引用详实，对话前沿。但需注意缺失“利益冲突声明”，这在顶级期刊投稿中是必填项。</w:t>
      </w:r>
    </w:p>
    <w:p>
      <w:pPr>
        <w:pStyle w:val="Heading2"/>
      </w:pPr>
      <w:r>
        <w:t xml:space="preserve">3.4 图表和统计规范</w:t>
      </w:r>
    </w:p>
    <w:p>
      <w:r>
        <w:t xml:space="preserve">图表制作专业，但存在统计显著性标注不一致的问题。Markdown 与 LaTeX 混用导致部分标签未正常渲染，影响了阅读体验。</w:t>
      </w:r>
    </w:p>
    <w:p>
      <w:r>
        <w:br w:type="page"/>
      </w:r>
    </w:p>
    <w:p>
      <w:pPr>
        <w:pStyle w:val="Heading1"/>
      </w:pPr>
      <w:r>
        <w:t xml:space="preserve">4. 计量经济学方法评估</w:t>
      </w:r>
    </w:p>
    <w:p>
      <w:pPr>
        <w:pStyle w:val="Heading2"/>
      </w:pPr>
      <w:r>
        <w:t xml:space="preserve">4.1 识别策略有效性</w:t>
      </w:r>
    </w:p>
    <w:p>
      <w:r>
        <w:t xml:space="preserve">Stacked Event Study 的应用是本文的一大亮点。通过构建“清洁”的对照组，论文成功排除了已处理单位作为对照组带来的污染。</w:t>
      </w:r>
    </w:p>
    <w:p>
      <w:pPr>
        <w:pStyle w:val="Heading2"/>
      </w:pPr>
      <w:r>
        <w:t xml:space="preserve">4.2 估计方法的适当性</w:t>
      </w:r>
    </w:p>
    <w:p>
      <w:r>
        <w:t xml:space="preserve">考虑到聚类数量（30个国家）不足 50 个，论文正确地采用了 Wild Cluster Bootstrap 进行推断。这种方法在小样本聚类情况下比传统的聚类稳健标准误更具保守性和可靠性。</w:t>
      </w:r>
    </w:p>
    <w:p>
      <w:pPr>
        <w:pStyle w:val="Heading2"/>
      </w:pPr>
      <w:r>
        <w:t xml:space="preserve">4.3 统计推断的严谨性</w:t>
      </w:r>
    </w:p>
    <w:p>
      <w:r>
        <w:t xml:space="preserve">代码实现了基于 Cameron 等 (2008) 的算法，重复次数达 9999 次，种子设定为 42，确保了结果的可重复性。但在 Webb_6pt 的实现上存在微小瑕疵（实际为 4 点实现）。</w:t>
      </w:r>
    </w:p>
    <w:p>
      <w:pPr>
        <w:pStyle w:val="Heading2"/>
      </w:pPr>
      <w:r>
        <w:t xml:space="preserve">4.4 稳健性检验充分性</w:t>
      </w:r>
    </w:p>
    <w:p>
      <w:r>
        <w:t xml:space="preserve">论文包含了安慰剂检验（时间置换）和亚组分析。然而，亚组分类规则存在硬编码现象，且部分稳健性检验结果未在文档中系统性呈现。</w:t>
      </w:r>
    </w:p>
    <w:p>
      <w:r>
        <w:br w:type="page"/>
      </w:r>
    </w:p>
    <w:p>
      <w:pPr>
        <w:pStyle w:val="Heading1"/>
      </w:pPr>
      <w:r>
        <w:t xml:space="preserve">5. 关键问题清单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000000" w:sz="1"/>
              <w:left w:val="single" w:color="000000" w:sz="1"/>
              <w:bottom w:val="single" w:color="000000" w:sz="1"/>
              <w:right w:val="single" w:color="000000" w:sz="1"/>
            </w:tcBorders>
            <w:shd w:fill="E6E6E6" w:val="clear"/>
          </w:tcPr>
          <w:p>
            <w:pPr>
              <w:jc w:val="center"/>
            </w:pPr>
            <w:r>
              <w:rPr>
                <w:b/>
                <w:bCs/>
              </w:rPr>
              <w:t xml:space="preserve">级别</w:t>
            </w:r>
          </w:p>
        </w:tc>
        <w:tc>
          <w:tcPr>
            <w:tcBorders>
              <w:top w:val="single" w:color="000000" w:sz="1"/>
              <w:left w:val="single" w:color="000000" w:sz="1"/>
              <w:bottom w:val="single" w:color="000000" w:sz="1"/>
              <w:right w:val="single" w:color="000000" w:sz="1"/>
            </w:tcBorders>
            <w:shd w:fill="E6E6E6" w:val="clear"/>
          </w:tcPr>
          <w:p>
            <w:pPr>
              <w:jc w:val="center"/>
            </w:pPr>
            <w:r>
              <w:rPr>
                <w:b/>
                <w:bCs/>
              </w:rPr>
              <w:t xml:space="preserve">问题描述</w:t>
            </w:r>
          </w:p>
        </w:tc>
      </w:tr>
      <w:tr>
        <w:tc>
          <w:tcPr>
            <w:tcBorders>
              <w:top w:val="single" w:color="000000" w:sz="1"/>
              <w:left w:val="single" w:color="000000" w:sz="1"/>
              <w:bottom w:val="single" w:color="000000" w:sz="1"/>
              <w:right w:val="single" w:color="000000" w:sz="1"/>
            </w:tcBorders>
          </w:tcPr>
          <w:p>
            <w:pPr>
              <w:jc w:val="center"/>
            </w:pPr>
            <w:r>
              <w:rPr>
                <w:b/>
                <w:bCs/>
                <w:color w:val="FF0000"/>
              </w:rPr>
              <w:t xml:space="preserve">严重</w:t>
            </w:r>
          </w:p>
        </w:tc>
        <w:tc>
          <w:tcPr>
            <w:tcBorders>
              <w:top w:val="single" w:color="000000" w:sz="1"/>
              <w:left w:val="single" w:color="000000" w:sz="1"/>
              <w:bottom w:val="single" w:color="000000" w:sz="1"/>
              <w:right w:val="single" w:color="000000" w:sz="1"/>
            </w:tcBorders>
          </w:tcPr>
          <w:p>
            <w:pPr>
              <w:pStyle w:val="ListParagraph"/>
              <w:numPr>
                <w:ilvl w:val="0"/>
                <w:numId w:val="2"/>
              </w:numPr>
            </w:pPr>
            <w:r>
              <w:t xml:space="preserve">正文系数 (0.35) 与结果文件 (0.43) 不一致。</w:t>
            </w:r>
          </w:p>
          <w:p>
            <w:pPr>
              <w:pStyle w:val="ListParagraph"/>
              <w:numPr>
                <w:ilvl w:val="0"/>
                <w:numId w:val="2"/>
              </w:numPr>
            </w:pPr>
            <w:r>
              <w:t xml:space="preserve">t=-2 预趋势显著，挑战平行趋势假设。</w:t>
            </w:r>
          </w:p>
          <w:p>
            <w:pPr>
              <w:pStyle w:val="ListParagraph"/>
              <w:numPr>
                <w:ilvl w:val="0"/>
                <w:numId w:val="2"/>
              </w:numPr>
            </w:pPr>
            <w:r>
              <w:t xml:space="preserve">Periphery 地区实证结果描述与数据完全相反。</w:t>
            </w:r>
          </w:p>
        </w:tc>
      </w:tr>
      <w:tr>
        <w:tc>
          <w:tcPr>
            <w:tcBorders>
              <w:top w:val="single" w:color="000000" w:sz="1"/>
              <w:left w:val="single" w:color="000000" w:sz="1"/>
              <w:bottom w:val="single" w:color="000000" w:sz="1"/>
              <w:right w:val="single" w:color="000000" w:sz="1"/>
            </w:tcBorders>
          </w:tcPr>
          <w:p>
            <w:pPr>
              <w:jc w:val="center"/>
            </w:pPr>
            <w:r>
              <w:rPr>
                <w:b/>
                <w:bCs/>
                <w:color w:val="FF6600"/>
              </w:rPr>
              <w:t xml:space="preserve">中等</w:t>
            </w:r>
          </w:p>
        </w:tc>
        <w:tc>
          <w:tcPr>
            <w:tcBorders>
              <w:top w:val="single" w:color="000000" w:sz="1"/>
              <w:left w:val="single" w:color="000000" w:sz="1"/>
              <w:bottom w:val="single" w:color="000000" w:sz="1"/>
              <w:right w:val="single" w:color="000000" w:sz="1"/>
            </w:tcBorders>
          </w:tcPr>
          <w:p>
            <w:pPr>
              <w:pStyle w:val="ListParagraph"/>
              <w:numPr>
                <w:ilvl w:val="0"/>
                <w:numId w:val="2"/>
              </w:numPr>
            </w:pPr>
            <w:r>
              <w:t xml:space="preserve">代码库缺乏 Git 版本控制。</w:t>
            </w:r>
          </w:p>
          <w:p>
            <w:pPr>
              <w:pStyle w:val="ListParagraph"/>
              <w:numPr>
                <w:ilvl w:val="0"/>
                <w:numId w:val="2"/>
              </w:numPr>
            </w:pPr>
            <w:r>
              <w:t xml:space="preserve">models.py 冗长且存在大量重复代码。</w:t>
            </w:r>
          </w:p>
          <w:p>
            <w:pPr>
              <w:pStyle w:val="ListParagraph"/>
              <w:numPr>
                <w:ilvl w:val="0"/>
                <w:numId w:val="2"/>
              </w:numPr>
            </w:pPr>
            <w:r>
              <w:t xml:space="preserve">缺失利益冲突声明。</w:t>
            </w:r>
          </w:p>
        </w:tc>
      </w:tr>
      <w:tr>
        <w:tc>
          <w:tcPr>
            <w:tcBorders>
              <w:top w:val="single" w:color="000000" w:sz="1"/>
              <w:left w:val="single" w:color="000000" w:sz="1"/>
              <w:bottom w:val="single" w:color="000000" w:sz="1"/>
              <w:right w:val="single" w:color="000000" w:sz="1"/>
            </w:tcBorders>
          </w:tcPr>
          <w:p>
            <w:pPr>
              <w:jc w:val="center"/>
            </w:pPr>
            <w:r>
              <w:rPr>
                <w:b/>
                <w:bCs/>
                <w:color w:val="0000FF"/>
              </w:rPr>
              <w:t xml:space="preserve">小问题</w:t>
            </w:r>
          </w:p>
        </w:tc>
        <w:tc>
          <w:tcPr>
            <w:tcBorders>
              <w:top w:val="single" w:color="000000" w:sz="1"/>
              <w:left w:val="single" w:color="000000" w:sz="1"/>
              <w:bottom w:val="single" w:color="000000" w:sz="1"/>
              <w:right w:val="single" w:color="000000" w:sz="1"/>
            </w:tcBorders>
          </w:tcPr>
          <w:p>
            <w:pPr>
              <w:pStyle w:val="ListParagraph"/>
              <w:numPr>
                <w:ilvl w:val="0"/>
                <w:numId w:val="2"/>
              </w:numPr>
            </w:pPr>
            <w:r>
              <w:t xml:space="preserve">Webb_6pt 权重分布实现为 4 点。</w:t>
            </w:r>
          </w:p>
          <w:p>
            <w:pPr>
              <w:pStyle w:val="ListParagraph"/>
              <w:numPr>
                <w:ilvl w:val="0"/>
                <w:numId w:val="2"/>
              </w:numPr>
            </w:pPr>
            <w:r>
              <w:t xml:space="preserve">LaTeX 标签渲染占位符问题。</w:t>
            </w:r>
          </w:p>
        </w:tc>
      </w:tr>
    </w:tbl>
    <w:p>
      <w:r>
        <w:br w:type="page"/>
      </w:r>
    </w:p>
    <w:p>
      <w:pPr>
        <w:pStyle w:val="Heading1"/>
      </w:pPr>
      <w:r>
        <w:t xml:space="preserve">6. 改进建议</w:t>
      </w:r>
    </w:p>
    <w:p>
      <w:pPr>
        <w:pStyle w:val="Heading2"/>
      </w:pPr>
      <w:r>
        <w:t xml:space="preserve">6.1 短期可执行改进</w:t>
      </w:r>
    </w:p>
    <w:p>
      <w:pPr>
        <w:pStyle w:val="ListParagraph"/>
        <w:numPr>
          <w:ilvl w:val="0"/>
          <w:numId w:val="3"/>
        </w:numPr>
      </w:pPr>
      <w:r>
        <w:t xml:space="preserve">对齐数据：重新核对所有回归输出，确保正文、图表与底层数据完全一致。</w:t>
      </w:r>
    </w:p>
    <w:p>
      <w:pPr>
        <w:pStyle w:val="ListParagraph"/>
        <w:numPr>
          <w:ilvl w:val="0"/>
          <w:numId w:val="3"/>
        </w:numPr>
      </w:pPr>
      <w:r>
        <w:t xml:space="preserve">处理预趋势：探讨 t=-2 显著的原因（如政策预期），或尝试更严格的样本筛选。</w:t>
      </w:r>
    </w:p>
    <w:p>
      <w:pPr>
        <w:pStyle w:val="ListParagraph"/>
        <w:numPr>
          <w:ilvl w:val="0"/>
          <w:numId w:val="3"/>
        </w:numPr>
      </w:pPr>
      <w:r>
        <w:t xml:space="preserve">完善声明：添加利益冲突声明和数据可用性说明。</w:t>
      </w:r>
    </w:p>
    <w:p>
      <w:pPr>
        <w:pStyle w:val="Heading2"/>
      </w:pPr>
      <w:r>
        <w:t xml:space="preserve">6.2 长期系统性改进</w:t>
      </w:r>
    </w:p>
    <w:p>
      <w:pPr>
        <w:pStyle w:val="ListParagraph"/>
        <w:numPr>
          <w:ilvl w:val="0"/>
          <w:numId w:val="3"/>
        </w:numPr>
      </w:pPr>
      <w:r>
        <w:t xml:space="preserve">引入 Git：建立版本控制系统，记录研究过程中的每一次重大调整。</w:t>
      </w:r>
    </w:p>
    <w:p>
      <w:pPr>
        <w:pStyle w:val="ListParagraph"/>
        <w:numPr>
          <w:ilvl w:val="0"/>
          <w:numId w:val="3"/>
        </w:numPr>
      </w:pPr>
      <w:r>
        <w:t xml:space="preserve">重构代码：将 models.py 模块化，消除重复逻辑，提高代码的可维护性。</w:t>
      </w:r>
    </w:p>
    <w:p>
      <w:pPr>
        <w:pStyle w:val="ListParagraph"/>
        <w:numPr>
          <w:ilvl w:val="0"/>
          <w:numId w:val="3"/>
        </w:numPr>
      </w:pPr>
      <w:r>
        <w:t xml:space="preserve">自动化文档：建立独立的数据字典和审计协议，确保元数据匹配的自动化。</w:t>
      </w:r>
    </w:p>
    <w:p>
      <w:pPr>
        <w:pStyle w:val="Heading2"/>
      </w:pPr>
      <w:r>
        <w:t xml:space="preserve">6.3 期刊投稿建议</w:t>
      </w:r>
    </w:p>
    <w:p>
      <w:r>
        <w:t xml:space="preserve">首选目标：Journal of Public Economics, American Economic Journal: Economic Policy。</w:t>
      </w:r>
    </w:p>
    <w:p>
      <w:r>
        <w:t xml:space="preserve">备选目标：European Economic Review, Journal of Applied Econometrics。</w:t>
      </w:r>
    </w:p>
    <w:p>
      <w:r>
        <w:br w:type="page"/>
      </w:r>
    </w:p>
    <w:p>
      <w:pPr>
        <w:pStyle w:val="Heading1"/>
      </w:pPr>
      <w:r>
        <w:t xml:space="preserve">7. 附录：评分卡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Borders>
              <w:top w:val="single" w:color="000000" w:sz="1"/>
              <w:left w:val="single" w:color="000000" w:sz="1"/>
              <w:bottom w:val="single" w:color="000000" w:sz="1"/>
              <w:right w:val="single" w:color="000000" w:sz="1"/>
            </w:tcBorders>
            <w:shd w:fill="E6E6E6" w:val="clear"/>
          </w:tcPr>
          <w:p>
            <w:pPr>
              <w:jc w:val="center"/>
            </w:pPr>
            <w:r>
              <w:rPr>
                <w:b/>
                <w:bCs/>
              </w:rPr>
              <w:t xml:space="preserve">评估维度</w:t>
            </w:r>
          </w:p>
        </w:tc>
        <w:tc>
          <w:tcPr>
            <w:tcBorders>
              <w:top w:val="single" w:color="000000" w:sz="1"/>
              <w:left w:val="single" w:color="000000" w:sz="1"/>
              <w:bottom w:val="single" w:color="000000" w:sz="1"/>
              <w:right w:val="single" w:color="000000" w:sz="1"/>
            </w:tcBorders>
            <w:shd w:fill="E6E6E6" w:val="clear"/>
          </w:tcPr>
          <w:p>
            <w:pPr>
              <w:jc w:val="center"/>
            </w:pPr>
            <w:r>
              <w:rPr>
                <w:b/>
                <w:bCs/>
              </w:rPr>
              <w:t xml:space="preserve">得分</w:t>
            </w:r>
          </w:p>
        </w:tc>
        <w:tc>
          <w:tcPr>
            <w:tcBorders>
              <w:top w:val="single" w:color="000000" w:sz="1"/>
              <w:left w:val="single" w:color="000000" w:sz="1"/>
              <w:bottom w:val="single" w:color="000000" w:sz="1"/>
              <w:right w:val="single" w:color="000000" w:sz="1"/>
            </w:tcBorders>
            <w:shd w:fill="E6E6E6" w:val="clear"/>
          </w:tcPr>
          <w:p>
            <w:pPr>
              <w:jc w:val="center"/>
            </w:pPr>
            <w:r>
              <w:rPr>
                <w:b/>
                <w:bCs/>
              </w:rPr>
              <w:t xml:space="preserve">顶级期刊标准对比</w:t>
            </w:r>
          </w:p>
        </w:tc>
      </w:tr>
      <w:tr>
        <w:tc>
          <w:tcPr>
            <w:tcBorders>
              <w:top w:val="single" w:color="000000" w:sz="1"/>
              <w:left w:val="single" w:color="000000" w:sz="1"/>
              <w:bottom w:val="single" w:color="000000" w:sz="1"/>
              <w:right w:val="single" w:color="000000" w:sz="1"/>
            </w:tcBorders>
          </w:tcPr>
          <w:p>
            <w:r>
              <w:t xml:space="preserve">理论基础和创新性</w:t>
            </w:r>
          </w:p>
        </w:tc>
        <w:tc>
          <w:tcPr>
            <w:tcBorders>
              <w:top w:val="single" w:color="000000" w:sz="1"/>
              <w:left w:val="single" w:color="000000" w:sz="1"/>
              <w:bottom w:val="single" w:color="000000" w:sz="1"/>
              <w:right w:val="single" w:color="000000" w:sz="1"/>
            </w:tcBorders>
          </w:tcPr>
          <w:p>
            <w:pPr>
              <w:jc w:val="center"/>
            </w:pPr>
            <w:r>
              <w:t xml:space="preserve">8.3</w:t>
            </w:r>
          </w:p>
        </w:tc>
        <w:tc>
          <w:tcPr>
            <w:tcBorders>
              <w:top w:val="single" w:color="000000" w:sz="1"/>
              <w:left w:val="single" w:color="000000" w:sz="1"/>
              <w:bottom w:val="single" w:color="000000" w:sz="1"/>
              <w:right w:val="single" w:color="000000" w:sz="1"/>
            </w:tcBorders>
          </w:tcPr>
          <w:p>
            <w:r>
              <w:t xml:space="preserve">达标 (AER/JPE 级别)</w:t>
            </w:r>
          </w:p>
        </w:tc>
      </w:tr>
      <w:tr>
        <w:tc>
          <w:tcPr>
            <w:tcBorders>
              <w:top w:val="single" w:color="000000" w:sz="1"/>
              <w:left w:val="single" w:color="000000" w:sz="1"/>
              <w:bottom w:val="single" w:color="000000" w:sz="1"/>
              <w:right w:val="single" w:color="000000" w:sz="1"/>
            </w:tcBorders>
          </w:tcPr>
          <w:p>
            <w:r>
              <w:t xml:space="preserve">学术规范和写作质量</w:t>
            </w:r>
          </w:p>
        </w:tc>
        <w:tc>
          <w:tcPr>
            <w:tcBorders>
              <w:top w:val="single" w:color="000000" w:sz="1"/>
              <w:left w:val="single" w:color="000000" w:sz="1"/>
              <w:bottom w:val="single" w:color="000000" w:sz="1"/>
              <w:right w:val="single" w:color="000000" w:sz="1"/>
            </w:tcBorders>
          </w:tcPr>
          <w:p>
            <w:pPr>
              <w:jc w:val="center"/>
            </w:pPr>
            <w:r>
              <w:t xml:space="preserve">8.5</w:t>
            </w:r>
          </w:p>
        </w:tc>
        <w:tc>
          <w:tcPr>
            <w:tcBorders>
              <w:top w:val="single" w:color="000000" w:sz="1"/>
              <w:left w:val="single" w:color="000000" w:sz="1"/>
              <w:bottom w:val="single" w:color="000000" w:sz="1"/>
              <w:right w:val="single" w:color="000000" w:sz="1"/>
            </w:tcBorders>
          </w:tcPr>
          <w:p>
            <w:r>
              <w:t xml:space="preserve">基本达标，需修正偏差</w:t>
            </w:r>
          </w:p>
        </w:tc>
      </w:tr>
      <w:tr>
        <w:tc>
          <w:tcPr>
            <w:tcBorders>
              <w:top w:val="single" w:color="000000" w:sz="1"/>
              <w:left w:val="single" w:color="000000" w:sz="1"/>
              <w:bottom w:val="single" w:color="000000" w:sz="1"/>
              <w:right w:val="single" w:color="000000" w:sz="1"/>
            </w:tcBorders>
          </w:tcPr>
          <w:p>
            <w:r>
              <w:t xml:space="preserve">可复制性和数据完整性</w:t>
            </w:r>
          </w:p>
        </w:tc>
        <w:tc>
          <w:tcPr>
            <w:tcBorders>
              <w:top w:val="single" w:color="000000" w:sz="1"/>
              <w:left w:val="single" w:color="000000" w:sz="1"/>
              <w:bottom w:val="single" w:color="000000" w:sz="1"/>
              <w:right w:val="single" w:color="000000" w:sz="1"/>
            </w:tcBorders>
          </w:tcPr>
          <w:p>
            <w:pPr>
              <w:jc w:val="center"/>
            </w:pPr>
            <w:r>
              <w:t xml:space="preserve">5.8</w:t>
            </w:r>
          </w:p>
        </w:tc>
        <w:tc>
          <w:tcPr>
            <w:tcBorders>
              <w:top w:val="single" w:color="000000" w:sz="1"/>
              <w:left w:val="single" w:color="000000" w:sz="1"/>
              <w:bottom w:val="single" w:color="000000" w:sz="1"/>
              <w:right w:val="single" w:color="000000" w:sz="1"/>
            </w:tcBorders>
          </w:tcPr>
          <w:p>
            <w:r>
              <w:t xml:space="preserve">低于标准，需重大改进</w:t>
            </w:r>
          </w:p>
        </w:tc>
      </w:tr>
      <w:tr>
        <w:tc>
          <w:tcPr>
            <w:tcBorders>
              <w:top w:val="single" w:color="000000" w:sz="1"/>
              <w:left w:val="single" w:color="000000" w:sz="1"/>
              <w:bottom w:val="single" w:color="000000" w:sz="1"/>
              <w:right w:val="single" w:color="000000" w:sz="1"/>
            </w:tcBorders>
          </w:tcPr>
          <w:p>
            <w:r>
              <w:t xml:space="preserve">计量经济学方法</w:t>
            </w:r>
          </w:p>
        </w:tc>
        <w:tc>
          <w:tcPr>
            <w:tcBorders>
              <w:top w:val="single" w:color="000000" w:sz="1"/>
              <w:left w:val="single" w:color="000000" w:sz="1"/>
              <w:bottom w:val="single" w:color="000000" w:sz="1"/>
              <w:right w:val="single" w:color="000000" w:sz="1"/>
            </w:tcBorders>
          </w:tcPr>
          <w:p>
            <w:pPr>
              <w:jc w:val="center"/>
            </w:pPr>
            <w:r>
              <w:t xml:space="preserve">8.2</w:t>
            </w:r>
          </w:p>
        </w:tc>
        <w:tc>
          <w:tcPr>
            <w:tcBorders>
              <w:top w:val="single" w:color="000000" w:sz="1"/>
              <w:left w:val="single" w:color="000000" w:sz="1"/>
              <w:bottom w:val="single" w:color="000000" w:sz="1"/>
              <w:right w:val="single" w:color="000000" w:sz="1"/>
            </w:tcBorders>
          </w:tcPr>
          <w:p>
            <w:r>
              <w:t xml:space="preserve">优秀，符合前沿规范</w:t>
            </w:r>
          </w:p>
        </w:tc>
      </w:tr>
    </w:tbl>
    <w:p>
      <w:pPr>
        <w:spacing w:before="400"/>
      </w:pPr>
      <w:r>
        <w:rPr>
          <w:i/>
          <w:iCs/>
        </w:rPr>
        <w:t xml:space="preserve">报告生成日期：2026年2月14日</w:t>
      </w:r>
    </w:p>
    <w:p>
      <w:r>
        <w:rPr>
          <w:i/>
          <w:iCs/>
        </w:rPr>
        <w:t xml:space="preserve">评估机构：Antigravity Academic Review Team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页，共 </w:t>
    </w:r>
    <w:r>
      <w:fldChar w:fldCharType="begin"/>
      <w:instrText xml:space="preserve">NUMPAGES</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学术含金量与学术规范综合分析报告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2026-02-13T16:38:45.372Z</dcterms:created>
  <dcterms:modified xsi:type="dcterms:W3CDTF">2026-02-13T16:38:45.373Z</dcterms:modified>
</cp:coreProperties>
</file>

<file path=docProps/custom.xml><?xml version="1.0" encoding="utf-8"?>
<Properties xmlns="http://schemas.openxmlformats.org/officeDocument/2006/custom-properties" xmlns:vt="http://schemas.openxmlformats.org/officeDocument/2006/docPropsVTypes"/>
</file>