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cs="맑은 고딕"/>
          <w:b/>
          <w:sz w:val="36"/>
        </w:rPr>
        <w:t>의료 AI, 인허가로 이어지는 데이터</w:t>
      </w:r>
    </w:p>
    <w:p>
      <w:r>
        <w:rPr>
          <w:rFonts w:ascii="맑은 고딕" w:hAnsi="맑은 고딕" w:eastAsia="맑은 고딕" w:cs="맑은 고딕"/>
          <w:color w:val="666666"/>
          <w:sz w:val="18"/>
        </w:rPr>
        <w:t>2026-09-29</w:t>
      </w:r>
    </w:p>
    <w:p>
      <w:r>
        <w:rPr>
          <w:rFonts w:ascii="맑은 고딕" w:hAnsi="맑은 고딕" w:eastAsia="맑은 고딕" w:cs="맑은 고딕"/>
          <w:b/>
          <w:sz w:val="20"/>
        </w:rPr>
        <w:t xml:space="preserve">핵심 문장  </w:t>
      </w:r>
      <w:r>
        <w:rPr>
          <w:rFonts w:ascii="맑은 고딕" w:hAnsi="맑은 고딕" w:eastAsia="맑은 고딕" w:cs="맑은 고딕"/>
          <w:sz w:val="20"/>
        </w:rPr>
        <w:t>의료 AI 기업의 첫 병목은 인허가이고 데이터는 그 인허가를 받치는 재료이므로, 대구는 병원 협의체를 학습 데이터 대량 개방보다 인허가용 외부 검증 데이터 거점으로 먼저 쓰고, 공동 IRB 승인을 병원끼리 인정하며, 대구 의료 AI 기업의 수와 데이터 수요를 조사해 다음 단계를 정하는 것이 현실적이다.</w:t>
      </w:r>
    </w:p>
    <w:p>
      <w:pPr>
        <w:pStyle w:val="Heading1"/>
      </w:pPr>
      <w:r>
        <w:rPr>
          <w:rFonts w:ascii="맑은 고딕" w:hAnsi="맑은 고딕" w:eastAsia="맑은 고딕" w:cs="맑은 고딕"/>
        </w:rPr>
        <w:t>요약</w:t>
      </w:r>
    </w:p>
    <w:p>
      <w:pPr>
        <w:pStyle w:val="ListBullet"/>
      </w:pPr>
      <w:r>
        <w:rPr>
          <w:rFonts w:ascii="맑은 고딕" w:hAnsi="맑은 고딕" w:eastAsia="맑은 고딕" w:cs="맑은 고딕"/>
          <w:b/>
        </w:rPr>
        <w:t>의료 AI 기업의 첫 병목은 인허가</w:t>
      </w:r>
      <w:r>
        <w:rPr>
          <w:rFonts w:ascii="맑은 고딕" w:hAnsi="맑은 고딕" w:eastAsia="맑은 고딕" w:cs="맑은 고딕"/>
          <w:vertAlign w:val="superscript"/>
        </w:rPr>
        <w:t>[2]</w:t>
      </w:r>
      <w:r>
        <w:rPr>
          <w:rFonts w:ascii="맑은 고딕" w:hAnsi="맑은 고딕" w:eastAsia="맑은 고딕" w:cs="맑은 고딕"/>
          <w:vertAlign w:val="superscript"/>
        </w:rPr>
        <w:t>[4]</w:t>
      </w:r>
    </w:p>
    <w:p>
      <w:pPr>
        <w:pStyle w:val="ListBullet"/>
      </w:pPr>
      <w:r>
        <w:rPr>
          <w:rFonts w:ascii="맑은 고딕" w:hAnsi="맑은 고딕" w:eastAsia="맑은 고딕" w:cs="맑은 고딕"/>
        </w:rPr>
        <w:t>국내 AI 의료기기 허가·인증은 2025년 153건으로 41.6% 늘었고</w:t>
      </w:r>
      <w:r>
        <w:rPr>
          <w:rFonts w:ascii="맑은 고딕" w:hAnsi="맑은 고딕" w:eastAsia="맑은 고딕" w:cs="맑은 고딕"/>
          <w:vertAlign w:val="superscript"/>
        </w:rPr>
        <w:t>[2]</w:t>
      </w:r>
      <w:r>
        <w:rPr>
          <w:rFonts w:ascii="맑은 고딕" w:hAnsi="맑은 고딕" w:eastAsia="맑은 고딕" w:cs="맑은 고딕"/>
        </w:rPr>
        <w:t>, 디지털의료기기 업체가 가장 원하는 지원은 인허가(85.4%)와 AI 제품의 규제 기준(62.4%)</w:t>
      </w:r>
      <w:r>
        <w:rPr>
          <w:rFonts w:ascii="맑은 고딕" w:hAnsi="맑은 고딕" w:eastAsia="맑은 고딕" w:cs="맑은 고딕"/>
          <w:vertAlign w:val="superscript"/>
        </w:rPr>
        <w:t>[4]</w:t>
      </w:r>
    </w:p>
    <w:p>
      <w:pPr>
        <w:pStyle w:val="ListBullet"/>
      </w:pPr>
      <w:r>
        <w:rPr>
          <w:rFonts w:ascii="맑은 고딕" w:hAnsi="맑은 고딕" w:eastAsia="맑은 고딕" w:cs="맑은 고딕"/>
          <w:b/>
        </w:rPr>
        <w:t>데이터는 인허가를 받치는 재료이고, 식약처 기준도 성능 검증 자료 쪽으로 구체화</w:t>
      </w:r>
      <w:r>
        <w:rPr>
          <w:rFonts w:ascii="맑은 고딕" w:hAnsi="맑은 고딕" w:eastAsia="맑은 고딕" w:cs="맑은 고딕"/>
          <w:vertAlign w:val="superscript"/>
        </w:rPr>
        <w:t>[5]</w:t>
      </w:r>
      <w:r>
        <w:rPr>
          <w:rFonts w:ascii="맑은 고딕" w:hAnsi="맑은 고딕" w:eastAsia="맑은 고딕" w:cs="맑은 고딕"/>
          <w:vertAlign w:val="superscript"/>
        </w:rPr>
        <w:t>[29]</w:t>
      </w:r>
    </w:p>
    <w:p>
      <w:pPr>
        <w:pStyle w:val="ListBullet"/>
      </w:pPr>
      <w:r>
        <w:rPr>
          <w:rFonts w:ascii="맑은 고딕" w:hAnsi="맑은 고딕" w:eastAsia="맑은 고딕" w:cs="맑은 고딕"/>
        </w:rPr>
        <w:t>식약처는 임상시험 자료 없이 성능 검증 자료로 허가받은 사례를 토대로 사용 목적별 임상 자료 제출·면제 기준을 정함(요지)</w:t>
      </w:r>
      <w:r>
        <w:rPr>
          <w:rFonts w:ascii="맑은 고딕" w:hAnsi="맑은 고딕" w:eastAsia="맑은 고딕" w:cs="맑은 고딕"/>
          <w:vertAlign w:val="superscript"/>
        </w:rPr>
        <w:t>[5]</w:t>
      </w:r>
      <w:r>
        <w:rPr>
          <w:rFonts w:ascii="맑은 고딕" w:hAnsi="맑은 고딕" w:eastAsia="맑은 고딕" w:cs="맑은 고딕"/>
        </w:rPr>
        <w:t>. 전문 분야일수록 특화 데이터와 이를 검증하는 체계가 경쟁력의 핵심</w:t>
      </w:r>
      <w:r>
        <w:rPr>
          <w:rFonts w:ascii="맑은 고딕" w:hAnsi="맑은 고딕" w:eastAsia="맑은 고딕" w:cs="맑은 고딕"/>
          <w:vertAlign w:val="superscript"/>
        </w:rPr>
        <w:t>[29]</w:t>
      </w:r>
    </w:p>
    <w:p>
      <w:pPr>
        <w:pStyle w:val="ListBullet"/>
      </w:pPr>
      <w:r>
        <w:rPr>
          <w:rFonts w:ascii="맑은 고딕" w:hAnsi="맑은 고딕" w:eastAsia="맑은 고딕" w:cs="맑은 고딕"/>
          <w:b/>
        </w:rPr>
        <w:t>국내 공공 데이터는 쓸 수 있는 형태로 나오지 않고, 병원은 내놓을 유인이 약함</w:t>
      </w:r>
      <w:r>
        <w:rPr>
          <w:rFonts w:ascii="맑은 고딕" w:hAnsi="맑은 고딕" w:eastAsia="맑은 고딕" w:cs="맑은 고딕"/>
          <w:vertAlign w:val="superscript"/>
        </w:rPr>
        <w:t>[7]</w:t>
      </w:r>
      <w:r>
        <w:rPr>
          <w:rFonts w:ascii="맑은 고딕" w:hAnsi="맑은 고딕" w:eastAsia="맑은 고딕" w:cs="맑은 고딕"/>
          <w:vertAlign w:val="superscript"/>
        </w:rPr>
        <w:t>[10]</w:t>
      </w:r>
      <w:r>
        <w:rPr>
          <w:rFonts w:ascii="맑은 고딕" w:hAnsi="맑은 고딕" w:eastAsia="맑은 고딕" w:cs="맑은 고딕"/>
          <w:vertAlign w:val="superscript"/>
        </w:rPr>
        <w:t>[11]</w:t>
      </w:r>
    </w:p>
    <w:p>
      <w:pPr>
        <w:pStyle w:val="ListBullet"/>
      </w:pPr>
      <w:r>
        <w:rPr>
          <w:rFonts w:ascii="맑은 고딕" w:hAnsi="맑은 고딕" w:eastAsia="맑은 고딕" w:cs="맑은 고딕"/>
        </w:rPr>
        <w:t>공공기관 3곳이 AI 기업에 제공한 데이터는 4년여 동안 17건, 가명정보 결합에는 평균 310일</w:t>
      </w:r>
      <w:r>
        <w:rPr>
          <w:rFonts w:ascii="맑은 고딕" w:hAnsi="맑은 고딕" w:eastAsia="맑은 고딕" w:cs="맑은 고딕"/>
          <w:vertAlign w:val="superscript"/>
        </w:rPr>
        <w:t>[10]</w:t>
      </w:r>
      <w:r>
        <w:rPr>
          <w:rFonts w:ascii="맑은 고딕" w:hAnsi="맑은 고딕" w:eastAsia="맑은 고딕" w:cs="맑은 고딕"/>
          <w:vertAlign w:val="superscript"/>
        </w:rPr>
        <w:t>[11]</w:t>
      </w:r>
    </w:p>
    <w:p>
      <w:pPr>
        <w:pStyle w:val="ListBullet"/>
      </w:pPr>
      <w:r>
        <w:rPr>
          <w:rFonts w:ascii="맑은 고딕" w:hAnsi="맑은 고딕" w:eastAsia="맑은 고딕" w:cs="맑은 고딕"/>
          <w:b/>
        </w:rPr>
        <w:t>대구는 병원 협의체와 공동 심의 창구를 이미 갖춤</w:t>
      </w:r>
      <w:r>
        <w:rPr>
          <w:rFonts w:ascii="맑은 고딕" w:hAnsi="맑은 고딕" w:eastAsia="맑은 고딕" w:cs="맑은 고딕"/>
          <w:vertAlign w:val="superscript"/>
        </w:rPr>
        <w:t>[16]</w:t>
      </w:r>
      <w:r>
        <w:rPr>
          <w:rFonts w:ascii="맑은 고딕" w:hAnsi="맑은 고딕" w:eastAsia="맑은 고딕" w:cs="맑은 고딕"/>
          <w:vertAlign w:val="superscript"/>
        </w:rPr>
        <w:t>[17]</w:t>
      </w:r>
      <w:r>
        <w:rPr>
          <w:rFonts w:ascii="맑은 고딕" w:hAnsi="맑은 고딕" w:eastAsia="맑은 고딕" w:cs="맑은 고딕"/>
          <w:vertAlign w:val="superscript"/>
        </w:rPr>
        <w:t>[18]</w:t>
      </w:r>
      <w:r>
        <w:rPr>
          <w:rFonts w:ascii="맑은 고딕" w:hAnsi="맑은 고딕" w:eastAsia="맑은 고딕" w:cs="맑은 고딕"/>
          <w:vertAlign w:val="superscript"/>
        </w:rPr>
        <w:t>[19]</w:t>
      </w:r>
    </w:p>
    <w:p>
      <w:pPr>
        <w:pStyle w:val="ListBullet"/>
      </w:pPr>
      <w:r>
        <w:rPr>
          <w:rFonts w:ascii="맑은 고딕" w:hAnsi="맑은 고딕" w:eastAsia="맑은 고딕" w:cs="맑은 고딕"/>
        </w:rPr>
        <w:t>상급종합병원 5곳이 든 14개 기관 협의체, 케이메디허브의 공동 IRB·DRB, 중개 포털 약 25만 건, 의료용 기기 제조기업 122곳(KSIC 271, 안경 제외)</w:t>
      </w:r>
      <w:r>
        <w:rPr>
          <w:rFonts w:ascii="맑은 고딕" w:hAnsi="맑은 고딕" w:eastAsia="맑은 고딕" w:cs="맑은 고딕"/>
          <w:vertAlign w:val="superscript"/>
        </w:rPr>
        <w:t>[16]</w:t>
      </w:r>
      <w:r>
        <w:rPr>
          <w:rFonts w:ascii="맑은 고딕" w:hAnsi="맑은 고딕" w:eastAsia="맑은 고딕" w:cs="맑은 고딕"/>
          <w:vertAlign w:val="superscript"/>
        </w:rPr>
        <w:t>[17]</w:t>
      </w:r>
      <w:r>
        <w:rPr>
          <w:rFonts w:ascii="맑은 고딕" w:hAnsi="맑은 고딕" w:eastAsia="맑은 고딕" w:cs="맑은 고딕"/>
          <w:vertAlign w:val="superscript"/>
        </w:rPr>
        <w:t>[18]</w:t>
      </w:r>
      <w:r>
        <w:rPr>
          <w:rFonts w:ascii="맑은 고딕" w:hAnsi="맑은 고딕" w:eastAsia="맑은 고딕" w:cs="맑은 고딕"/>
          <w:vertAlign w:val="superscript"/>
        </w:rPr>
        <w:t>[30]</w:t>
      </w:r>
    </w:p>
    <w:p>
      <w:pPr>
        <w:pStyle w:val="ListBullet"/>
      </w:pPr>
      <w:r>
        <w:rPr>
          <w:rFonts w:ascii="맑은 고딕" w:hAnsi="맑은 고딕" w:eastAsia="맑은 고딕" w:cs="맑은 고딕"/>
          <w:b/>
        </w:rPr>
        <w:t>해결방안 세 가지: 인허가용 외부 검증 데이터 거점, 공동 IRB 상호인정, 대구 의료 AI 기업 조사</w:t>
      </w:r>
      <w:r>
        <w:rPr>
          <w:rFonts w:ascii="맑은 고딕" w:hAnsi="맑은 고딕" w:eastAsia="맑은 고딕" w:cs="맑은 고딕"/>
          <w:vertAlign w:val="superscript"/>
        </w:rPr>
        <w:t>[5]</w:t>
      </w:r>
      <w:r>
        <w:rPr>
          <w:rFonts w:ascii="맑은 고딕" w:hAnsi="맑은 고딕" w:eastAsia="맑은 고딕" w:cs="맑은 고딕"/>
          <w:vertAlign w:val="superscript"/>
        </w:rPr>
        <w:t>[19]</w:t>
      </w:r>
    </w:p>
    <w:p>
      <w:pPr>
        <w:pStyle w:val="ListBullet"/>
      </w:pPr>
      <w:r>
        <w:rPr>
          <w:rFonts w:ascii="맑은 고딕" w:hAnsi="맑은 고딕" w:eastAsia="맑은 고딕" w:cs="맑은 고딕"/>
        </w:rPr>
        <w:t>학습 데이터 대량 개방과 병원 보상 설계는 조사 결과를 본 뒤 정함</w:t>
      </w:r>
      <w:r>
        <w:rPr>
          <w:rFonts w:ascii="맑은 고딕" w:hAnsi="맑은 고딕" w:eastAsia="맑은 고딕" w:cs="맑은 고딕"/>
          <w:vertAlign w:val="superscript"/>
        </w:rPr>
        <w:t>[19]</w:t>
      </w:r>
      <w:r>
        <w:rPr>
          <w:rFonts w:ascii="맑은 고딕" w:hAnsi="맑은 고딕" w:eastAsia="맑은 고딕" w:cs="맑은 고딕"/>
          <w:vertAlign w:val="superscript"/>
        </w:rPr>
        <w:t>[30]</w:t>
      </w:r>
    </w:p>
    <w:p>
      <w:pPr>
        <w:pStyle w:val="Heading1"/>
      </w:pPr>
      <w:r>
        <w:rPr>
          <w:rFonts w:ascii="맑은 고딕" w:hAnsi="맑은 고딕" w:eastAsia="맑은 고딕" w:cs="맑은 고딕"/>
        </w:rPr>
        <w:t>1. 의료 AI 산업, 인허가가 먼저 막힘</w:t>
      </w:r>
    </w:p>
    <w:p>
      <w:pPr>
        <w:pStyle w:val="ListBullet"/>
      </w:pPr>
      <w:r>
        <w:rPr>
          <w:rFonts w:ascii="맑은 고딕" w:hAnsi="맑은 고딕" w:eastAsia="맑은 고딕" w:cs="맑은 고딕"/>
          <w:b/>
        </w:rPr>
        <w:t>시장은 커지고 국내 제품화도 늘어남</w:t>
      </w:r>
      <w:r>
        <w:rPr>
          <w:rFonts w:ascii="맑은 고딕" w:hAnsi="맑은 고딕" w:eastAsia="맑은 고딕" w:cs="맑은 고딕"/>
          <w:vertAlign w:val="superscript"/>
        </w:rPr>
        <w:t>[1]</w:t>
      </w:r>
      <w:r>
        <w:rPr>
          <w:rFonts w:ascii="맑은 고딕" w:hAnsi="맑은 고딕" w:eastAsia="맑은 고딕" w:cs="맑은 고딕"/>
          <w:vertAlign w:val="superscript"/>
        </w:rPr>
        <w:t>[2]</w:t>
      </w:r>
      <w:r>
        <w:rPr>
          <w:rFonts w:ascii="맑은 고딕" w:hAnsi="맑은 고딕" w:eastAsia="맑은 고딕" w:cs="맑은 고딕"/>
          <w:vertAlign w:val="superscript"/>
        </w:rPr>
        <w:t>[3]</w:t>
      </w:r>
    </w:p>
    <w:p>
      <w:pPr>
        <w:pStyle w:val="ListBullet"/>
      </w:pPr>
      <w:r>
        <w:rPr>
          <w:rFonts w:ascii="맑은 고딕" w:hAnsi="맑은 고딕" w:eastAsia="맑은 고딕" w:cs="맑은 고딕"/>
        </w:rPr>
        <w:t>세계 의료 AI 시장은 2026년 367억 달러에서 2031년 1,948억 달러로 연평균 39.7% 성장 전망(한 조사기관 값)</w:t>
      </w:r>
      <w:r>
        <w:rPr>
          <w:rFonts w:ascii="맑은 고딕" w:hAnsi="맑은 고딕" w:eastAsia="맑은 고딕" w:cs="맑은 고딕"/>
          <w:vertAlign w:val="superscript"/>
        </w:rPr>
        <w:t>[1]</w:t>
      </w:r>
    </w:p>
    <w:p>
      <w:pPr>
        <w:pStyle w:val="ListBullet"/>
      </w:pPr>
      <w:r>
        <w:rPr>
          <w:rFonts w:ascii="맑은 고딕" w:hAnsi="맑은 고딕" w:eastAsia="맑은 고딕" w:cs="맑은 고딕"/>
        </w:rPr>
        <w:t>국내 AI 기반 의료기기 허가·인증은 2025년 153건으로 전년보다 41.6% 늘었고, 그중 국내 제조가 119건</w:t>
      </w:r>
      <w:r>
        <w:rPr>
          <w:rFonts w:ascii="맑은 고딕" w:hAnsi="맑은 고딕" w:eastAsia="맑은 고딕" w:cs="맑은 고딕"/>
          <w:vertAlign w:val="superscript"/>
        </w:rPr>
        <w:t>[2]</w:t>
      </w:r>
    </w:p>
    <w:p>
      <w:pPr>
        <w:pStyle w:val="ListBullet"/>
      </w:pPr>
      <w:r>
        <w:rPr>
          <w:rFonts w:ascii="맑은 고딕" w:hAnsi="맑은 고딕" w:eastAsia="맑은 고딕" w:cs="맑은 고딕"/>
        </w:rPr>
        <w:t>혁신의료기기 지정은 29개에서 45개로 늘었고 생성형 AI 제품이 처음 지정됨</w:t>
      </w:r>
      <w:r>
        <w:rPr>
          <w:rFonts w:ascii="맑은 고딕" w:hAnsi="맑은 고딕" w:eastAsia="맑은 고딕" w:cs="맑은 고딕"/>
          <w:vertAlign w:val="superscript"/>
        </w:rPr>
        <w:t>[3]</w:t>
      </w:r>
    </w:p>
    <w:p>
      <w:pPr>
        <w:keepNext/>
        <w:jc w:val="center"/>
      </w:pPr>
      <w:r>
        <w:drawing>
          <wp:inline xmlns:a="http://schemas.openxmlformats.org/drawingml/2006/main" xmlns:pic="http://schemas.openxmlformats.org/drawingml/2006/picture">
            <wp:extent cx="5760000" cy="3024000"/>
            <wp:docPr id="1" name="Picture 1" descr="/figures/2026-09-29-policy-healthcare-ai-data/fig2.svg" title="국내 AI 기반 의료기기 허가·인증 2024년 108건, 2025년 153건 막대그래프"/>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5760000" cy="3024000"/>
                    </a:xfrm>
                    <a:prstGeom prst="rect"/>
                  </pic:spPr>
                </pic:pic>
              </a:graphicData>
            </a:graphic>
          </wp:inline>
        </w:drawing>
      </w:r>
    </w:p>
    <w:p>
      <w:pPr>
        <w:pStyle w:val="Caption"/>
        <w:jc w:val="center"/>
      </w:pPr>
      <w:r>
        <w:rPr>
          <w:rFonts w:ascii="맑은 고딕" w:hAnsi="맑은 고딕" w:eastAsia="맑은 고딕" w:cs="맑은 고딕"/>
          <w:color w:val="444444"/>
          <w:sz w:val="18"/>
        </w:rPr>
        <w:t>그림 1. 국내 AI 기반 의료기기 허가·인증 건수 (자료: 식약처 2025년 허가보고서 보도, 2024년 값은 153건과 증가율로 계산)</w:t>
      </w:r>
    </w:p>
    <w:p>
      <w:pPr>
        <w:pStyle w:val="ListBullet"/>
      </w:pPr>
      <w:r>
        <w:rPr>
          <w:rFonts w:ascii="맑은 고딕" w:hAnsi="맑은 고딕" w:eastAsia="맑은 고딕" w:cs="맑은 고딕"/>
          <w:b/>
        </w:rPr>
        <w:t>업체가 가장 원하는 지원은 인허가와 AI 규제 기준</w:t>
      </w:r>
      <w:r>
        <w:rPr>
          <w:rFonts w:ascii="맑은 고딕" w:hAnsi="맑은 고딕" w:eastAsia="맑은 고딕" w:cs="맑은 고딕"/>
          <w:vertAlign w:val="superscript"/>
        </w:rPr>
        <w:t>[4]</w:t>
      </w:r>
    </w:p>
    <w:p>
      <w:pPr>
        <w:pStyle w:val="ListBullet"/>
      </w:pPr>
      <w:r>
        <w:rPr>
          <w:rFonts w:ascii="맑은 고딕" w:hAnsi="맑은 고딕" w:eastAsia="맑은 고딕" w:cs="맑은 고딕"/>
        </w:rPr>
        <w:t>디지털의료기기 업체 382곳(응답 274곳) 가운데 인허가 지원을 원한 비율 85.4%, AI 제품의 규제 기준 62.4%</w:t>
      </w:r>
      <w:r>
        <w:rPr>
          <w:rFonts w:ascii="맑은 고딕" w:hAnsi="맑은 고딕" w:eastAsia="맑은 고딕" w:cs="맑은 고딕"/>
          <w:vertAlign w:val="superscript"/>
        </w:rPr>
        <w:t>[4]</w:t>
      </w:r>
    </w:p>
    <w:p>
      <w:pPr>
        <w:pStyle w:val="ListBullet"/>
      </w:pPr>
      <w:r>
        <w:rPr>
          <w:rFonts w:ascii="맑은 고딕" w:hAnsi="맑은 고딕" w:eastAsia="맑은 고딕" w:cs="맑은 고딕"/>
        </w:rPr>
        <w:t>주 서비스 분야는 진단보조 35.8%, 검사 26.6%, 정보제공·관리 15.3%, 치료 12.4%로 진단 쪽에 몰림</w:t>
      </w:r>
      <w:r>
        <w:rPr>
          <w:rFonts w:ascii="맑은 고딕" w:hAnsi="맑은 고딕" w:eastAsia="맑은 고딕" w:cs="맑은 고딕"/>
          <w:vertAlign w:val="superscript"/>
        </w:rPr>
        <w:t>[4]</w:t>
      </w:r>
    </w:p>
    <w:p>
      <w:pPr>
        <w:keepNext/>
        <w:jc w:val="center"/>
      </w:pPr>
      <w:r>
        <w:drawing>
          <wp:inline xmlns:a="http://schemas.openxmlformats.org/drawingml/2006/main" xmlns:pic="http://schemas.openxmlformats.org/drawingml/2006/picture">
            <wp:extent cx="5760000" cy="2016000"/>
            <wp:docPr id="2" name="Picture 2" descr="/figures/2026-09-29-policy-healthcare-ai-data/fig4.svg" title="디지털의료기기 업체 주 서비스 분야 비중 가로막대그래프: 진단보조 35.8%, 검사 26.6%, 정보제공·관리 15.3%, 치료 12.4%"/>
            <wp:cNvGraphicFramePr>
              <a:graphicFrameLocks noChangeAspect="1"/>
            </wp:cNvGraphicFramePr>
            <a:graphic>
              <a:graphicData uri="http://schemas.openxmlformats.org/drawingml/2006/picture">
                <pic:pic>
                  <pic:nvPicPr>
                    <pic:cNvPr id="0" name="fig4.png"/>
                    <pic:cNvPicPr/>
                  </pic:nvPicPr>
                  <pic:blipFill>
                    <a:blip r:embed="rId10"/>
                    <a:stretch>
                      <a:fillRect/>
                    </a:stretch>
                  </pic:blipFill>
                  <pic:spPr>
                    <a:xfrm>
                      <a:off x="0" y="0"/>
                      <a:ext cx="5760000" cy="2016000"/>
                    </a:xfrm>
                    <a:prstGeom prst="rect"/>
                  </pic:spPr>
                </pic:pic>
              </a:graphicData>
            </a:graphic>
          </wp:inline>
        </w:drawing>
      </w:r>
    </w:p>
    <w:p>
      <w:pPr>
        <w:pStyle w:val="Caption"/>
        <w:jc w:val="center"/>
      </w:pPr>
      <w:r>
        <w:rPr>
          <w:rFonts w:ascii="맑은 고딕" w:hAnsi="맑은 고딕" w:eastAsia="맑은 고딕" w:cs="맑은 고딕"/>
          <w:color w:val="444444"/>
          <w:sz w:val="18"/>
        </w:rPr>
        <w:t>그림 2. 디지털의료기기 업체의 주 서비스 분야 비중 (자료: 식약처 2025년 디지털의료기기 시장현황 조사 보도)</w:t>
      </w:r>
    </w:p>
    <w:p>
      <w:pPr>
        <w:pStyle w:val="ListBullet"/>
      </w:pPr>
      <w:r>
        <w:rPr>
          <w:rFonts w:ascii="맑은 고딕" w:hAnsi="맑은 고딕" w:eastAsia="맑은 고딕" w:cs="맑은 고딕"/>
          <w:b/>
        </w:rPr>
        <w:t>식약처 기준이 '성능 검증 자료'를 중심으로 구체화됨</w:t>
      </w:r>
      <w:r>
        <w:rPr>
          <w:rFonts w:ascii="맑은 고딕" w:hAnsi="맑은 고딕" w:eastAsia="맑은 고딕" w:cs="맑은 고딕"/>
          <w:vertAlign w:val="superscript"/>
        </w:rPr>
        <w:t>[5]</w:t>
      </w:r>
    </w:p>
    <w:p>
      <w:pPr>
        <w:pStyle w:val="ListBullet"/>
      </w:pPr>
      <w:r>
        <w:rPr>
          <w:rFonts w:ascii="맑은 고딕" w:hAnsi="맑은 고딕" w:eastAsia="맑은 고딕" w:cs="맑은 고딕"/>
        </w:rPr>
        <w:t>2026년 7월 디지털의료제품 규정 개정: 임상시험 자료 없이 성능 검증 자료로 허가받은 실제 사례를 분석해 진단·치료·검사·정보 제공 등 사용 목적별 임상 자료 제출·면제 기준을 정함(요지)</w:t>
      </w:r>
      <w:r>
        <w:rPr>
          <w:rFonts w:ascii="맑은 고딕" w:hAnsi="맑은 고딕" w:eastAsia="맑은 고딕" w:cs="맑은 고딕"/>
          <w:vertAlign w:val="superscript"/>
        </w:rPr>
        <w:t>[5]</w:t>
      </w:r>
    </w:p>
    <w:p>
      <w:pPr>
        <w:pStyle w:val="ListBullet"/>
      </w:pPr>
      <w:r>
        <w:rPr>
          <w:rFonts w:ascii="맑은 고딕" w:hAnsi="맑은 고딕" w:eastAsia="맑은 고딕" w:cs="맑은 고딕"/>
        </w:rPr>
        <w:t>같은 개정에서 우수관리체계 특례 대상을 등급 미지정 제품까지 넓힘(요지)</w:t>
      </w:r>
      <w:r>
        <w:rPr>
          <w:rFonts w:ascii="맑은 고딕" w:hAnsi="맑은 고딕" w:eastAsia="맑은 고딕" w:cs="맑은 고딕"/>
          <w:vertAlign w:val="superscript"/>
        </w:rPr>
        <w:t>[5]</w:t>
      </w:r>
    </w:p>
    <w:p>
      <w:pPr>
        <w:pStyle w:val="ListBullet"/>
      </w:pPr>
      <w:r>
        <w:rPr>
          <w:rFonts w:ascii="맑은 고딕" w:hAnsi="맑은 고딕" w:eastAsia="맑은 고딕" w:cs="맑은 고딕"/>
          <w:b/>
        </w:rPr>
        <w:t>진단보조 제품이 많은 구조에서는 여러 병원의 독립된 데이터로 성능을 보여 주는 일이 인허가의 핵심 재료</w:t>
      </w:r>
      <w:r>
        <w:rPr>
          <w:rFonts w:ascii="맑은 고딕" w:hAnsi="맑은 고딕" w:eastAsia="맑은 고딕" w:cs="맑은 고딕"/>
          <w:vertAlign w:val="superscript"/>
        </w:rPr>
        <w:t>[4]</w:t>
      </w:r>
      <w:r>
        <w:rPr>
          <w:rFonts w:ascii="맑은 고딕" w:hAnsi="맑은 고딕" w:eastAsia="맑은 고딕" w:cs="맑은 고딕"/>
          <w:vertAlign w:val="superscript"/>
        </w:rPr>
        <w:t>[5]</w:t>
      </w:r>
      <w:r>
        <w:rPr>
          <w:rFonts w:ascii="맑은 고딕" w:hAnsi="맑은 고딕" w:eastAsia="맑은 고딕" w:cs="맑은 고딕"/>
          <w:vertAlign w:val="superscript"/>
        </w:rPr>
        <w:t>[29]</w:t>
      </w:r>
    </w:p>
    <w:p>
      <w:pPr>
        <w:pStyle w:val="ListBullet"/>
      </w:pPr>
      <w:r>
        <w:rPr>
          <w:rFonts w:ascii="맑은 고딕" w:hAnsi="맑은 고딕" w:eastAsia="맑은 고딕" w:cs="맑은 고딕"/>
        </w:rPr>
        <w:t>의료처럼 전문성이 높은 분야일수록 특화 데이터와 이를 검증하는 체계가 경쟁력을 가름</w:t>
      </w:r>
      <w:r>
        <w:rPr>
          <w:rFonts w:ascii="맑은 고딕" w:hAnsi="맑은 고딕" w:eastAsia="맑은 고딕" w:cs="맑은 고딕"/>
          <w:vertAlign w:val="superscript"/>
        </w:rPr>
        <w:t>[29]</w:t>
      </w:r>
    </w:p>
    <w:p>
      <w:pPr>
        <w:pStyle w:val="Heading1"/>
      </w:pPr>
      <w:r>
        <w:rPr>
          <w:rFonts w:ascii="맑은 고딕" w:hAnsi="맑은 고딕" w:eastAsia="맑은 고딕" w:cs="맑은 고딕"/>
        </w:rPr>
        <w:t>2. 데이터는 인허가의 재료</w:t>
      </w:r>
    </w:p>
    <w:p>
      <w:pPr>
        <w:pStyle w:val="ListBullet"/>
      </w:pPr>
      <w:r>
        <w:rPr>
          <w:rFonts w:ascii="맑은 고딕" w:hAnsi="맑은 고딕" w:eastAsia="맑은 고딕" w:cs="맑은 고딕"/>
          <w:b/>
        </w:rPr>
        <w:t>공공 데이터는 많지만 바로 쓸 수 있는 상태가 아님</w:t>
      </w:r>
      <w:r>
        <w:rPr>
          <w:rFonts w:ascii="맑은 고딕" w:hAnsi="맑은 고딕" w:eastAsia="맑은 고딕" w:cs="맑은 고딕"/>
          <w:vertAlign w:val="superscript"/>
        </w:rPr>
        <w:t>[10]</w:t>
      </w:r>
    </w:p>
    <w:p>
      <w:pPr>
        <w:pStyle w:val="ListBullet"/>
      </w:pPr>
      <w:r>
        <w:rPr>
          <w:rFonts w:ascii="맑은 고딕" w:hAnsi="맑은 고딕" w:eastAsia="맑은 고딕" w:cs="맑은 고딕"/>
        </w:rPr>
        <w:t>건보공단·심평원·국립암센터가 2021년부터 2025년 3월까지 AI 기업에 제공한 데이터는 17건</w:t>
      </w:r>
      <w:r>
        <w:rPr>
          <w:rFonts w:ascii="맑은 고딕" w:hAnsi="맑은 고딕" w:eastAsia="맑은 고딕" w:cs="맑은 고딕"/>
          <w:vertAlign w:val="superscript"/>
        </w:rPr>
        <w:t>[10]</w:t>
      </w:r>
    </w:p>
    <w:p>
      <w:pPr>
        <w:pStyle w:val="ListBullet"/>
      </w:pPr>
      <w:r>
        <w:rPr>
          <w:rFonts w:ascii="맑은 고딕" w:hAnsi="맑은 고딕" w:eastAsia="맑은 고딕" w:cs="맑은 고딕"/>
        </w:rPr>
        <w:t>심평원 CT·MRI 등 비정형 데이터 206,848GB 가운데 표준화된 것은 0.5%이고, 주요 기관은 방문 이용만 허용</w:t>
      </w:r>
      <w:r>
        <w:rPr>
          <w:rFonts w:ascii="맑은 고딕" w:hAnsi="맑은 고딕" w:eastAsia="맑은 고딕" w:cs="맑은 고딕"/>
          <w:vertAlign w:val="superscript"/>
        </w:rPr>
        <w:t>[10]</w:t>
      </w:r>
    </w:p>
    <w:p>
      <w:pPr>
        <w:keepNext/>
        <w:jc w:val="center"/>
      </w:pPr>
      <w:r>
        <w:drawing>
          <wp:inline xmlns:a="http://schemas.openxmlformats.org/drawingml/2006/main" xmlns:pic="http://schemas.openxmlformats.org/drawingml/2006/picture">
            <wp:extent cx="5760000" cy="1324800"/>
            <wp:docPr id="3" name="Picture 3" descr="/figures/2026-09-29-policy-healthcare-ai-data/fig7.svg" title="심평원 비정형 의료데이터 206,848GB 중 표준화된 양 약 1,034GB 가로막대그래프"/>
            <wp:cNvGraphicFramePr>
              <a:graphicFrameLocks noChangeAspect="1"/>
            </wp:cNvGraphicFramePr>
            <a:graphic>
              <a:graphicData uri="http://schemas.openxmlformats.org/drawingml/2006/picture">
                <pic:pic>
                  <pic:nvPicPr>
                    <pic:cNvPr id="0" name="fig7.png"/>
                    <pic:cNvPicPr/>
                  </pic:nvPicPr>
                  <pic:blipFill>
                    <a:blip r:embed="rId11"/>
                    <a:stretch>
                      <a:fillRect/>
                    </a:stretch>
                  </pic:blipFill>
                  <pic:spPr>
                    <a:xfrm>
                      <a:off x="0" y="0"/>
                      <a:ext cx="5760000" cy="1324800"/>
                    </a:xfrm>
                    <a:prstGeom prst="rect"/>
                  </pic:spPr>
                </pic:pic>
              </a:graphicData>
            </a:graphic>
          </wp:inline>
        </w:drawing>
      </w:r>
    </w:p>
    <w:p>
      <w:pPr>
        <w:pStyle w:val="Caption"/>
        <w:jc w:val="center"/>
      </w:pPr>
      <w:r>
        <w:rPr>
          <w:rFonts w:ascii="맑은 고딕" w:hAnsi="맑은 고딕" w:eastAsia="맑은 고딕" w:cs="맑은 고딕"/>
          <w:color w:val="444444"/>
          <w:sz w:val="18"/>
        </w:rPr>
        <w:t>그림 3. 심평원 비정형 의료데이터 중 표준화된 양 (자료: 감사원 「인공지능 대비실태 Ⅱ」 보도, 표준화 양은 206,848GB × 0.5%로 계산)</w:t>
      </w:r>
    </w:p>
    <w:p>
      <w:pPr>
        <w:pStyle w:val="ListBullet"/>
      </w:pPr>
      <w:r>
        <w:rPr>
          <w:rFonts w:ascii="맑은 고딕" w:hAnsi="맑은 고딕" w:eastAsia="맑은 고딕" w:cs="맑은 고딕"/>
          <w:b/>
        </w:rPr>
        <w:t>병원 데이터는 내놓을 유인이 약하고 절차가 김</w:t>
      </w:r>
      <w:r>
        <w:rPr>
          <w:rFonts w:ascii="맑은 고딕" w:hAnsi="맑은 고딕" w:eastAsia="맑은 고딕" w:cs="맑은 고딕"/>
          <w:vertAlign w:val="superscript"/>
        </w:rPr>
        <w:t>[7]</w:t>
      </w:r>
      <w:r>
        <w:rPr>
          <w:rFonts w:ascii="맑은 고딕" w:hAnsi="맑은 고딕" w:eastAsia="맑은 고딕" w:cs="맑은 고딕"/>
          <w:vertAlign w:val="superscript"/>
        </w:rPr>
        <w:t>[11]</w:t>
      </w:r>
    </w:p>
    <w:p>
      <w:pPr>
        <w:pStyle w:val="ListBullet"/>
      </w:pPr>
      <w:r>
        <w:rPr>
          <w:rFonts w:ascii="맑은 고딕" w:hAnsi="맑은 고딕" w:eastAsia="맑은 고딕" w:cs="맑은 고딕"/>
        </w:rPr>
        <w:t>병원이 데이터를 내놓을 이유가 약한 '인센티브 불일치'가 병목이라는 분석(한국은행 이슈노트 집필자 견해)</w:t>
      </w:r>
      <w:r>
        <w:rPr>
          <w:rFonts w:ascii="맑은 고딕" w:hAnsi="맑은 고딕" w:eastAsia="맑은 고딕" w:cs="맑은 고딕"/>
          <w:vertAlign w:val="superscript"/>
        </w:rPr>
        <w:t>[6]</w:t>
      </w:r>
      <w:r>
        <w:rPr>
          <w:rFonts w:ascii="맑은 고딕" w:hAnsi="맑은 고딕" w:eastAsia="맑은 고딕" w:cs="맑은 고딕"/>
          <w:vertAlign w:val="superscript"/>
        </w:rPr>
        <w:t>[7]</w:t>
      </w:r>
    </w:p>
    <w:p>
      <w:pPr>
        <w:pStyle w:val="ListBullet"/>
      </w:pPr>
      <w:r>
        <w:rPr>
          <w:rFonts w:ascii="맑은 고딕" w:hAnsi="맑은 고딕" w:eastAsia="맑은 고딕" w:cs="맑은 고딕"/>
        </w:rPr>
        <w:t>가명정보 결합에 평균 310일이 걸려, 정부가 서식을 24종에서 10종으로 줄이고 2027년까지 100일 이내로 줄이는 중</w:t>
      </w:r>
      <w:r>
        <w:rPr>
          <w:rFonts w:ascii="맑은 고딕" w:hAnsi="맑은 고딕" w:eastAsia="맑은 고딕" w:cs="맑은 고딕"/>
          <w:vertAlign w:val="superscript"/>
        </w:rPr>
        <w:t>[11]</w:t>
      </w:r>
    </w:p>
    <w:p>
      <w:pPr>
        <w:pStyle w:val="ListBullet"/>
      </w:pPr>
      <w:r>
        <w:rPr>
          <w:rFonts w:ascii="맑은 고딕" w:hAnsi="맑은 고딕" w:eastAsia="맑은 고딕" w:cs="맑은 고딕"/>
          <w:b/>
        </w:rPr>
        <w:t>정부는 데이터 통로를 넓히는 중</w:t>
      </w:r>
      <w:r>
        <w:rPr>
          <w:rFonts w:ascii="맑은 고딕" w:hAnsi="맑은 고딕" w:eastAsia="맑은 고딕" w:cs="맑은 고딕"/>
          <w:vertAlign w:val="superscript"/>
        </w:rPr>
        <w:t>[8]</w:t>
      </w:r>
      <w:r>
        <w:rPr>
          <w:rFonts w:ascii="맑은 고딕" w:hAnsi="맑은 고딕" w:eastAsia="맑은 고딕" w:cs="맑은 고딕"/>
          <w:vertAlign w:val="superscript"/>
        </w:rPr>
        <w:t>[9]</w:t>
      </w:r>
      <w:r>
        <w:rPr>
          <w:rFonts w:ascii="맑은 고딕" w:hAnsi="맑은 고딕" w:eastAsia="맑은 고딕" w:cs="맑은 고딕"/>
          <w:vertAlign w:val="superscript"/>
        </w:rPr>
        <w:t>[13]</w:t>
      </w:r>
      <w:r>
        <w:rPr>
          <w:rFonts w:ascii="맑은 고딕" w:hAnsi="맑은 고딕" w:eastAsia="맑은 고딕" w:cs="맑은 고딕"/>
          <w:vertAlign w:val="superscript"/>
        </w:rPr>
        <w:t>[14]</w:t>
      </w:r>
      <w:r>
        <w:rPr>
          <w:rFonts w:ascii="맑은 고딕" w:hAnsi="맑은 고딕" w:eastAsia="맑은 고딕" w:cs="맑은 고딕"/>
          <w:vertAlign w:val="superscript"/>
        </w:rPr>
        <w:t>[15]</w:t>
      </w:r>
    </w:p>
    <w:p>
      <w:pPr>
        <w:pStyle w:val="ListBullet"/>
      </w:pPr>
      <w:r>
        <w:rPr>
          <w:rFonts w:ascii="맑은 고딕" w:hAnsi="맑은 고딕" w:eastAsia="맑은 고딕" w:cs="맑은 고딕"/>
        </w:rPr>
        <w:t>의료데이터 이용권 8과제 → 40과제, 의료 AI 실증 과제 20개 신설, IRB·DRB 표준 운영절차와 공용 DRB 도입</w:t>
      </w:r>
      <w:r>
        <w:rPr>
          <w:rFonts w:ascii="맑은 고딕" w:hAnsi="맑은 고딕" w:eastAsia="맑은 고딕" w:cs="맑은 고딕"/>
          <w:vertAlign w:val="superscript"/>
        </w:rPr>
        <w:t>[8]</w:t>
      </w:r>
      <w:r>
        <w:rPr>
          <w:rFonts w:ascii="맑은 고딕" w:hAnsi="맑은 고딕" w:eastAsia="맑은 고딕" w:cs="맑은 고딕"/>
          <w:vertAlign w:val="superscript"/>
        </w:rPr>
        <w:t>[15]</w:t>
      </w:r>
    </w:p>
    <w:p>
      <w:pPr>
        <w:pStyle w:val="ListBullet"/>
      </w:pPr>
      <w:r>
        <w:rPr>
          <w:rFonts w:ascii="맑은 고딕" w:hAnsi="맑은 고딕" w:eastAsia="맑은 고딕" w:cs="맑은 고딕"/>
        </w:rPr>
        <w:t>이용권은 기업이 의료데이터 중심병원과 협약하면 병원의 가공·분석 비용을 지급하는 방식이고</w:t>
      </w:r>
      <w:r>
        <w:rPr>
          <w:rFonts w:ascii="맑은 고딕" w:hAnsi="맑은 고딕" w:eastAsia="맑은 고딕" w:cs="맑은 고딕"/>
          <w:vertAlign w:val="superscript"/>
        </w:rPr>
        <w:t>[13]</w:t>
      </w:r>
      <w:r>
        <w:rPr>
          <w:rFonts w:ascii="맑은 고딕" w:hAnsi="맑은 고딕" w:eastAsia="맑은 고딕" w:cs="맑은 고딕"/>
        </w:rPr>
        <w:t>, 추가 모집부터 비수도권 의료기관과 협력하는 기업에 가점</w:t>
      </w:r>
      <w:r>
        <w:rPr>
          <w:rFonts w:ascii="맑은 고딕" w:hAnsi="맑은 고딕" w:eastAsia="맑은 고딕" w:cs="맑은 고딕"/>
          <w:vertAlign w:val="superscript"/>
        </w:rPr>
        <w:t>[14]</w:t>
      </w:r>
    </w:p>
    <w:p>
      <w:pPr>
        <w:pStyle w:val="ListBullet"/>
      </w:pPr>
      <w:r>
        <w:rPr>
          <w:rFonts w:ascii="맑은 고딕" w:hAnsi="맑은 고딕" w:eastAsia="맑은 고딕" w:cs="맑은 고딕"/>
        </w:rPr>
        <w:t>AI 기본의료 전략에서 국가 보건의료데이터 거점과 임상데이터 표준화 추진</w:t>
      </w:r>
      <w:r>
        <w:rPr>
          <w:rFonts w:ascii="맑은 고딕" w:hAnsi="맑은 고딕" w:eastAsia="맑은 고딕" w:cs="맑은 고딕"/>
          <w:vertAlign w:val="superscript"/>
        </w:rPr>
        <w:t>[9]</w:t>
      </w:r>
    </w:p>
    <w:p>
      <w:pPr>
        <w:pStyle w:val="ListBullet"/>
      </w:pPr>
      <w:r>
        <w:rPr>
          <w:rFonts w:ascii="맑은 고딕" w:hAnsi="맑은 고딕" w:eastAsia="맑은 고딕" w:cs="맑은 고딕"/>
          <w:b/>
        </w:rPr>
        <w:t>해외도 창구를 하나로 모으는 방향</w:t>
      </w:r>
      <w:r>
        <w:rPr>
          <w:rFonts w:ascii="맑은 고딕" w:hAnsi="맑은 고딕" w:eastAsia="맑은 고딕" w:cs="맑은 고딕"/>
          <w:vertAlign w:val="superscript"/>
        </w:rPr>
        <w:t>[24]</w:t>
      </w:r>
      <w:r>
        <w:rPr>
          <w:rFonts w:ascii="맑은 고딕" w:hAnsi="맑은 고딕" w:eastAsia="맑은 고딕" w:cs="맑은 고딕"/>
          <w:vertAlign w:val="superscript"/>
        </w:rPr>
        <w:t>[25]</w:t>
      </w:r>
      <w:r>
        <w:rPr>
          <w:rFonts w:ascii="맑은 고딕" w:hAnsi="맑은 고딕" w:eastAsia="맑은 고딕" w:cs="맑은 고딕"/>
          <w:vertAlign w:val="superscript"/>
        </w:rPr>
        <w:t>[26]</w:t>
      </w:r>
    </w:p>
    <w:p>
      <w:pPr>
        <w:pStyle w:val="ListBullet"/>
      </w:pPr>
      <w:r>
        <w:rPr>
          <w:rFonts w:ascii="맑은 고딕" w:hAnsi="맑은 고딕" w:eastAsia="맑은 고딕" w:cs="맑은 고딕"/>
        </w:rPr>
        <w:t>미국 전국 의료정보 교환망(TEFCA) 교환 10억 건 이상(2026년 6월)</w:t>
      </w:r>
      <w:r>
        <w:rPr>
          <w:rFonts w:ascii="맑은 고딕" w:hAnsi="맑은 고딕" w:eastAsia="맑은 고딕" w:cs="맑은 고딕"/>
          <w:vertAlign w:val="superscript"/>
        </w:rPr>
        <w:t>[24]</w:t>
      </w:r>
      <w:r>
        <w:rPr>
          <w:rFonts w:ascii="맑은 고딕" w:hAnsi="맑은 고딕" w:eastAsia="맑은 고딕" w:cs="맑은 고딕"/>
        </w:rPr>
        <w:t>, 영국 보건데이터연구서비스(HDRS) 단일 접근 창구</w:t>
      </w:r>
      <w:r>
        <w:rPr>
          <w:rFonts w:ascii="맑은 고딕" w:hAnsi="맑은 고딕" w:eastAsia="맑은 고딕" w:cs="맑은 고딕"/>
          <w:vertAlign w:val="superscript"/>
        </w:rPr>
        <w:t>[25]</w:t>
      </w:r>
      <w:r>
        <w:rPr>
          <w:rFonts w:ascii="맑은 고딕" w:hAnsi="맑은 고딕" w:eastAsia="맑은 고딕" w:cs="맑은 고딕"/>
        </w:rPr>
        <w:t>, EU 보건데이터공간(EHDS) 2차 활용 규정 2029년 3월 적용</w:t>
      </w:r>
      <w:r>
        <w:rPr>
          <w:rFonts w:ascii="맑은 고딕" w:hAnsi="맑은 고딕" w:eastAsia="맑은 고딕" w:cs="맑은 고딕"/>
          <w:vertAlign w:val="superscript"/>
        </w:rPr>
        <w:t>[26]</w:t>
      </w:r>
    </w:p>
    <w:p>
      <w:pPr>
        <w:pStyle w:val="ListBullet"/>
      </w:pPr>
      <w:r>
        <w:rPr>
          <w:rFonts w:ascii="맑은 고딕" w:hAnsi="맑은 고딕" w:eastAsia="맑은 고딕" w:cs="맑은 고딕"/>
          <w:b/>
        </w:rPr>
        <w:t>기업이 병원 데이터를 얻는 길은 대형 병원과의 개별 협약에 기울어 있음</w:t>
      </w:r>
      <w:r>
        <w:rPr>
          <w:rFonts w:ascii="맑은 고딕" w:hAnsi="맑은 고딕" w:eastAsia="맑은 고딕" w:cs="맑은 고딕"/>
          <w:vertAlign w:val="superscript"/>
        </w:rPr>
        <w:t>[22]</w:t>
      </w:r>
      <w:r>
        <w:rPr>
          <w:rFonts w:ascii="맑은 고딕" w:hAnsi="맑은 고딕" w:eastAsia="맑은 고딕" w:cs="맑은 고딕"/>
          <w:vertAlign w:val="superscript"/>
        </w:rPr>
        <w:t>[23]</w:t>
      </w:r>
    </w:p>
    <w:p>
      <w:pPr>
        <w:pStyle w:val="ListBullet"/>
      </w:pPr>
      <w:r>
        <w:rPr>
          <w:rFonts w:ascii="맑은 고딕" w:hAnsi="맑은 고딕" w:eastAsia="맑은 고딕" w:cs="맑은 고딕"/>
        </w:rPr>
        <w:t>국내 대표 의료 AI 기업도 세브란스병원·일산병원과 각각 협약해 데이터와 임상 현장을 확보</w:t>
      </w:r>
      <w:r>
        <w:rPr>
          <w:rFonts w:ascii="맑은 고딕" w:hAnsi="맑은 고딕" w:eastAsia="맑은 고딕" w:cs="맑은 고딕"/>
          <w:vertAlign w:val="superscript"/>
        </w:rPr>
        <w:t>[22]</w:t>
      </w:r>
      <w:r>
        <w:rPr>
          <w:rFonts w:ascii="맑은 고딕" w:hAnsi="맑은 고딕" w:eastAsia="맑은 고딕" w:cs="맑은 고딕"/>
          <w:vertAlign w:val="superscript"/>
        </w:rPr>
        <w:t>[23]</w:t>
      </w:r>
    </w:p>
    <w:p>
      <w:r>
        <w:rPr>
          <w:rFonts w:ascii="맑은 고딕" w:hAnsi="맑은 고딕" w:eastAsia="맑은 고딕" w:cs="맑은 고딕"/>
          <w:b/>
        </w:rPr>
        <w:t>표 1. 데이터 경로별 공개 수치</w:t>
      </w:r>
      <w:r>
        <w:rPr>
          <w:rFonts w:ascii="맑은 고딕" w:hAnsi="맑은 고딕" w:eastAsia="맑은 고딕" w:cs="맑은 고딕"/>
          <w:vertAlign w:val="superscript"/>
        </w:rPr>
        <w:t>[8]</w:t>
      </w:r>
      <w:r>
        <w:rPr>
          <w:rFonts w:ascii="맑은 고딕" w:hAnsi="맑은 고딕" w:eastAsia="맑은 고딕" w:cs="맑은 고딕"/>
          <w:vertAlign w:val="superscript"/>
        </w:rPr>
        <w:t>[10]</w:t>
      </w:r>
      <w:r>
        <w:rPr>
          <w:rFonts w:ascii="맑은 고딕" w:hAnsi="맑은 고딕" w:eastAsia="맑은 고딕" w:cs="맑은 고딕"/>
          <w:vertAlign w:val="superscript"/>
        </w:rPr>
        <w:t>[11]</w:t>
      </w:r>
      <w:r>
        <w:rPr>
          <w:rFonts w:ascii="맑은 고딕" w:hAnsi="맑은 고딕" w:eastAsia="맑은 고딕" w:cs="맑은 고딕"/>
          <w:vertAlign w:val="superscript"/>
        </w:rPr>
        <w:t>[16]</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E8ECF2"/>
          </w:tcPr>
          <w:p>
            <w:pPr>
              <w:spacing w:after="0" w:line="276" w:lineRule="auto"/>
              <w:jc w:val="center"/>
            </w:pPr>
            <w:r>
              <w:rPr>
                <w:rFonts w:ascii="맑은 고딕" w:hAnsi="맑은 고딕" w:eastAsia="맑은 고딕" w:cs="맑은 고딕"/>
                <w:b/>
                <w:sz w:val="18"/>
              </w:rPr>
              <w:t>경로</w:t>
            </w:r>
          </w:p>
        </w:tc>
        <w:tc>
          <w:tcPr>
            <w:tcW w:type="dxa" w:w="4706"/>
            <w:shd w:val="clear" w:color="auto" w:fill="E8ECF2"/>
          </w:tcPr>
          <w:p>
            <w:pPr>
              <w:spacing w:after="0" w:line="276" w:lineRule="auto"/>
              <w:jc w:val="center"/>
            </w:pPr>
            <w:r>
              <w:rPr>
                <w:rFonts w:ascii="맑은 고딕" w:hAnsi="맑은 고딕" w:eastAsia="맑은 고딕" w:cs="맑은 고딕"/>
                <w:b/>
                <w:sz w:val="18"/>
              </w:rPr>
              <w:t>공개 수치</w:t>
            </w:r>
          </w:p>
        </w:tc>
      </w:tr>
      <w:tr>
        <w:tc>
          <w:tcPr>
            <w:tcW w:type="dxa" w:w="4706"/>
          </w:tcPr>
          <w:p>
            <w:pPr>
              <w:spacing w:after="0" w:line="276" w:lineRule="auto"/>
            </w:pPr>
            <w:r>
              <w:rPr>
                <w:rFonts w:ascii="맑은 고딕" w:hAnsi="맑은 고딕" w:eastAsia="맑은 고딕" w:cs="맑은 고딕"/>
                <w:sz w:val="18"/>
              </w:rPr>
              <w:t>공공기관 보유 데이터</w:t>
            </w:r>
          </w:p>
        </w:tc>
        <w:tc>
          <w:tcPr>
            <w:tcW w:type="dxa" w:w="4706"/>
          </w:tcPr>
          <w:p>
            <w:pPr>
              <w:spacing w:after="0" w:line="276" w:lineRule="auto"/>
            </w:pPr>
            <w:r>
              <w:rPr>
                <w:rFonts w:ascii="맑은 고딕" w:hAnsi="맑은 고딕" w:eastAsia="맑은 고딕" w:cs="맑은 고딕"/>
                <w:sz w:val="18"/>
              </w:rPr>
              <w:t>AI 기업 제공 17건, 비정형 표준화 0.5%, 방문 이용만</w:t>
            </w:r>
          </w:p>
        </w:tc>
      </w:tr>
      <w:tr>
        <w:tc>
          <w:tcPr>
            <w:tcW w:type="dxa" w:w="4706"/>
          </w:tcPr>
          <w:p>
            <w:pPr>
              <w:spacing w:after="0" w:line="276" w:lineRule="auto"/>
            </w:pPr>
            <w:r>
              <w:rPr>
                <w:rFonts w:ascii="맑은 고딕" w:hAnsi="맑은 고딕" w:eastAsia="맑은 고딕" w:cs="맑은 고딕"/>
                <w:sz w:val="18"/>
              </w:rPr>
              <w:t>가명정보 결합</w:t>
            </w:r>
          </w:p>
        </w:tc>
        <w:tc>
          <w:tcPr>
            <w:tcW w:type="dxa" w:w="4706"/>
          </w:tcPr>
          <w:p>
            <w:pPr>
              <w:spacing w:after="0" w:line="276" w:lineRule="auto"/>
            </w:pPr>
            <w:r>
              <w:rPr>
                <w:rFonts w:ascii="맑은 고딕" w:hAnsi="맑은 고딕" w:eastAsia="맑은 고딕" w:cs="맑은 고딕"/>
                <w:sz w:val="18"/>
              </w:rPr>
              <w:t>평균 310일, 2027년 100일 이내 목표</w:t>
            </w:r>
          </w:p>
        </w:tc>
      </w:tr>
      <w:tr>
        <w:tc>
          <w:tcPr>
            <w:tcW w:type="dxa" w:w="4706"/>
          </w:tcPr>
          <w:p>
            <w:pPr>
              <w:spacing w:after="0" w:line="276" w:lineRule="auto"/>
            </w:pPr>
            <w:r>
              <w:rPr>
                <w:rFonts w:ascii="맑은 고딕" w:hAnsi="맑은 고딕" w:eastAsia="맑은 고딕" w:cs="맑은 고딕"/>
                <w:sz w:val="18"/>
              </w:rPr>
              <w:t>의료데이터 이용권</w:t>
            </w:r>
          </w:p>
        </w:tc>
        <w:tc>
          <w:tcPr>
            <w:tcW w:type="dxa" w:w="4706"/>
          </w:tcPr>
          <w:p>
            <w:pPr>
              <w:spacing w:after="0" w:line="276" w:lineRule="auto"/>
            </w:pPr>
            <w:r>
              <w:rPr>
                <w:rFonts w:ascii="맑은 고딕" w:hAnsi="맑은 고딕" w:eastAsia="맑은 고딕" w:cs="맑은 고딕"/>
                <w:sz w:val="18"/>
              </w:rPr>
              <w:t>8과제 → 40과제</w:t>
            </w:r>
          </w:p>
        </w:tc>
      </w:tr>
      <w:tr>
        <w:tc>
          <w:tcPr>
            <w:tcW w:type="dxa" w:w="4706"/>
          </w:tcPr>
          <w:p>
            <w:pPr>
              <w:spacing w:after="0" w:line="276" w:lineRule="auto"/>
            </w:pPr>
            <w:r>
              <w:rPr>
                <w:rFonts w:ascii="맑은 고딕" w:hAnsi="맑은 고딕" w:eastAsia="맑은 고딕" w:cs="맑은 고딕"/>
                <w:sz w:val="18"/>
              </w:rPr>
              <w:t>대구 의료데이터 중개 포털</w:t>
            </w:r>
          </w:p>
        </w:tc>
        <w:tc>
          <w:tcPr>
            <w:tcW w:type="dxa" w:w="4706"/>
          </w:tcPr>
          <w:p>
            <w:pPr>
              <w:spacing w:after="0" w:line="276" w:lineRule="auto"/>
            </w:pPr>
            <w:r>
              <w:rPr>
                <w:rFonts w:ascii="맑은 고딕" w:hAnsi="맑은 고딕" w:eastAsia="맑은 고딕" w:cs="맑은 고딕"/>
                <w:sz w:val="18"/>
              </w:rPr>
              <w:t>약 25만 건(3년), 공급 병원 2곳</w:t>
            </w:r>
          </w:p>
        </w:tc>
      </w:tr>
    </w:tbl>
    <w:p/>
    <w:p>
      <w:r>
        <w:rPr>
          <w:rFonts w:ascii="맑은 고딕" w:hAnsi="맑은 고딕" w:eastAsia="맑은 고딕" w:cs="맑은 고딕"/>
        </w:rPr>
        <w:t>잣대가 다른 값(제공 건수·기간·과제 수·데이터 건수)이라 서로 비교하지 않음.</w:t>
      </w:r>
    </w:p>
    <w:p>
      <w:pPr>
        <w:pStyle w:val="Heading1"/>
      </w:pPr>
      <w:r>
        <w:rPr>
          <w:rFonts w:ascii="맑은 고딕" w:hAnsi="맑은 고딕" w:eastAsia="맑은 고딕" w:cs="맑은 고딕"/>
        </w:rPr>
        <w:t>3. 대구의 의료 AI 기업과 데이터 기반</w:t>
      </w:r>
    </w:p>
    <w:p>
      <w:pPr>
        <w:pStyle w:val="ListBullet"/>
      </w:pPr>
      <w:r>
        <w:rPr>
          <w:rFonts w:ascii="맑은 고딕" w:hAnsi="맑은 고딕" w:eastAsia="맑은 고딕" w:cs="맑은 고딕"/>
          <w:b/>
        </w:rPr>
        <w:t>의료용 기기 제조기업 122곳, 그중 97곳이 50인 미만</w:t>
      </w:r>
      <w:r>
        <w:rPr>
          <w:rFonts w:ascii="맑은 고딕" w:hAnsi="맑은 고딕" w:eastAsia="맑은 고딕" w:cs="맑은 고딕"/>
          <w:vertAlign w:val="superscript"/>
        </w:rPr>
        <w:t>[30]</w:t>
      </w:r>
    </w:p>
    <w:p>
      <w:pPr>
        <w:pStyle w:val="ListBullet"/>
      </w:pPr>
      <w:r>
        <w:rPr>
          <w:rFonts w:ascii="맑은 고딕" w:hAnsi="맑은 고딕" w:eastAsia="맑은 고딕" w:cs="맑은 고딕"/>
        </w:rPr>
        <w:t>조건: KSIC 271 가운데 27195(안경) 제외, 공장등록 기준. 1~9인 46곳, 10~49인 51곳, 50~299인 9곳, 300인 이상 3곳, 신고값 없음 13곳</w:t>
      </w:r>
      <w:r>
        <w:rPr>
          <w:rFonts w:ascii="맑은 고딕" w:hAnsi="맑은 고딕" w:eastAsia="맑은 고딕" w:cs="맑은 고딕"/>
          <w:vertAlign w:val="superscript"/>
        </w:rPr>
        <w:t>[30]</w:t>
      </w:r>
    </w:p>
    <w:p>
      <w:pPr>
        <w:pStyle w:val="ListBullet"/>
      </w:pPr>
      <w:r>
        <w:rPr>
          <w:rFonts w:ascii="맑은 고딕" w:hAnsi="맑은 고딕" w:eastAsia="맑은 고딕" w:cs="맑은 고딕"/>
        </w:rPr>
        <w:t>영상·신호 진단과 가까운 KSIC 27111(방사선 장치)·27112(전기식 진단·요법 기기) 기업은 12곳</w:t>
      </w:r>
      <w:r>
        <w:rPr>
          <w:rFonts w:ascii="맑은 고딕" w:hAnsi="맑은 고딕" w:eastAsia="맑은 고딕" w:cs="맑은 고딕"/>
          <w:vertAlign w:val="superscript"/>
        </w:rPr>
        <w:t>[30]</w:t>
      </w:r>
    </w:p>
    <w:p>
      <w:pPr>
        <w:pStyle w:val="ListBullet"/>
      </w:pPr>
      <w:r>
        <w:rPr>
          <w:rFonts w:ascii="맑은 고딕" w:hAnsi="맑은 고딕" w:eastAsia="맑은 고딕" w:cs="맑은 고딕"/>
        </w:rPr>
        <w:t>입지는 연구개발특구 37곳, 산업단지 36곳, 개별입지 32곳, 지식산업센터 17곳이고 구·군별로 동구 57곳, 달서구 28곳</w:t>
      </w:r>
      <w:r>
        <w:rPr>
          <w:rFonts w:ascii="맑은 고딕" w:hAnsi="맑은 고딕" w:eastAsia="맑은 고딕" w:cs="맑은 고딕"/>
          <w:vertAlign w:val="superscript"/>
        </w:rPr>
        <w:t>[30]</w:t>
      </w:r>
    </w:p>
    <w:p>
      <w:pPr>
        <w:pStyle w:val="ListBullet"/>
      </w:pPr>
      <w:r>
        <w:rPr>
          <w:rFonts w:ascii="맑은 고딕" w:hAnsi="맑은 고딕" w:eastAsia="맑은 고딕" w:cs="맑은 고딕"/>
        </w:rPr>
        <w:t>2024년 이후 지원사업 기록이 있는 곳은 22곳</w:t>
      </w:r>
      <w:r>
        <w:rPr>
          <w:rFonts w:ascii="맑은 고딕" w:hAnsi="맑은 고딕" w:eastAsia="맑은 고딕" w:cs="맑은 고딕"/>
          <w:vertAlign w:val="superscript"/>
        </w:rPr>
        <w:t>[31]</w:t>
      </w:r>
    </w:p>
    <w:p>
      <w:pPr>
        <w:keepNext/>
        <w:jc w:val="center"/>
      </w:pPr>
      <w:r>
        <w:drawing>
          <wp:inline xmlns:a="http://schemas.openxmlformats.org/drawingml/2006/main" xmlns:pic="http://schemas.openxmlformats.org/drawingml/2006/picture">
            <wp:extent cx="5760000" cy="3024000"/>
            <wp:docPr id="4" name="Picture 4" descr="/figures/2026-09-29-policy-healthcare-ai-data/fig11.svg" title="대구 의료용 기기 제조 122곳의 종사자 규모별 기업 수 막대그래프"/>
            <wp:cNvGraphicFramePr>
              <a:graphicFrameLocks noChangeAspect="1"/>
            </wp:cNvGraphicFramePr>
            <a:graphic>
              <a:graphicData uri="http://schemas.openxmlformats.org/drawingml/2006/picture">
                <pic:pic>
                  <pic:nvPicPr>
                    <pic:cNvPr id="0" name="fig11.png"/>
                    <pic:cNvPicPr/>
                  </pic:nvPicPr>
                  <pic:blipFill>
                    <a:blip r:embed="rId12"/>
                    <a:stretch>
                      <a:fillRect/>
                    </a:stretch>
                  </pic:blipFill>
                  <pic:spPr>
                    <a:xfrm>
                      <a:off x="0" y="0"/>
                      <a:ext cx="5760000" cy="3024000"/>
                    </a:xfrm>
                    <a:prstGeom prst="rect"/>
                  </pic:spPr>
                </pic:pic>
              </a:graphicData>
            </a:graphic>
          </wp:inline>
        </w:drawing>
      </w:r>
    </w:p>
    <w:p>
      <w:pPr>
        <w:pStyle w:val="Caption"/>
        <w:jc w:val="center"/>
      </w:pPr>
      <w:r>
        <w:rPr>
          <w:rFonts w:ascii="맑은 고딕" w:hAnsi="맑은 고딕" w:eastAsia="맑은 고딕" w:cs="맑은 고딕"/>
          <w:color w:val="444444"/>
          <w:sz w:val="18"/>
        </w:rPr>
        <w:t>그림 4. 대구 의료용 기기 제조기업의 규모 (자료: 기업 사전, 팩토리온 2026-08 공장등록 종사자 신고값)</w:t>
      </w:r>
    </w:p>
    <w:p>
      <w:pPr>
        <w:pStyle w:val="ListBullet"/>
      </w:pPr>
      <w:r>
        <w:rPr>
          <w:rFonts w:ascii="맑은 고딕" w:hAnsi="맑은 고딕" w:eastAsia="맑은 고딕" w:cs="맑은 고딕"/>
          <w:b/>
        </w:rPr>
        <w:t>의료 AI 소프트웨어 기업은 공장등록이 없어 기업 사전 122곳에 거의 잡히지 않음</w:t>
      </w:r>
      <w:r>
        <w:rPr>
          <w:rFonts w:ascii="맑은 고딕" w:hAnsi="맑은 고딕" w:eastAsia="맑은 고딕" w:cs="맑은 고딕"/>
          <w:vertAlign w:val="superscript"/>
        </w:rPr>
        <w:t>[30]</w:t>
      </w:r>
    </w:p>
    <w:p>
      <w:pPr>
        <w:pStyle w:val="ListBullet"/>
      </w:pPr>
      <w:r>
        <w:rPr>
          <w:rFonts w:ascii="맑은 고딕" w:hAnsi="맑은 고딕" w:eastAsia="맑은 고딕" w:cs="맑은 고딕"/>
        </w:rPr>
        <w:t>기업 사전은 공장등록 기업과 산단 외 목록만 담으므로, 소프트웨어 의료기기 기업의 수는 방안 3 조사로 셈</w:t>
      </w:r>
      <w:r>
        <w:rPr>
          <w:rFonts w:ascii="맑은 고딕" w:hAnsi="맑은 고딕" w:eastAsia="맑은 고딕" w:cs="맑은 고딕"/>
          <w:vertAlign w:val="superscript"/>
        </w:rPr>
        <w:t>[30]</w:t>
      </w:r>
    </w:p>
    <w:p>
      <w:pPr>
        <w:pStyle w:val="ListBullet"/>
      </w:pPr>
      <w:r>
        <w:rPr>
          <w:rFonts w:ascii="맑은 고딕" w:hAnsi="맑은 고딕" w:eastAsia="맑은 고딕" w:cs="맑은 고딕"/>
          <w:b/>
        </w:rPr>
        <w:t>중개 포털과 병원 협의체</w:t>
      </w:r>
      <w:r>
        <w:rPr>
          <w:rFonts w:ascii="맑은 고딕" w:hAnsi="맑은 고딕" w:eastAsia="맑은 고딕" w:cs="맑은 고딕"/>
          <w:vertAlign w:val="superscript"/>
        </w:rPr>
        <w:t>[16]</w:t>
      </w:r>
      <w:r>
        <w:rPr>
          <w:rFonts w:ascii="맑은 고딕" w:hAnsi="맑은 고딕" w:eastAsia="맑은 고딕" w:cs="맑은 고딕"/>
          <w:vertAlign w:val="superscript"/>
        </w:rPr>
        <w:t>[17]</w:t>
      </w:r>
      <w:r>
        <w:rPr>
          <w:rFonts w:ascii="맑은 고딕" w:hAnsi="맑은 고딕" w:eastAsia="맑은 고딕" w:cs="맑은 고딕"/>
          <w:vertAlign w:val="superscript"/>
        </w:rPr>
        <w:t>[18]</w:t>
      </w:r>
      <w:r>
        <w:rPr>
          <w:rFonts w:ascii="맑은 고딕" w:hAnsi="맑은 고딕" w:eastAsia="맑은 고딕" w:cs="맑은 고딕"/>
          <w:vertAlign w:val="superscript"/>
        </w:rPr>
        <w:t>[19]</w:t>
      </w:r>
    </w:p>
    <w:p>
      <w:pPr>
        <w:pStyle w:val="ListBullet"/>
      </w:pPr>
      <w:r>
        <w:rPr>
          <w:rFonts w:ascii="맑은 고딕" w:hAnsi="맑은 고딕" w:eastAsia="맑은 고딕" w:cs="맑은 고딕"/>
        </w:rPr>
        <w:t>의료데이터 중개 사업은 올해 4년째로 DIP가 주관하고 KTL·대구TP·경북대병원·계명대 동산의료원이 참여, 포털에 3년간 약 25만 건</w:t>
      </w:r>
      <w:r>
        <w:rPr>
          <w:rFonts w:ascii="맑은 고딕" w:hAnsi="맑은 고딕" w:eastAsia="맑은 고딕" w:cs="맑은 고딕"/>
          <w:vertAlign w:val="superscript"/>
        </w:rPr>
        <w:t>[16]</w:t>
      </w:r>
    </w:p>
    <w:p>
      <w:pPr>
        <w:pStyle w:val="ListBullet"/>
      </w:pPr>
      <w:r>
        <w:rPr>
          <w:rFonts w:ascii="맑은 고딕" w:hAnsi="맑은 고딕" w:eastAsia="맑은 고딕" w:cs="맑은 고딕"/>
        </w:rPr>
        <w:t>참여 기업 3곳이 척추·심혈관·유방암 AI로 국내외 인허가를 받거나 신청함</w:t>
      </w:r>
      <w:r>
        <w:rPr>
          <w:rFonts w:ascii="맑은 고딕" w:hAnsi="맑은 고딕" w:eastAsia="맑은 고딕" w:cs="맑은 고딕"/>
          <w:vertAlign w:val="superscript"/>
        </w:rPr>
        <w:t>[16]</w:t>
      </w:r>
    </w:p>
    <w:p>
      <w:pPr>
        <w:pStyle w:val="ListBullet"/>
      </w:pPr>
      <w:r>
        <w:rPr>
          <w:rFonts w:ascii="맑은 고딕" w:hAnsi="맑은 고딕" w:eastAsia="맑은 고딕" w:cs="맑은 고딕"/>
        </w:rPr>
        <w:t>대구시와 상급종합병원 5곳 등 14개 기관의 의료데이터 활용 활성화 협의체(2026년 7월 3일)</w:t>
      </w:r>
      <w:r>
        <w:rPr>
          <w:rFonts w:ascii="맑은 고딕" w:hAnsi="맑은 고딕" w:eastAsia="맑은 고딕" w:cs="맑은 고딕"/>
          <w:vertAlign w:val="superscript"/>
        </w:rPr>
        <w:t>[17]</w:t>
      </w:r>
      <w:r>
        <w:rPr>
          <w:rFonts w:ascii="맑은 고딕" w:hAnsi="맑은 고딕" w:eastAsia="맑은 고딕" w:cs="맑은 고딕"/>
        </w:rPr>
        <w:t>, 케이메디허브가 공동 IRB·DRB 실무를 맡고</w:t>
      </w:r>
      <w:r>
        <w:rPr>
          <w:rFonts w:ascii="맑은 고딕" w:hAnsi="맑은 고딕" w:eastAsia="맑은 고딕" w:cs="맑은 고딕"/>
          <w:vertAlign w:val="superscript"/>
        </w:rPr>
        <w:t>[18]</w:t>
      </w:r>
      <w:r>
        <w:rPr>
          <w:rFonts w:ascii="맑은 고딕" w:hAnsi="맑은 고딕" w:eastAsia="맑은 고딕" w:cs="맑은 고딕"/>
        </w:rPr>
        <w:t>, KAIRB와 다기관 공동 심의 표준 절차를 만드는 중(목표 20일)</w:t>
      </w:r>
      <w:r>
        <w:rPr>
          <w:rFonts w:ascii="맑은 고딕" w:hAnsi="맑은 고딕" w:eastAsia="맑은 고딕" w:cs="맑은 고딕"/>
          <w:vertAlign w:val="superscript"/>
        </w:rPr>
        <w:t>[19]</w:t>
      </w:r>
    </w:p>
    <w:p>
      <w:pPr>
        <w:pStyle w:val="ListBullet"/>
      </w:pPr>
      <w:r>
        <w:rPr>
          <w:rFonts w:ascii="맑은 고딕" w:hAnsi="맑은 고딕" w:eastAsia="맑은 고딕" w:cs="맑은 고딕"/>
          <w:b/>
        </w:rPr>
        <w:t>통제된 분석 공간</w:t>
      </w:r>
      <w:r>
        <w:rPr>
          <w:rFonts w:ascii="맑은 고딕" w:hAnsi="맑은 고딕" w:eastAsia="맑은 고딕" w:cs="맑은 고딕"/>
          <w:vertAlign w:val="superscript"/>
        </w:rPr>
        <w:t>[12]</w:t>
      </w:r>
      <w:r>
        <w:rPr>
          <w:rFonts w:ascii="맑은 고딕" w:hAnsi="맑은 고딕" w:eastAsia="맑은 고딕" w:cs="맑은 고딕"/>
          <w:vertAlign w:val="superscript"/>
        </w:rPr>
        <w:t>[20]</w:t>
      </w:r>
    </w:p>
    <w:p>
      <w:pPr>
        <w:pStyle w:val="ListBullet"/>
      </w:pPr>
      <w:r>
        <w:rPr>
          <w:rFonts w:ascii="맑은 고딕" w:hAnsi="맑은 고딕" w:eastAsia="맑은 고딕" w:cs="맑은 고딕"/>
        </w:rPr>
        <w:t>DIP는 전국 10곳뿐인 개인정보 이노베이션 존 운영기관</w:t>
      </w:r>
      <w:r>
        <w:rPr>
          <w:rFonts w:ascii="맑은 고딕" w:hAnsi="맑은 고딕" w:eastAsia="맑은 고딕" w:cs="맑은 고딕"/>
          <w:vertAlign w:val="superscript"/>
        </w:rPr>
        <w:t>[12]</w:t>
      </w:r>
      <w:r>
        <w:rPr>
          <w:rFonts w:ascii="맑은 고딕" w:hAnsi="맑은 고딕" w:eastAsia="맑은 고딕" w:cs="맑은 고딕"/>
        </w:rPr>
        <w:t>, 수성알파시티에 데이터안심구역 개소(2025년 12월)</w:t>
      </w:r>
      <w:r>
        <w:rPr>
          <w:rFonts w:ascii="맑은 고딕" w:hAnsi="맑은 고딕" w:eastAsia="맑은 고딕" w:cs="맑은 고딕"/>
          <w:vertAlign w:val="superscript"/>
        </w:rPr>
        <w:t>[20]</w:t>
      </w:r>
    </w:p>
    <w:p>
      <w:r>
        <w:rPr>
          <w:rFonts w:ascii="맑은 고딕" w:hAnsi="맑은 고딕" w:eastAsia="맑은 고딕" w:cs="맑은 고딕"/>
          <w:b/>
        </w:rPr>
        <w:t>표 2. 대구의 의료 AI 데이터 기반</w:t>
      </w:r>
      <w:r>
        <w:rPr>
          <w:rFonts w:ascii="맑은 고딕" w:hAnsi="맑은 고딕" w:eastAsia="맑은 고딕" w:cs="맑은 고딕"/>
          <w:vertAlign w:val="superscript"/>
        </w:rPr>
        <w:t>[12]</w:t>
      </w:r>
      <w:r>
        <w:rPr>
          <w:rFonts w:ascii="맑은 고딕" w:hAnsi="맑은 고딕" w:eastAsia="맑은 고딕" w:cs="맑은 고딕"/>
          <w:vertAlign w:val="superscript"/>
        </w:rPr>
        <w:t>[16]</w:t>
      </w:r>
      <w:r>
        <w:rPr>
          <w:rFonts w:ascii="맑은 고딕" w:hAnsi="맑은 고딕" w:eastAsia="맑은 고딕" w:cs="맑은 고딕"/>
          <w:vertAlign w:val="superscript"/>
        </w:rPr>
        <w:t>[17]</w:t>
      </w:r>
      <w:r>
        <w:rPr>
          <w:rFonts w:ascii="맑은 고딕" w:hAnsi="맑은 고딕" w:eastAsia="맑은 고딕" w:cs="맑은 고딕"/>
          <w:vertAlign w:val="superscript"/>
        </w:rPr>
        <w:t>[18]</w:t>
      </w:r>
      <w:r>
        <w:rPr>
          <w:rFonts w:ascii="맑은 고딕" w:hAnsi="맑은 고딕" w:eastAsia="맑은 고딕" w:cs="맑은 고딕"/>
          <w:vertAlign w:val="superscript"/>
        </w:rPr>
        <w:t>[19]</w:t>
      </w:r>
      <w:r>
        <w:rPr>
          <w:rFonts w:ascii="맑은 고딕" w:hAnsi="맑은 고딕" w:eastAsia="맑은 고딕" w:cs="맑은 고딕"/>
          <w:vertAlign w:val="superscript"/>
        </w:rPr>
        <w:t>[20]</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E8ECF2"/>
          </w:tcPr>
          <w:p>
            <w:pPr>
              <w:spacing w:after="0" w:line="276" w:lineRule="auto"/>
              <w:jc w:val="center"/>
            </w:pPr>
            <w:r>
              <w:rPr>
                <w:rFonts w:ascii="맑은 고딕" w:hAnsi="맑은 고딕" w:eastAsia="맑은 고딕" w:cs="맑은 고딕"/>
                <w:b/>
                <w:sz w:val="18"/>
              </w:rPr>
              <w:t>구분</w:t>
            </w:r>
          </w:p>
        </w:tc>
        <w:tc>
          <w:tcPr>
            <w:tcW w:type="dxa" w:w="4706"/>
            <w:shd w:val="clear" w:color="auto" w:fill="E8ECF2"/>
          </w:tcPr>
          <w:p>
            <w:pPr>
              <w:spacing w:after="0" w:line="276" w:lineRule="auto"/>
              <w:jc w:val="center"/>
            </w:pPr>
            <w:r>
              <w:rPr>
                <w:rFonts w:ascii="맑은 고딕" w:hAnsi="맑은 고딕" w:eastAsia="맑은 고딕" w:cs="맑은 고딕"/>
                <w:b/>
                <w:sz w:val="18"/>
              </w:rPr>
              <w:t>내용</w:t>
            </w:r>
          </w:p>
        </w:tc>
      </w:tr>
      <w:tr>
        <w:tc>
          <w:tcPr>
            <w:tcW w:type="dxa" w:w="4706"/>
          </w:tcPr>
          <w:p>
            <w:pPr>
              <w:spacing w:after="0" w:line="276" w:lineRule="auto"/>
            </w:pPr>
            <w:r>
              <w:rPr>
                <w:rFonts w:ascii="맑은 고딕" w:hAnsi="맑은 고딕" w:eastAsia="맑은 고딕" w:cs="맑은 고딕"/>
                <w:sz w:val="18"/>
              </w:rPr>
              <w:t>의료데이터 중개 포털</w:t>
            </w:r>
          </w:p>
        </w:tc>
        <w:tc>
          <w:tcPr>
            <w:tcW w:type="dxa" w:w="4706"/>
          </w:tcPr>
          <w:p>
            <w:pPr>
              <w:spacing w:after="0" w:line="276" w:lineRule="auto"/>
            </w:pPr>
            <w:r>
              <w:rPr>
                <w:rFonts w:ascii="맑은 고딕" w:hAnsi="맑은 고딕" w:eastAsia="맑은 고딕" w:cs="맑은 고딕"/>
                <w:sz w:val="18"/>
              </w:rPr>
              <w:t>약 25만 건, 공급 병원 2곳, KTL 참여</w:t>
            </w:r>
          </w:p>
        </w:tc>
      </w:tr>
      <w:tr>
        <w:tc>
          <w:tcPr>
            <w:tcW w:type="dxa" w:w="4706"/>
          </w:tcPr>
          <w:p>
            <w:pPr>
              <w:spacing w:after="0" w:line="276" w:lineRule="auto"/>
            </w:pPr>
            <w:r>
              <w:rPr>
                <w:rFonts w:ascii="맑은 고딕" w:hAnsi="맑은 고딕" w:eastAsia="맑은 고딕" w:cs="맑은 고딕"/>
                <w:sz w:val="18"/>
              </w:rPr>
              <w:t>의료데이터 활용 활성화 협의체</w:t>
            </w:r>
          </w:p>
        </w:tc>
        <w:tc>
          <w:tcPr>
            <w:tcW w:type="dxa" w:w="4706"/>
          </w:tcPr>
          <w:p>
            <w:pPr>
              <w:spacing w:after="0" w:line="276" w:lineRule="auto"/>
            </w:pPr>
            <w:r>
              <w:rPr>
                <w:rFonts w:ascii="맑은 고딕" w:hAnsi="맑은 고딕" w:eastAsia="맑은 고딕" w:cs="맑은 고딕"/>
                <w:sz w:val="18"/>
              </w:rPr>
              <w:t>14개 기관, 상급종합병원 5곳</w:t>
            </w:r>
          </w:p>
        </w:tc>
      </w:tr>
      <w:tr>
        <w:tc>
          <w:tcPr>
            <w:tcW w:type="dxa" w:w="4706"/>
          </w:tcPr>
          <w:p>
            <w:pPr>
              <w:spacing w:after="0" w:line="276" w:lineRule="auto"/>
            </w:pPr>
            <w:r>
              <w:rPr>
                <w:rFonts w:ascii="맑은 고딕" w:hAnsi="맑은 고딕" w:eastAsia="맑은 고딕" w:cs="맑은 고딕"/>
                <w:sz w:val="18"/>
              </w:rPr>
              <w:t>공동 IRB·DRB</w:t>
            </w:r>
          </w:p>
        </w:tc>
        <w:tc>
          <w:tcPr>
            <w:tcW w:type="dxa" w:w="4706"/>
          </w:tcPr>
          <w:p>
            <w:pPr>
              <w:spacing w:after="0" w:line="276" w:lineRule="auto"/>
            </w:pPr>
            <w:r>
              <w:rPr>
                <w:rFonts w:ascii="맑은 고딕" w:hAnsi="맑은 고딕" w:eastAsia="맑은 고딕" w:cs="맑은 고딕"/>
                <w:sz w:val="18"/>
              </w:rPr>
              <w:t>케이메디허브 실무, KAIRB 통합심사 표준 절차(목표 20일)</w:t>
            </w:r>
          </w:p>
        </w:tc>
      </w:tr>
      <w:tr>
        <w:tc>
          <w:tcPr>
            <w:tcW w:type="dxa" w:w="4706"/>
          </w:tcPr>
          <w:p>
            <w:pPr>
              <w:spacing w:after="0" w:line="276" w:lineRule="auto"/>
            </w:pPr>
            <w:r>
              <w:rPr>
                <w:rFonts w:ascii="맑은 고딕" w:hAnsi="맑은 고딕" w:eastAsia="맑은 고딕" w:cs="맑은 고딕"/>
                <w:sz w:val="18"/>
              </w:rPr>
              <w:t>개인정보 이노베이션 존</w:t>
            </w:r>
          </w:p>
        </w:tc>
        <w:tc>
          <w:tcPr>
            <w:tcW w:type="dxa" w:w="4706"/>
          </w:tcPr>
          <w:p>
            <w:pPr>
              <w:spacing w:after="0" w:line="276" w:lineRule="auto"/>
            </w:pPr>
            <w:r>
              <w:rPr>
                <w:rFonts w:ascii="맑은 고딕" w:hAnsi="맑은 고딕" w:eastAsia="맑은 고딕" w:cs="맑은 고딕"/>
                <w:sz w:val="18"/>
              </w:rPr>
              <w:t>DIP(전국 10곳 중 1곳)</w:t>
            </w:r>
          </w:p>
        </w:tc>
      </w:tr>
      <w:tr>
        <w:tc>
          <w:tcPr>
            <w:tcW w:type="dxa" w:w="4706"/>
          </w:tcPr>
          <w:p>
            <w:pPr>
              <w:spacing w:after="0" w:line="276" w:lineRule="auto"/>
            </w:pPr>
            <w:r>
              <w:rPr>
                <w:rFonts w:ascii="맑은 고딕" w:hAnsi="맑은 고딕" w:eastAsia="맑은 고딕" w:cs="맑은 고딕"/>
                <w:sz w:val="18"/>
              </w:rPr>
              <w:t>데이터안심구역</w:t>
            </w:r>
          </w:p>
        </w:tc>
        <w:tc>
          <w:tcPr>
            <w:tcW w:type="dxa" w:w="4706"/>
          </w:tcPr>
          <w:p>
            <w:pPr>
              <w:spacing w:after="0" w:line="276" w:lineRule="auto"/>
            </w:pPr>
            <w:r>
              <w:rPr>
                <w:rFonts w:ascii="맑은 고딕" w:hAnsi="맑은 고딕" w:eastAsia="맑은 고딕" w:cs="맑은 고딕"/>
                <w:sz w:val="18"/>
              </w:rPr>
              <w:t>수성알파시티</w:t>
            </w:r>
          </w:p>
        </w:tc>
      </w:tr>
    </w:tbl>
    <w:p/>
    <w:p>
      <w:pPr>
        <w:pStyle w:val="Heading1"/>
      </w:pPr>
      <w:r>
        <w:rPr>
          <w:rFonts w:ascii="맑은 고딕" w:hAnsi="맑은 고딕" w:eastAsia="맑은 고딕" w:cs="맑은 고딕"/>
        </w:rPr>
        <w:t>4. 문제점</w:t>
      </w:r>
    </w:p>
    <w:p>
      <w:pPr>
        <w:pStyle w:val="ListBullet"/>
      </w:pPr>
      <w:r>
        <w:rPr>
          <w:rFonts w:ascii="맑은 고딕" w:hAnsi="맑은 고딕" w:eastAsia="맑은 고딕" w:cs="맑은 고딕"/>
          <w:b/>
        </w:rPr>
        <w:t>문제 1. 인허가용 다기관 검증 데이터를 얻는 공동 경로가 없음</w:t>
      </w:r>
      <w:r>
        <w:rPr>
          <w:rFonts w:ascii="맑은 고딕" w:hAnsi="맑은 고딕" w:eastAsia="맑은 고딕" w:cs="맑은 고딕"/>
          <w:vertAlign w:val="superscript"/>
        </w:rPr>
        <w:t>[4]</w:t>
      </w:r>
      <w:r>
        <w:rPr>
          <w:rFonts w:ascii="맑은 고딕" w:hAnsi="맑은 고딕" w:eastAsia="맑은 고딕" w:cs="맑은 고딕"/>
          <w:vertAlign w:val="superscript"/>
        </w:rPr>
        <w:t>[16]</w:t>
      </w:r>
      <w:r>
        <w:rPr>
          <w:rFonts w:ascii="맑은 고딕" w:hAnsi="맑은 고딕" w:eastAsia="맑은 고딕" w:cs="맑은 고딕"/>
          <w:vertAlign w:val="superscript"/>
        </w:rPr>
        <w:t>[17]</w:t>
      </w:r>
      <w:r>
        <w:rPr>
          <w:rFonts w:ascii="맑은 고딕" w:hAnsi="맑은 고딕" w:eastAsia="맑은 고딕" w:cs="맑은 고딕"/>
          <w:vertAlign w:val="superscript"/>
        </w:rPr>
        <w:t>[22]</w:t>
      </w:r>
      <w:r>
        <w:rPr>
          <w:rFonts w:ascii="맑은 고딕" w:hAnsi="맑은 고딕" w:eastAsia="맑은 고딕" w:cs="맑은 고딕"/>
          <w:vertAlign w:val="superscript"/>
        </w:rPr>
        <w:t>[23]</w:t>
      </w:r>
    </w:p>
    <w:p>
      <w:pPr>
        <w:pStyle w:val="ListBullet"/>
      </w:pPr>
      <w:r>
        <w:rPr>
          <w:rFonts w:ascii="맑은 고딕" w:hAnsi="맑은 고딕" w:eastAsia="맑은 고딕" w:cs="맑은 고딕"/>
        </w:rPr>
        <w:t>업체의 1순위 애로는 인허가인데</w:t>
      </w:r>
      <w:r>
        <w:rPr>
          <w:rFonts w:ascii="맑은 고딕" w:hAnsi="맑은 고딕" w:eastAsia="맑은 고딕" w:cs="맑은 고딕"/>
          <w:vertAlign w:val="superscript"/>
        </w:rPr>
        <w:t>[4]</w:t>
      </w:r>
      <w:r>
        <w:rPr>
          <w:rFonts w:ascii="맑은 고딕" w:hAnsi="맑은 고딕" w:eastAsia="맑은 고딕" w:cs="맑은 고딕"/>
        </w:rPr>
        <w:t>, 여러 병원의 데이터를 얻는 길은 대형 병원과 개별 협약을 맺는 방식에 기울어 있음</w:t>
      </w:r>
      <w:r>
        <w:rPr>
          <w:rFonts w:ascii="맑은 고딕" w:hAnsi="맑은 고딕" w:eastAsia="맑은 고딕" w:cs="맑은 고딕"/>
          <w:vertAlign w:val="superscript"/>
        </w:rPr>
        <w:t>[22]</w:t>
      </w:r>
      <w:r>
        <w:rPr>
          <w:rFonts w:ascii="맑은 고딕" w:hAnsi="맑은 고딕" w:eastAsia="맑은 고딕" w:cs="맑은 고딕"/>
          <w:vertAlign w:val="superscript"/>
        </w:rPr>
        <w:t>[23]</w:t>
      </w:r>
    </w:p>
    <w:p>
      <w:pPr>
        <w:pStyle w:val="ListBullet"/>
      </w:pPr>
      <w:r>
        <w:rPr>
          <w:rFonts w:ascii="맑은 고딕" w:hAnsi="맑은 고딕" w:eastAsia="맑은 고딕" w:cs="맑은 고딕"/>
        </w:rPr>
        <w:t>대구 협의체 상급종합병원 5곳 가운데 중개 포털에 데이터를 내는 병원은 2곳</w:t>
      </w:r>
      <w:r>
        <w:rPr>
          <w:rFonts w:ascii="맑은 고딕" w:hAnsi="맑은 고딕" w:eastAsia="맑은 고딕" w:cs="맑은 고딕"/>
          <w:vertAlign w:val="superscript"/>
        </w:rPr>
        <w:t>[16]</w:t>
      </w:r>
      <w:r>
        <w:rPr>
          <w:rFonts w:ascii="맑은 고딕" w:hAnsi="맑은 고딕" w:eastAsia="맑은 고딕" w:cs="맑은 고딕"/>
          <w:vertAlign w:val="superscript"/>
        </w:rPr>
        <w:t>[17]</w:t>
      </w:r>
    </w:p>
    <w:p>
      <w:pPr>
        <w:pStyle w:val="ListBullet"/>
      </w:pPr>
      <w:r>
        <w:rPr>
          <w:rFonts w:ascii="맑은 고딕" w:hAnsi="맑은 고딕" w:eastAsia="맑은 고딕" w:cs="맑은 고딕"/>
        </w:rPr>
        <w:t>원인은 병원의 제공 유인이 약하고 절차가 긴 구조</w:t>
      </w:r>
      <w:r>
        <w:rPr>
          <w:rFonts w:ascii="맑은 고딕" w:hAnsi="맑은 고딕" w:eastAsia="맑은 고딕" w:cs="맑은 고딕"/>
          <w:vertAlign w:val="superscript"/>
        </w:rPr>
        <w:t>[7]</w:t>
      </w:r>
      <w:r>
        <w:rPr>
          <w:rFonts w:ascii="맑은 고딕" w:hAnsi="맑은 고딕" w:eastAsia="맑은 고딕" w:cs="맑은 고딕"/>
          <w:vertAlign w:val="superscript"/>
        </w:rPr>
        <w:t>[11]</w:t>
      </w:r>
    </w:p>
    <w:p>
      <w:pPr>
        <w:pStyle w:val="ListBullet"/>
      </w:pPr>
      <w:r>
        <w:rPr>
          <w:rFonts w:ascii="맑은 고딕" w:hAnsi="맑은 고딕" w:eastAsia="맑은 고딕" w:cs="맑은 고딕"/>
          <w:b/>
        </w:rPr>
        <w:t>문제 2. 병원마다 되풀이되는 심의</w:t>
      </w:r>
      <w:r>
        <w:rPr>
          <w:rFonts w:ascii="맑은 고딕" w:hAnsi="맑은 고딕" w:eastAsia="맑은 고딕" w:cs="맑은 고딕"/>
          <w:vertAlign w:val="superscript"/>
        </w:rPr>
        <w:t>[15]</w:t>
      </w:r>
      <w:r>
        <w:rPr>
          <w:rFonts w:ascii="맑은 고딕" w:hAnsi="맑은 고딕" w:eastAsia="맑은 고딕" w:cs="맑은 고딕"/>
          <w:vertAlign w:val="superscript"/>
        </w:rPr>
        <w:t>[19]</w:t>
      </w:r>
    </w:p>
    <w:p>
      <w:pPr>
        <w:pStyle w:val="ListBullet"/>
      </w:pPr>
      <w:r>
        <w:rPr>
          <w:rFonts w:ascii="맑은 고딕" w:hAnsi="맑은 고딕" w:eastAsia="맑은 고딕" w:cs="맑은 고딕"/>
        </w:rPr>
        <w:t>여러 병원 데이터를 쓰려면 병원마다 심의를 따로 받아 대구에서도 병원별로 30일 이상 걸림</w:t>
      </w:r>
      <w:r>
        <w:rPr>
          <w:rFonts w:ascii="맑은 고딕" w:hAnsi="맑은 고딕" w:eastAsia="맑은 고딕" w:cs="맑은 고딕"/>
          <w:vertAlign w:val="superscript"/>
        </w:rPr>
        <w:t>[19]</w:t>
      </w:r>
    </w:p>
    <w:p>
      <w:pPr>
        <w:pStyle w:val="ListBullet"/>
      </w:pPr>
      <w:r>
        <w:rPr>
          <w:rFonts w:ascii="맑은 고딕" w:hAnsi="맑은 고딕" w:eastAsia="맑은 고딕" w:cs="맑은 고딕"/>
        </w:rPr>
        <w:t>연구 윤리를 보는 IRB와 병원이 개인정보처리자로서 반출을 판단하는 DRB는 책임 주체가 달라, 공용 DRB가 도입돼도</w:t>
      </w:r>
      <w:r>
        <w:rPr>
          <w:rFonts w:ascii="맑은 고딕" w:hAnsi="맑은 고딕" w:eastAsia="맑은 고딕" w:cs="맑은 고딕"/>
          <w:vertAlign w:val="superscript"/>
        </w:rPr>
        <w:t>[15]</w:t>
      </w:r>
      <w:r>
        <w:rPr>
          <w:rFonts w:ascii="맑은 고딕" w:hAnsi="맑은 고딕" w:eastAsia="맑은 고딕" w:cs="맑은 고딕"/>
        </w:rPr>
        <w:t xml:space="preserve"> 병원별 판단이 남음</w:t>
      </w:r>
      <w:r>
        <w:rPr>
          <w:rFonts w:ascii="맑은 고딕" w:hAnsi="맑은 고딕" w:eastAsia="맑은 고딕" w:cs="맑은 고딕"/>
          <w:vertAlign w:val="superscript"/>
        </w:rPr>
        <w:t>[15]</w:t>
      </w:r>
      <w:r>
        <w:rPr>
          <w:rFonts w:ascii="맑은 고딕" w:hAnsi="맑은 고딕" w:eastAsia="맑은 고딕" w:cs="맑은 고딕"/>
          <w:vertAlign w:val="superscript"/>
        </w:rPr>
        <w:t>[19]</w:t>
      </w:r>
    </w:p>
    <w:p>
      <w:pPr>
        <w:pStyle w:val="ListBullet"/>
      </w:pPr>
      <w:r>
        <w:rPr>
          <w:rFonts w:ascii="맑은 고딕" w:hAnsi="맑은 고딕" w:eastAsia="맑은 고딕" w:cs="맑은 고딕"/>
          <w:b/>
        </w:rPr>
        <w:t>문제 3. 대구 의료 AI 기업의 수와 수요를 보여 주는 자료가 없음</w:t>
      </w:r>
      <w:r>
        <w:rPr>
          <w:rFonts w:ascii="맑은 고딕" w:hAnsi="맑은 고딕" w:eastAsia="맑은 고딕" w:cs="맑은 고딕"/>
          <w:vertAlign w:val="superscript"/>
        </w:rPr>
        <w:t>[30]</w:t>
      </w:r>
      <w:r>
        <w:rPr>
          <w:rFonts w:ascii="맑은 고딕" w:hAnsi="맑은 고딕" w:eastAsia="맑은 고딕" w:cs="맑은 고딕"/>
          <w:vertAlign w:val="superscript"/>
        </w:rPr>
        <w:t>[31]</w:t>
      </w:r>
    </w:p>
    <w:p>
      <w:pPr>
        <w:pStyle w:val="ListBullet"/>
      </w:pPr>
      <w:r>
        <w:rPr>
          <w:rFonts w:ascii="맑은 고딕" w:hAnsi="맑은 고딕" w:eastAsia="맑은 고딕" w:cs="맑은 고딕"/>
        </w:rPr>
        <w:t>기업 사전은 공장등록 기업만 담고</w:t>
      </w:r>
      <w:r>
        <w:rPr>
          <w:rFonts w:ascii="맑은 고딕" w:hAnsi="맑은 고딕" w:eastAsia="맑은 고딕" w:cs="맑은 고딕"/>
          <w:vertAlign w:val="superscript"/>
        </w:rPr>
        <w:t>[30]</w:t>
      </w:r>
      <w:r>
        <w:rPr>
          <w:rFonts w:ascii="맑은 고딕" w:hAnsi="맑은 고딕" w:eastAsia="맑은 고딕" w:cs="맑은 고딕"/>
        </w:rPr>
        <w:t>, 지원 기록은 수집한 공개 명단에 한정됨</w:t>
      </w:r>
      <w:r>
        <w:rPr>
          <w:rFonts w:ascii="맑은 고딕" w:hAnsi="맑은 고딕" w:eastAsia="맑은 고딕" w:cs="맑은 고딕"/>
          <w:vertAlign w:val="superscript"/>
        </w:rPr>
        <w:t>[31]</w:t>
      </w:r>
    </w:p>
    <w:p>
      <w:r>
        <w:rPr>
          <w:rFonts w:ascii="맑은 고딕" w:hAnsi="맑은 고딕" w:eastAsia="맑은 고딕" w:cs="맑은 고딕"/>
          <w:b/>
        </w:rPr>
        <w:t>표 3. 문제점과 대응 방안</w:t>
      </w:r>
      <w:r>
        <w:rPr>
          <w:rFonts w:ascii="맑은 고딕" w:hAnsi="맑은 고딕" w:eastAsia="맑은 고딕" w:cs="맑은 고딕"/>
          <w:vertAlign w:val="superscript"/>
        </w:rPr>
        <w:t>[4]</w:t>
      </w:r>
      <w:r>
        <w:rPr>
          <w:rFonts w:ascii="맑은 고딕" w:hAnsi="맑은 고딕" w:eastAsia="맑은 고딕" w:cs="맑은 고딕"/>
          <w:vertAlign w:val="superscript"/>
        </w:rPr>
        <w:t>[15]</w:t>
      </w:r>
      <w:r>
        <w:rPr>
          <w:rFonts w:ascii="맑은 고딕" w:hAnsi="맑은 고딕" w:eastAsia="맑은 고딕" w:cs="맑은 고딕"/>
          <w:vertAlign w:val="superscript"/>
        </w:rPr>
        <w:t>[16]</w:t>
      </w:r>
      <w:r>
        <w:rPr>
          <w:rFonts w:ascii="맑은 고딕" w:hAnsi="맑은 고딕" w:eastAsia="맑은 고딕" w:cs="맑은 고딕"/>
          <w:vertAlign w:val="superscript"/>
        </w:rPr>
        <w:t>[19]</w:t>
      </w:r>
      <w:r>
        <w:rPr>
          <w:rFonts w:ascii="맑은 고딕" w:hAnsi="맑은 고딕" w:eastAsia="맑은 고딕" w:cs="맑은 고딕"/>
          <w:vertAlign w:val="superscript"/>
        </w:rPr>
        <w:t>[30]</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E8ECF2"/>
          </w:tcPr>
          <w:p>
            <w:pPr>
              <w:spacing w:after="0" w:line="276" w:lineRule="auto"/>
              <w:jc w:val="center"/>
            </w:pPr>
            <w:r>
              <w:rPr>
                <w:rFonts w:ascii="맑은 고딕" w:hAnsi="맑은 고딕" w:eastAsia="맑은 고딕" w:cs="맑은 고딕"/>
                <w:b/>
                <w:sz w:val="18"/>
              </w:rPr>
              <w:t>문제</w:t>
            </w:r>
          </w:p>
        </w:tc>
        <w:tc>
          <w:tcPr>
            <w:tcW w:type="dxa" w:w="3137"/>
            <w:shd w:val="clear" w:color="auto" w:fill="E8ECF2"/>
          </w:tcPr>
          <w:p>
            <w:pPr>
              <w:spacing w:after="0" w:line="276" w:lineRule="auto"/>
              <w:jc w:val="center"/>
            </w:pPr>
            <w:r>
              <w:rPr>
                <w:rFonts w:ascii="맑은 고딕" w:hAnsi="맑은 고딕" w:eastAsia="맑은 고딕" w:cs="맑은 고딕"/>
                <w:b/>
                <w:sz w:val="18"/>
              </w:rPr>
              <w:t>현황 수치</w:t>
            </w:r>
          </w:p>
        </w:tc>
        <w:tc>
          <w:tcPr>
            <w:tcW w:type="dxa" w:w="3137"/>
            <w:shd w:val="clear" w:color="auto" w:fill="E8ECF2"/>
          </w:tcPr>
          <w:p>
            <w:pPr>
              <w:spacing w:after="0" w:line="276" w:lineRule="auto"/>
              <w:jc w:val="center"/>
            </w:pPr>
            <w:r>
              <w:rPr>
                <w:rFonts w:ascii="맑은 고딕" w:hAnsi="맑은 고딕" w:eastAsia="맑은 고딕" w:cs="맑은 고딕"/>
                <w:b/>
                <w:sz w:val="18"/>
              </w:rPr>
              <w:t>대응 방안</w:t>
            </w:r>
          </w:p>
        </w:tc>
      </w:tr>
      <w:tr>
        <w:tc>
          <w:tcPr>
            <w:tcW w:type="dxa" w:w="3137"/>
          </w:tcPr>
          <w:p>
            <w:pPr>
              <w:spacing w:after="0" w:line="276" w:lineRule="auto"/>
            </w:pPr>
            <w:r>
              <w:rPr>
                <w:rFonts w:ascii="맑은 고딕" w:hAnsi="맑은 고딕" w:eastAsia="맑은 고딕" w:cs="맑은 고딕"/>
                <w:sz w:val="18"/>
              </w:rPr>
              <w:t>1. 검증 데이터 공동 경로 없음</w:t>
            </w:r>
          </w:p>
        </w:tc>
        <w:tc>
          <w:tcPr>
            <w:tcW w:type="dxa" w:w="3137"/>
          </w:tcPr>
          <w:p>
            <w:pPr>
              <w:spacing w:after="0" w:line="276" w:lineRule="auto"/>
            </w:pPr>
            <w:r>
              <w:rPr>
                <w:rFonts w:ascii="맑은 고딕" w:hAnsi="맑은 고딕" w:eastAsia="맑은 고딕" w:cs="맑은 고딕"/>
                <w:sz w:val="18"/>
              </w:rPr>
              <w:t>인허가 지원 요구 85.4%, 포털 공급 병원 2곳/5곳</w:t>
            </w:r>
          </w:p>
        </w:tc>
        <w:tc>
          <w:tcPr>
            <w:tcW w:type="dxa" w:w="3137"/>
          </w:tcPr>
          <w:p>
            <w:pPr>
              <w:spacing w:after="0" w:line="276" w:lineRule="auto"/>
            </w:pPr>
            <w:r>
              <w:rPr>
                <w:rFonts w:ascii="맑은 고딕" w:hAnsi="맑은 고딕" w:eastAsia="맑은 고딕" w:cs="맑은 고딕"/>
                <w:sz w:val="18"/>
              </w:rPr>
              <w:t>방안 1</w:t>
            </w:r>
          </w:p>
        </w:tc>
      </w:tr>
      <w:tr>
        <w:tc>
          <w:tcPr>
            <w:tcW w:type="dxa" w:w="3137"/>
          </w:tcPr>
          <w:p>
            <w:pPr>
              <w:spacing w:after="0" w:line="276" w:lineRule="auto"/>
            </w:pPr>
            <w:r>
              <w:rPr>
                <w:rFonts w:ascii="맑은 고딕" w:hAnsi="맑은 고딕" w:eastAsia="맑은 고딕" w:cs="맑은 고딕"/>
                <w:sz w:val="18"/>
              </w:rPr>
              <w:t>2. 심의 중복</w:t>
            </w:r>
          </w:p>
        </w:tc>
        <w:tc>
          <w:tcPr>
            <w:tcW w:type="dxa" w:w="3137"/>
          </w:tcPr>
          <w:p>
            <w:pPr>
              <w:spacing w:after="0" w:line="276" w:lineRule="auto"/>
            </w:pPr>
            <w:r>
              <w:rPr>
                <w:rFonts w:ascii="맑은 고딕" w:hAnsi="맑은 고딕" w:eastAsia="맑은 고딕" w:cs="맑은 고딕"/>
                <w:sz w:val="18"/>
              </w:rPr>
              <w:t>병원별 30일 이상</w:t>
            </w:r>
          </w:p>
        </w:tc>
        <w:tc>
          <w:tcPr>
            <w:tcW w:type="dxa" w:w="3137"/>
          </w:tcPr>
          <w:p>
            <w:pPr>
              <w:spacing w:after="0" w:line="276" w:lineRule="auto"/>
            </w:pPr>
            <w:r>
              <w:rPr>
                <w:rFonts w:ascii="맑은 고딕" w:hAnsi="맑은 고딕" w:eastAsia="맑은 고딕" w:cs="맑은 고딕"/>
                <w:sz w:val="18"/>
              </w:rPr>
              <w:t>방안 2</w:t>
            </w:r>
          </w:p>
        </w:tc>
      </w:tr>
      <w:tr>
        <w:tc>
          <w:tcPr>
            <w:tcW w:type="dxa" w:w="3137"/>
          </w:tcPr>
          <w:p>
            <w:pPr>
              <w:spacing w:after="0" w:line="276" w:lineRule="auto"/>
            </w:pPr>
            <w:r>
              <w:rPr>
                <w:rFonts w:ascii="맑은 고딕" w:hAnsi="맑은 고딕" w:eastAsia="맑은 고딕" w:cs="맑은 고딕"/>
                <w:sz w:val="18"/>
              </w:rPr>
              <w:t>3. 기업 수·수요 자료 없음</w:t>
            </w:r>
          </w:p>
        </w:tc>
        <w:tc>
          <w:tcPr>
            <w:tcW w:type="dxa" w:w="3137"/>
          </w:tcPr>
          <w:p>
            <w:pPr>
              <w:spacing w:after="0" w:line="276" w:lineRule="auto"/>
            </w:pPr>
            <w:r>
              <w:rPr>
                <w:rFonts w:ascii="맑은 고딕" w:hAnsi="맑은 고딕" w:eastAsia="맑은 고딕" w:cs="맑은 고딕"/>
                <w:sz w:val="18"/>
              </w:rPr>
              <w:t>기업 사전 122곳(공장등록만)</w:t>
            </w:r>
          </w:p>
        </w:tc>
        <w:tc>
          <w:tcPr>
            <w:tcW w:type="dxa" w:w="3137"/>
          </w:tcPr>
          <w:p>
            <w:pPr>
              <w:spacing w:after="0" w:line="276" w:lineRule="auto"/>
            </w:pPr>
            <w:r>
              <w:rPr>
                <w:rFonts w:ascii="맑은 고딕" w:hAnsi="맑은 고딕" w:eastAsia="맑은 고딕" w:cs="맑은 고딕"/>
                <w:sz w:val="18"/>
              </w:rPr>
              <w:t>방안 3</w:t>
            </w:r>
          </w:p>
        </w:tc>
      </w:tr>
    </w:tbl>
    <w:p/>
    <w:p>
      <w:pPr>
        <w:pStyle w:val="Heading1"/>
      </w:pPr>
      <w:r>
        <w:rPr>
          <w:rFonts w:ascii="맑은 고딕" w:hAnsi="맑은 고딕" w:eastAsia="맑은 고딕" w:cs="맑은 고딕"/>
        </w:rPr>
        <w:t>5. 해결방안</w:t>
      </w:r>
    </w:p>
    <w:p>
      <w:pPr>
        <w:keepNext/>
        <w:jc w:val="center"/>
      </w:pPr>
      <w:r>
        <w:drawing>
          <wp:inline xmlns:a="http://schemas.openxmlformats.org/drawingml/2006/main" xmlns:pic="http://schemas.openxmlformats.org/drawingml/2006/picture">
            <wp:extent cx="5760000" cy="1814400"/>
            <wp:docPr id="5" name="Picture 5" descr="/figures/2026-09-29-policy-healthcare-ai-data/fig21.svg" title="방안 1의 흐름 4단계: 협의체 병원의 추출·가명처리와 공동 IRB, 학습용과 분리한 검증 데이터셋, 통제된 공간에서 기업 성능 평가, 성능 검증 자료로 인허가 신청"/>
            <wp:cNvGraphicFramePr>
              <a:graphicFrameLocks noChangeAspect="1"/>
            </wp:cNvGraphicFramePr>
            <a:graphic>
              <a:graphicData uri="http://schemas.openxmlformats.org/drawingml/2006/picture">
                <pic:pic>
                  <pic:nvPicPr>
                    <pic:cNvPr id="0" name="fig21.png"/>
                    <pic:cNvPicPr/>
                  </pic:nvPicPr>
                  <pic:blipFill>
                    <a:blip r:embed="rId13"/>
                    <a:stretch>
                      <a:fillRect/>
                    </a:stretch>
                  </pic:blipFill>
                  <pic:spPr>
                    <a:xfrm>
                      <a:off x="0" y="0"/>
                      <a:ext cx="5760000" cy="1814400"/>
                    </a:xfrm>
                    <a:prstGeom prst="rect"/>
                  </pic:spPr>
                </pic:pic>
              </a:graphicData>
            </a:graphic>
          </wp:inline>
        </w:drawing>
      </w:r>
    </w:p>
    <w:p>
      <w:pPr>
        <w:pStyle w:val="Caption"/>
        <w:jc w:val="center"/>
      </w:pPr>
      <w:r>
        <w:rPr>
          <w:rFonts w:ascii="맑은 고딕" w:hAnsi="맑은 고딕" w:eastAsia="맑은 고딕" w:cs="맑은 고딕"/>
          <w:color w:val="444444"/>
          <w:sz w:val="18"/>
        </w:rPr>
        <w:t>그림 5. 방안 1: 인허가용 외부 검증 데이터의 흐름 (자료: 자체 작성)</w:t>
      </w:r>
    </w:p>
    <w:p>
      <w:pPr>
        <w:pStyle w:val="Heading2"/>
      </w:pPr>
      <w:r>
        <w:rPr>
          <w:rFonts w:ascii="맑은 고딕" w:hAnsi="맑은 고딕" w:eastAsia="맑은 고딕" w:cs="맑은 고딕"/>
        </w:rPr>
        <w:t>방안 1. 협의체를 인허가용 외부 검증 데이터 거점으로</w:t>
      </w:r>
    </w:p>
    <w:p>
      <w:pPr>
        <w:pStyle w:val="ListBullet"/>
      </w:pPr>
      <w:r>
        <w:rPr>
          <w:rFonts w:ascii="맑은 고딕" w:hAnsi="맑은 고딕" w:eastAsia="맑은 고딕" w:cs="맑은 고딕"/>
          <w:b/>
        </w:rPr>
        <w:t>목표:</w:t>
      </w:r>
      <w:r>
        <w:rPr>
          <w:rFonts w:ascii="맑은 고딕" w:hAnsi="맑은 고딕" w:eastAsia="맑은 고딕" w:cs="맑은 고딕"/>
        </w:rPr>
        <w:t xml:space="preserve"> 대구 의료기기·의료 AI 기업이 협의체 병원의 다기관 검증 데이터로 제품 성능을 평가하고 그 결과를 인허가 자료로 씀</w:t>
      </w:r>
      <w:r>
        <w:rPr>
          <w:rFonts w:ascii="맑은 고딕" w:hAnsi="맑은 고딕" w:eastAsia="맑은 고딕" w:cs="맑은 고딕"/>
          <w:vertAlign w:val="superscript"/>
        </w:rPr>
        <w:t>[5]</w:t>
      </w:r>
      <w:r>
        <w:rPr>
          <w:rFonts w:ascii="맑은 고딕" w:hAnsi="맑은 고딕" w:eastAsia="맑은 고딕" w:cs="맑은 고딕"/>
          <w:vertAlign w:val="superscript"/>
        </w:rPr>
        <w:t>[17]</w:t>
      </w:r>
    </w:p>
    <w:p>
      <w:pPr>
        <w:pStyle w:val="ListBullet"/>
      </w:pPr>
      <w:r>
        <w:rPr>
          <w:rFonts w:ascii="맑은 고딕" w:hAnsi="맑은 고딕" w:eastAsia="맑은 고딕" w:cs="맑은 고딕"/>
          <w:b/>
        </w:rPr>
        <w:t>현황:</w:t>
      </w:r>
      <w:r>
        <w:rPr>
          <w:rFonts w:ascii="맑은 고딕" w:hAnsi="맑은 고딕" w:eastAsia="맑은 고딕" w:cs="맑은 고딕"/>
        </w:rPr>
        <w:t xml:space="preserve"> 업체의 1순위 애로는 인허가(85.4%)이고</w:t>
      </w:r>
      <w:r>
        <w:rPr>
          <w:rFonts w:ascii="맑은 고딕" w:hAnsi="맑은 고딕" w:eastAsia="맑은 고딕" w:cs="맑은 고딕"/>
          <w:vertAlign w:val="superscript"/>
        </w:rPr>
        <w:t>[4]</w:t>
      </w:r>
      <w:r>
        <w:rPr>
          <w:rFonts w:ascii="맑은 고딕" w:hAnsi="맑은 고딕" w:eastAsia="맑은 고딕" w:cs="맑은 고딕"/>
        </w:rPr>
        <w:t>, 협의체 상급종합병원 5곳 가운데 포털에 데이터를 내는 병원은 2곳</w:t>
      </w:r>
      <w:r>
        <w:rPr>
          <w:rFonts w:ascii="맑은 고딕" w:hAnsi="맑은 고딕" w:eastAsia="맑은 고딕" w:cs="맑은 고딕"/>
          <w:vertAlign w:val="superscript"/>
        </w:rPr>
        <w:t>[16]</w:t>
      </w:r>
      <w:r>
        <w:rPr>
          <w:rFonts w:ascii="맑은 고딕" w:hAnsi="맑은 고딕" w:eastAsia="맑은 고딕" w:cs="맑은 고딕"/>
          <w:vertAlign w:val="superscript"/>
        </w:rPr>
        <w:t>[17]</w:t>
      </w:r>
    </w:p>
    <w:p>
      <w:pPr>
        <w:pStyle w:val="ListBullet"/>
      </w:pPr>
      <w:r>
        <w:rPr>
          <w:rFonts w:ascii="맑은 고딕" w:hAnsi="맑은 고딕" w:eastAsia="맑은 고딕" w:cs="맑은 고딕"/>
          <w:b/>
        </w:rPr>
        <w:t>원인:</w:t>
      </w:r>
      <w:r>
        <w:rPr>
          <w:rFonts w:ascii="맑은 고딕" w:hAnsi="맑은 고딕" w:eastAsia="맑은 고딕" w:cs="맑은 고딕"/>
        </w:rPr>
        <w:t xml:space="preserve"> 병원은 데이터를 내놓을 유인이 약하고</w:t>
      </w:r>
      <w:r>
        <w:rPr>
          <w:rFonts w:ascii="맑은 고딕" w:hAnsi="맑은 고딕" w:eastAsia="맑은 고딕" w:cs="맑은 고딕"/>
          <w:vertAlign w:val="superscript"/>
        </w:rPr>
        <w:t>[7]</w:t>
      </w:r>
      <w:r>
        <w:rPr>
          <w:rFonts w:ascii="맑은 고딕" w:hAnsi="맑은 고딕" w:eastAsia="맑은 고딕" w:cs="맑은 고딕"/>
        </w:rPr>
        <w:t>, 여러 병원 데이터를 쓰려면 병원마다 심의를 거쳐야 함</w:t>
      </w:r>
      <w:r>
        <w:rPr>
          <w:rFonts w:ascii="맑은 고딕" w:hAnsi="맑은 고딕" w:eastAsia="맑은 고딕" w:cs="맑은 고딕"/>
          <w:vertAlign w:val="superscript"/>
        </w:rPr>
        <w:t>[19]</w:t>
      </w:r>
    </w:p>
    <w:p>
      <w:pPr>
        <w:pStyle w:val="ListBullet"/>
      </w:pPr>
      <w:r>
        <w:rPr>
          <w:rFonts w:ascii="맑은 고딕" w:hAnsi="맑은 고딕" w:eastAsia="맑은 고딕" w:cs="맑은 고딕"/>
          <w:b/>
        </w:rPr>
        <w:t>작동 방식:</w:t>
      </w:r>
      <w:r>
        <w:rPr>
          <w:rFonts w:ascii="맑은 고딕" w:hAnsi="맑은 고딕" w:eastAsia="맑은 고딕" w:cs="맑은 고딕"/>
        </w:rPr>
        <w:t xml:space="preserve"> 검증 데이터는 학습 데이터보다 양이 적고 병원 밖으로 나가지 않아도 되므로 병원 부담이 작음. 기업은 모델을 가져와 통제된 공간에서 평가하고 결과만 받음. 식약처가 성능 검증 자료로 허가받은 사례를 기준으로 삼은 만큼</w:t>
      </w:r>
      <w:r>
        <w:rPr>
          <w:rFonts w:ascii="맑은 고딕" w:hAnsi="맑은 고딕" w:eastAsia="맑은 고딕" w:cs="맑은 고딕"/>
          <w:vertAlign w:val="superscript"/>
        </w:rPr>
        <w:t>[5]</w:t>
      </w:r>
      <w:r>
        <w:rPr>
          <w:rFonts w:ascii="맑은 고딕" w:hAnsi="맑은 고딕" w:eastAsia="맑은 고딕" w:cs="맑은 고딕"/>
        </w:rPr>
        <w:t xml:space="preserve"> 이 결과가 인허가에 바로 쓰임. 대구에는 상급종합병원 5곳의 협의체</w:t>
      </w:r>
      <w:r>
        <w:rPr>
          <w:rFonts w:ascii="맑은 고딕" w:hAnsi="맑은 고딕" w:eastAsia="맑은 고딕" w:cs="맑은 고딕"/>
          <w:vertAlign w:val="superscript"/>
        </w:rPr>
        <w:t>[17]</w:t>
      </w:r>
      <w:r>
        <w:rPr>
          <w:rFonts w:ascii="맑은 고딕" w:hAnsi="맑은 고딕" w:eastAsia="맑은 고딕" w:cs="맑은 고딕"/>
        </w:rPr>
        <w:t>, 공동 심의 창구</w:t>
      </w:r>
      <w:r>
        <w:rPr>
          <w:rFonts w:ascii="맑은 고딕" w:hAnsi="맑은 고딕" w:eastAsia="맑은 고딕" w:cs="맑은 고딕"/>
          <w:vertAlign w:val="superscript"/>
        </w:rPr>
        <w:t>[18]</w:t>
      </w:r>
      <w:r>
        <w:rPr>
          <w:rFonts w:ascii="맑은 고딕" w:hAnsi="맑은 고딕" w:eastAsia="맑은 고딕" w:cs="맑은 고딕"/>
        </w:rPr>
        <w:t>, 시험·인증기관인 KTL이 참여한 중개 컨소시엄</w:t>
      </w:r>
      <w:r>
        <w:rPr>
          <w:rFonts w:ascii="맑은 고딕" w:hAnsi="맑은 고딕" w:eastAsia="맑은 고딕" w:cs="맑은 고딕"/>
          <w:vertAlign w:val="superscript"/>
        </w:rPr>
        <w:t>[16]</w:t>
      </w:r>
      <w:r>
        <w:rPr>
          <w:rFonts w:ascii="맑은 고딕" w:hAnsi="맑은 고딕" w:eastAsia="맑은 고딕" w:cs="맑은 고딕"/>
        </w:rPr>
        <w:t>, 이노베이션 존</w:t>
      </w:r>
      <w:r>
        <w:rPr>
          <w:rFonts w:ascii="맑은 고딕" w:hAnsi="맑은 고딕" w:eastAsia="맑은 고딕" w:cs="맑은 고딕"/>
          <w:vertAlign w:val="superscript"/>
        </w:rPr>
        <w:t>[12]</w:t>
      </w:r>
      <w:r>
        <w:rPr>
          <w:rFonts w:ascii="맑은 고딕" w:hAnsi="맑은 고딕" w:eastAsia="맑은 고딕" w:cs="맑은 고딕"/>
        </w:rPr>
        <w:t>이 있어 시설을 새로 지을 필요가 없음</w:t>
      </w:r>
    </w:p>
    <w:p>
      <w:pPr>
        <w:pStyle w:val="ListBullet"/>
      </w:pPr>
      <w:r>
        <w:rPr>
          <w:rFonts w:ascii="맑은 고딕" w:hAnsi="맑은 고딕" w:eastAsia="맑은 고딕" w:cs="맑은 고딕"/>
          <w:b/>
        </w:rPr>
        <w:t>기대효과:</w:t>
      </w:r>
      <w:r>
        <w:rPr>
          <w:rFonts w:ascii="맑은 고딕" w:hAnsi="맑은 고딕" w:eastAsia="맑은 고딕" w:cs="맑은 고딕"/>
        </w:rPr>
        <w:t xml:space="preserve"> 대구 기업이 개별 병원 협약 없이 다기관 검증을 받을 수 있게 됨. 검증 데이터셋 수와 이를 쓴 인허가 신청 건수는 조사 뒤 정함</w:t>
      </w:r>
      <w:r>
        <w:rPr>
          <w:rFonts w:ascii="맑은 고딕" w:hAnsi="맑은 고딕" w:eastAsia="맑은 고딕" w:cs="맑은 고딕"/>
          <w:vertAlign w:val="superscript"/>
        </w:rPr>
        <w:t>[5]</w:t>
      </w:r>
      <w:r>
        <w:rPr>
          <w:rFonts w:ascii="맑은 고딕" w:hAnsi="맑은 고딕" w:eastAsia="맑은 고딕" w:cs="맑은 고딕"/>
          <w:vertAlign w:val="superscript"/>
        </w:rPr>
        <w:t>[19]</w:t>
      </w:r>
    </w:p>
    <w:p>
      <w:pPr>
        <w:pStyle w:val="ListBullet"/>
      </w:pPr>
      <w:r>
        <w:rPr>
          <w:rFonts w:ascii="맑은 고딕" w:hAnsi="맑은 고딕" w:eastAsia="맑은 고딕" w:cs="맑은 고딕"/>
          <w:b/>
        </w:rPr>
        <w:t>내용:</w:t>
      </w:r>
    </w:p>
    <w:p>
      <w:pPr>
        <w:pStyle w:val="ListBullet"/>
      </w:pPr>
      <w:r>
        <w:rPr>
          <w:rFonts w:ascii="맑은 고딕" w:hAnsi="맑은 고딕" w:eastAsia="맑은 고딕" w:cs="맑은 고딕"/>
        </w:rPr>
        <w:t>협의체 병원·케이메디허브·KTL이 질환별 검증 데이터셋 목록(영상·신호 종류, 라벨 기준, 참여 병원 수)을 정해 공개. 데이터셋 수는 조사 뒤 정함</w:t>
      </w:r>
      <w:r>
        <w:rPr>
          <w:rFonts w:ascii="맑은 고딕" w:hAnsi="맑은 고딕" w:eastAsia="맑은 고딕" w:cs="맑은 고딕"/>
          <w:vertAlign w:val="superscript"/>
        </w:rPr>
        <w:t>[16]</w:t>
      </w:r>
      <w:r>
        <w:rPr>
          <w:rFonts w:ascii="맑은 고딕" w:hAnsi="맑은 고딕" w:eastAsia="맑은 고딕" w:cs="맑은 고딕"/>
          <w:vertAlign w:val="superscript"/>
        </w:rPr>
        <w:t>[18]</w:t>
      </w:r>
    </w:p>
    <w:p>
      <w:pPr>
        <w:pStyle w:val="ListBullet"/>
      </w:pPr>
      <w:r>
        <w:rPr>
          <w:rFonts w:ascii="맑은 고딕" w:hAnsi="맑은 고딕" w:eastAsia="맑은 고딕" w:cs="맑은 고딕"/>
        </w:rPr>
        <w:t>검증 데이터는 학습에 쓰지 않도록 학습용과 분리해 보관하고, 기업은 DIP 이노베이션 존이나 데이터안심구역 안에서 평가</w:t>
      </w:r>
      <w:r>
        <w:rPr>
          <w:rFonts w:ascii="맑은 고딕" w:hAnsi="맑은 고딕" w:eastAsia="맑은 고딕" w:cs="맑은 고딕"/>
          <w:vertAlign w:val="superscript"/>
        </w:rPr>
        <w:t>[12]</w:t>
      </w:r>
      <w:r>
        <w:rPr>
          <w:rFonts w:ascii="맑은 고딕" w:hAnsi="맑은 고딕" w:eastAsia="맑은 고딕" w:cs="맑은 고딕"/>
          <w:vertAlign w:val="superscript"/>
        </w:rPr>
        <w:t>[20]</w:t>
      </w:r>
    </w:p>
    <w:p>
      <w:pPr>
        <w:pStyle w:val="ListBullet"/>
      </w:pPr>
      <w:r>
        <w:rPr>
          <w:rFonts w:ascii="맑은 고딕" w:hAnsi="맑은 고딕" w:eastAsia="맑은 고딕" w:cs="맑은 고딕"/>
        </w:rPr>
        <w:t>기업의 평가 비용은 의료데이터 이용권(중심병원 협약)과 중개 사업 기업 맞춤 과제로 연결</w:t>
      </w:r>
      <w:r>
        <w:rPr>
          <w:rFonts w:ascii="맑은 고딕" w:hAnsi="맑은 고딕" w:eastAsia="맑은 고딕" w:cs="맑은 고딕"/>
          <w:vertAlign w:val="superscript"/>
        </w:rPr>
        <w:t>[13]</w:t>
      </w:r>
      <w:r>
        <w:rPr>
          <w:rFonts w:ascii="맑은 고딕" w:hAnsi="맑은 고딕" w:eastAsia="맑은 고딕" w:cs="맑은 고딕"/>
          <w:vertAlign w:val="superscript"/>
        </w:rPr>
        <w:t>[14]</w:t>
      </w:r>
      <w:r>
        <w:rPr>
          <w:rFonts w:ascii="맑은 고딕" w:hAnsi="맑은 고딕" w:eastAsia="맑은 고딕" w:cs="맑은 고딕"/>
          <w:vertAlign w:val="superscript"/>
        </w:rPr>
        <w:t>[16]</w:t>
      </w:r>
    </w:p>
    <w:p>
      <w:pPr>
        <w:pStyle w:val="ListBullet"/>
      </w:pPr>
      <w:r>
        <w:rPr>
          <w:rFonts w:ascii="맑은 고딕" w:hAnsi="맑은 고딕" w:eastAsia="맑은 고딕" w:cs="맑은 고딕"/>
        </w:rPr>
        <w:t>데이터셋 구성과 라벨 기준을 식약처 사전 상담과 맞추도록 케이메디허브가 창구 역할</w:t>
      </w:r>
      <w:r>
        <w:rPr>
          <w:rFonts w:ascii="맑은 고딕" w:hAnsi="맑은 고딕" w:eastAsia="맑은 고딕" w:cs="맑은 고딕"/>
          <w:vertAlign w:val="superscript"/>
        </w:rPr>
        <w:t>[5]</w:t>
      </w:r>
      <w:r>
        <w:rPr>
          <w:rFonts w:ascii="맑은 고딕" w:hAnsi="맑은 고딕" w:eastAsia="맑은 고딕" w:cs="맑은 고딕"/>
          <w:vertAlign w:val="superscript"/>
        </w:rPr>
        <w:t>[18]</w:t>
      </w:r>
    </w:p>
    <w:p>
      <w:pPr>
        <w:pStyle w:val="ListBullet"/>
      </w:pPr>
      <w:r>
        <w:rPr>
          <w:rFonts w:ascii="맑은 고딕" w:hAnsi="맑은 고딕" w:eastAsia="맑은 고딕" w:cs="맑은 고딕"/>
          <w:b/>
        </w:rPr>
        <w:t>근거:</w:t>
      </w:r>
      <w:r>
        <w:rPr>
          <w:rFonts w:ascii="맑은 고딕" w:hAnsi="맑은 고딕" w:eastAsia="맑은 고딕" w:cs="맑은 고딕"/>
        </w:rPr>
        <w:t xml:space="preserve"> 1절 인허가 병목과 식약처 기준</w:t>
      </w:r>
      <w:r>
        <w:rPr>
          <w:rFonts w:ascii="맑은 고딕" w:hAnsi="맑은 고딕" w:eastAsia="맑은 고딕" w:cs="맑은 고딕"/>
          <w:vertAlign w:val="superscript"/>
        </w:rPr>
        <w:t>[4]</w:t>
      </w:r>
      <w:r>
        <w:rPr>
          <w:rFonts w:ascii="맑은 고딕" w:hAnsi="맑은 고딕" w:eastAsia="맑은 고딕" w:cs="맑은 고딕"/>
          <w:vertAlign w:val="superscript"/>
        </w:rPr>
        <w:t>[5]</w:t>
      </w:r>
      <w:r>
        <w:rPr>
          <w:rFonts w:ascii="맑은 고딕" w:hAnsi="맑은 고딕" w:eastAsia="맑은 고딕" w:cs="맑은 고딕"/>
        </w:rPr>
        <w:t>, 2절 병원 유인 부족</w:t>
      </w:r>
      <w:r>
        <w:rPr>
          <w:rFonts w:ascii="맑은 고딕" w:hAnsi="맑은 고딕" w:eastAsia="맑은 고딕" w:cs="맑은 고딕"/>
          <w:vertAlign w:val="superscript"/>
        </w:rPr>
        <w:t>[7]</w:t>
      </w:r>
      <w:r>
        <w:rPr>
          <w:rFonts w:ascii="맑은 고딕" w:hAnsi="맑은 고딕" w:eastAsia="맑은 고딕" w:cs="맑은 고딕"/>
        </w:rPr>
        <w:t>, 3절 협의체·포털</w:t>
      </w:r>
      <w:r>
        <w:rPr>
          <w:rFonts w:ascii="맑은 고딕" w:hAnsi="맑은 고딕" w:eastAsia="맑은 고딕" w:cs="맑은 고딕"/>
          <w:vertAlign w:val="superscript"/>
        </w:rPr>
        <w:t>[16]</w:t>
      </w:r>
      <w:r>
        <w:rPr>
          <w:rFonts w:ascii="맑은 고딕" w:hAnsi="맑은 고딕" w:eastAsia="맑은 고딕" w:cs="맑은 고딕"/>
          <w:vertAlign w:val="superscript"/>
        </w:rPr>
        <w:t>[17]</w:t>
      </w:r>
    </w:p>
    <w:p>
      <w:pPr>
        <w:pStyle w:val="ListBullet"/>
      </w:pPr>
      <w:r>
        <w:rPr>
          <w:rFonts w:ascii="맑은 고딕" w:hAnsi="맑은 고딕" w:eastAsia="맑은 고딕" w:cs="맑은 고딕"/>
          <w:b/>
        </w:rPr>
        <w:t>추진:</w:t>
      </w:r>
      <w:r>
        <w:rPr>
          <w:rFonts w:ascii="맑은 고딕" w:hAnsi="맑은 고딕" w:eastAsia="맑은 고딕" w:cs="맑은 고딕"/>
        </w:rPr>
        <w:t xml:space="preserve"> 2026년 4분기 협의체 안에서 질환 후보와 데이터셋 기준 협의, 2027년 상반기 첫 데이터셋 구성, 2027년 하반기 기업 평가 시작</w:t>
      </w:r>
    </w:p>
    <w:p>
      <w:pPr>
        <w:pStyle w:val="ListBullet"/>
      </w:pPr>
      <w:r>
        <w:rPr>
          <w:rFonts w:ascii="맑은 고딕" w:hAnsi="맑은 고딕" w:eastAsia="맑은 고딕" w:cs="맑은 고딕"/>
          <w:b/>
        </w:rPr>
        <w:t>대상:</w:t>
      </w:r>
      <w:r>
        <w:rPr>
          <w:rFonts w:ascii="맑은 고딕" w:hAnsi="맑은 고딕" w:eastAsia="맑은 고딕" w:cs="맑은 고딕"/>
        </w:rPr>
        <w:t xml:space="preserve"> 기업 사전 KSIC 271(27195 제외) 122곳 가운데 KSIC 27111·27112 12곳을 먼저, 중개 사업 참여 기업, 의료 AI 소프트웨어 기업은 방안 3 조사 뒤 추가</w:t>
      </w:r>
      <w:r>
        <w:rPr>
          <w:rFonts w:ascii="맑은 고딕" w:hAnsi="맑은 고딕" w:eastAsia="맑은 고딕" w:cs="맑은 고딕"/>
          <w:vertAlign w:val="superscript"/>
        </w:rPr>
        <w:t>[16]</w:t>
      </w:r>
      <w:r>
        <w:rPr>
          <w:rFonts w:ascii="맑은 고딕" w:hAnsi="맑은 고딕" w:eastAsia="맑은 고딕" w:cs="맑은 고딕"/>
          <w:vertAlign w:val="superscript"/>
        </w:rPr>
        <w:t>[30]</w:t>
      </w:r>
    </w:p>
    <w:p>
      <w:pPr>
        <w:pStyle w:val="ListBullet"/>
      </w:pPr>
      <w:r>
        <w:rPr>
          <w:rFonts w:ascii="맑은 고딕" w:hAnsi="맑은 고딕" w:eastAsia="맑은 고딕" w:cs="맑은 고딕"/>
          <w:b/>
        </w:rPr>
        <w:t>대안:</w:t>
      </w:r>
      <w:r>
        <w:rPr>
          <w:rFonts w:ascii="맑은 고딕" w:hAnsi="맑은 고딕" w:eastAsia="맑은 고딕" w:cs="맑은 고딕"/>
        </w:rPr>
        <w:t xml:space="preserve"> 학습 데이터를 대량 개방하는 방법은 병원의 유인 부족과 긴 결합 절차를 그대로 안고 가서 택하지 않음</w:t>
      </w:r>
      <w:r>
        <w:rPr>
          <w:rFonts w:ascii="맑은 고딕" w:hAnsi="맑은 고딕" w:eastAsia="맑은 고딕" w:cs="맑은 고딕"/>
          <w:vertAlign w:val="superscript"/>
        </w:rPr>
        <w:t>[7]</w:t>
      </w:r>
      <w:r>
        <w:rPr>
          <w:rFonts w:ascii="맑은 고딕" w:hAnsi="맑은 고딕" w:eastAsia="맑은 고딕" w:cs="맑은 고딕"/>
          <w:vertAlign w:val="superscript"/>
        </w:rPr>
        <w:t>[11]</w:t>
      </w:r>
      <w:r>
        <w:rPr>
          <w:rFonts w:ascii="맑은 고딕" w:hAnsi="맑은 고딕" w:eastAsia="맑은 고딕" w:cs="맑은 고딕"/>
        </w:rPr>
        <w:t>. 기업별 개별 협약은 대기업 방식이라 50인 미만이 97곳인 대구 기업 구조에 맞지 않음</w:t>
      </w:r>
      <w:r>
        <w:rPr>
          <w:rFonts w:ascii="맑은 고딕" w:hAnsi="맑은 고딕" w:eastAsia="맑은 고딕" w:cs="맑은 고딕"/>
          <w:vertAlign w:val="superscript"/>
        </w:rPr>
        <w:t>[22]</w:t>
      </w:r>
      <w:r>
        <w:rPr>
          <w:rFonts w:ascii="맑은 고딕" w:hAnsi="맑은 고딕" w:eastAsia="맑은 고딕" w:cs="맑은 고딕"/>
          <w:vertAlign w:val="superscript"/>
        </w:rPr>
        <w:t>[30]</w:t>
      </w:r>
    </w:p>
    <w:p>
      <w:pPr>
        <w:pStyle w:val="Heading2"/>
      </w:pPr>
      <w:r>
        <w:rPr>
          <w:rFonts w:ascii="맑은 고딕" w:hAnsi="맑은 고딕" w:eastAsia="맑은 고딕" w:cs="맑은 고딕"/>
        </w:rPr>
        <w:t>방안 2. 공동 IRB 승인을 협의체 병원이 인정</w:t>
      </w:r>
    </w:p>
    <w:p>
      <w:pPr>
        <w:pStyle w:val="ListBullet"/>
      </w:pPr>
      <w:r>
        <w:rPr>
          <w:rFonts w:ascii="맑은 고딕" w:hAnsi="맑은 고딕" w:eastAsia="맑은 고딕" w:cs="맑은 고딕"/>
          <w:b/>
        </w:rPr>
        <w:t>목표:</w:t>
      </w:r>
      <w:r>
        <w:rPr>
          <w:rFonts w:ascii="맑은 고딕" w:hAnsi="맑은 고딕" w:eastAsia="맑은 고딕" w:cs="맑은 고딕"/>
        </w:rPr>
        <w:t xml:space="preserve"> 대구 기업의 다기관 연구 요청에서 IRB 심의를 한 번, 20일 안에 끝냄</w:t>
      </w:r>
      <w:r>
        <w:rPr>
          <w:rFonts w:ascii="맑은 고딕" w:hAnsi="맑은 고딕" w:eastAsia="맑은 고딕" w:cs="맑은 고딕"/>
          <w:vertAlign w:val="superscript"/>
        </w:rPr>
        <w:t>[19]</w:t>
      </w:r>
    </w:p>
    <w:p>
      <w:pPr>
        <w:pStyle w:val="ListBullet"/>
      </w:pPr>
      <w:r>
        <w:rPr>
          <w:rFonts w:ascii="맑은 고딕" w:hAnsi="맑은 고딕" w:eastAsia="맑은 고딕" w:cs="맑은 고딕"/>
          <w:b/>
        </w:rPr>
        <w:t>현황:</w:t>
      </w:r>
      <w:r>
        <w:rPr>
          <w:rFonts w:ascii="맑은 고딕" w:hAnsi="맑은 고딕" w:eastAsia="맑은 고딕" w:cs="맑은 고딕"/>
        </w:rPr>
        <w:t xml:space="preserve"> 지금은 병원마다 따로 심사를 받아 병원별로 30일 이상 걸림</w:t>
      </w:r>
      <w:r>
        <w:rPr>
          <w:rFonts w:ascii="맑은 고딕" w:hAnsi="맑은 고딕" w:eastAsia="맑은 고딕" w:cs="맑은 고딕"/>
          <w:vertAlign w:val="superscript"/>
        </w:rPr>
        <w:t>[19]</w:t>
      </w:r>
    </w:p>
    <w:p>
      <w:pPr>
        <w:pStyle w:val="ListBullet"/>
      </w:pPr>
      <w:r>
        <w:rPr>
          <w:rFonts w:ascii="맑은 고딕" w:hAnsi="맑은 고딕" w:eastAsia="맑은 고딕" w:cs="맑은 고딕"/>
          <w:b/>
        </w:rPr>
        <w:t>원인:</w:t>
      </w:r>
      <w:r>
        <w:rPr>
          <w:rFonts w:ascii="맑은 고딕" w:hAnsi="맑은 고딕" w:eastAsia="맑은 고딕" w:cs="맑은 고딕"/>
        </w:rPr>
        <w:t xml:space="preserve"> 여러 병원 데이터를 쓰는 연구도 병원마다 심의를 거치는 구조</w:t>
      </w:r>
      <w:r>
        <w:rPr>
          <w:rFonts w:ascii="맑은 고딕" w:hAnsi="맑은 고딕" w:eastAsia="맑은 고딕" w:cs="맑은 고딕"/>
          <w:vertAlign w:val="superscript"/>
        </w:rPr>
        <w:t>[15]</w:t>
      </w:r>
      <w:r>
        <w:rPr>
          <w:rFonts w:ascii="맑은 고딕" w:hAnsi="맑은 고딕" w:eastAsia="맑은 고딕" w:cs="맑은 고딕"/>
          <w:vertAlign w:val="superscript"/>
        </w:rPr>
        <w:t>[19]</w:t>
      </w:r>
    </w:p>
    <w:p>
      <w:pPr>
        <w:pStyle w:val="ListBullet"/>
      </w:pPr>
      <w:r>
        <w:rPr>
          <w:rFonts w:ascii="맑은 고딕" w:hAnsi="맑은 고딕" w:eastAsia="맑은 고딕" w:cs="맑은 고딕"/>
          <w:b/>
        </w:rPr>
        <w:t>작동 방식:</w:t>
      </w:r>
      <w:r>
        <w:rPr>
          <w:rFonts w:ascii="맑은 고딕" w:hAnsi="맑은 고딕" w:eastAsia="맑은 고딕" w:cs="맑은 고딕"/>
        </w:rPr>
        <w:t xml:space="preserve"> IRB는 연구 윤리를 보는 심의라 참여 병원이 공동 IRB 승인을 자기 승인으로 인정하면 되풀이가 사라짐. 대구에는 케이메디허브의 공동 IRB·DRB 실무</w:t>
      </w:r>
      <w:r>
        <w:rPr>
          <w:rFonts w:ascii="맑은 고딕" w:hAnsi="맑은 고딕" w:eastAsia="맑은 고딕" w:cs="맑은 고딕"/>
          <w:vertAlign w:val="superscript"/>
        </w:rPr>
        <w:t>[18]</w:t>
      </w:r>
      <w:r>
        <w:rPr>
          <w:rFonts w:ascii="맑은 고딕" w:hAnsi="맑은 고딕" w:eastAsia="맑은 고딕" w:cs="맑은 고딕"/>
        </w:rPr>
        <w:t>와 KAIRB 통합심사 표준 절차(목표 20일)</w:t>
      </w:r>
      <w:r>
        <w:rPr>
          <w:rFonts w:ascii="맑은 고딕" w:hAnsi="맑은 고딕" w:eastAsia="맑은 고딕" w:cs="맑은 고딕"/>
          <w:vertAlign w:val="superscript"/>
        </w:rPr>
        <w:t>[19]</w:t>
      </w:r>
      <w:r>
        <w:rPr>
          <w:rFonts w:ascii="맑은 고딕" w:hAnsi="맑은 고딕" w:eastAsia="맑은 고딕" w:cs="맑은 고딕"/>
        </w:rPr>
        <w:t>가 이미 있어 인정 협약과 처리 기한만 더하면 됨. DRB는 병원이 반출 책임을 지므로 이번 협약에서 떼어 공용 DRB 인정 협의로 다룸</w:t>
      </w:r>
      <w:r>
        <w:rPr>
          <w:rFonts w:ascii="맑은 고딕" w:hAnsi="맑은 고딕" w:eastAsia="맑은 고딕" w:cs="맑은 고딕"/>
          <w:vertAlign w:val="superscript"/>
        </w:rPr>
        <w:t>[15]</w:t>
      </w:r>
    </w:p>
    <w:p>
      <w:pPr>
        <w:pStyle w:val="ListBullet"/>
      </w:pPr>
      <w:r>
        <w:rPr>
          <w:rFonts w:ascii="맑은 고딕" w:hAnsi="맑은 고딕" w:eastAsia="맑은 고딕" w:cs="맑은 고딕"/>
          <w:b/>
        </w:rPr>
        <w:t>기대효과:</w:t>
      </w:r>
      <w:r>
        <w:rPr>
          <w:rFonts w:ascii="맑은 고딕" w:hAnsi="맑은 고딕" w:eastAsia="맑은 고딕" w:cs="맑은 고딕"/>
        </w:rPr>
        <w:t xml:space="preserve"> 다기관 요청 1건당 IRB 심의가 병원 수만큼에서 1회로, 기간은 병원별 30일 이상에서 20일 이내로 줄어듦</w:t>
      </w:r>
      <w:r>
        <w:rPr>
          <w:rFonts w:ascii="맑은 고딕" w:hAnsi="맑은 고딕" w:eastAsia="맑은 고딕" w:cs="맑은 고딕"/>
          <w:vertAlign w:val="superscript"/>
        </w:rPr>
        <w:t>[19]</w:t>
      </w:r>
    </w:p>
    <w:p>
      <w:pPr>
        <w:pStyle w:val="ListBullet"/>
      </w:pPr>
      <w:r>
        <w:rPr>
          <w:rFonts w:ascii="맑은 고딕" w:hAnsi="맑은 고딕" w:eastAsia="맑은 고딕" w:cs="맑은 고딕"/>
          <w:b/>
        </w:rPr>
        <w:t>내용:</w:t>
      </w:r>
    </w:p>
    <w:p>
      <w:pPr>
        <w:pStyle w:val="ListBullet"/>
      </w:pPr>
      <w:r>
        <w:rPr>
          <w:rFonts w:ascii="맑은 고딕" w:hAnsi="맑은 고딕" w:eastAsia="맑은 고딕" w:cs="맑은 고딕"/>
        </w:rPr>
        <w:t>협의체 5개 병원이 '공동 IRB 인정 협약'을 맺고, 접수 뒤 20일 처리 기한과 보완 요청 1회 원칙을 규정에 둠</w:t>
      </w:r>
      <w:r>
        <w:rPr>
          <w:rFonts w:ascii="맑은 고딕" w:hAnsi="맑은 고딕" w:eastAsia="맑은 고딕" w:cs="맑은 고딕"/>
          <w:vertAlign w:val="superscript"/>
        </w:rPr>
        <w:t>[17]</w:t>
      </w:r>
      <w:r>
        <w:rPr>
          <w:rFonts w:ascii="맑은 고딕" w:hAnsi="맑은 고딕" w:eastAsia="맑은 고딕" w:cs="맑은 고딕"/>
          <w:vertAlign w:val="superscript"/>
        </w:rPr>
        <w:t>[19]</w:t>
      </w:r>
    </w:p>
    <w:p>
      <w:pPr>
        <w:pStyle w:val="ListBullet"/>
      </w:pPr>
      <w:r>
        <w:rPr>
          <w:rFonts w:ascii="맑은 고딕" w:hAnsi="맑은 고딕" w:eastAsia="맑은 고딕" w:cs="맑은 고딕"/>
        </w:rPr>
        <w:t>DRB는 병원별 판단을 유지하되, 협의체 공동 DRB를 개정 가이드라인의 공용 DRB로 인정받는 방안을 복지부와 협의</w:t>
      </w:r>
      <w:r>
        <w:rPr>
          <w:rFonts w:ascii="맑은 고딕" w:hAnsi="맑은 고딕" w:eastAsia="맑은 고딕" w:cs="맑은 고딕"/>
          <w:vertAlign w:val="superscript"/>
        </w:rPr>
        <w:t>[15]</w:t>
      </w:r>
    </w:p>
    <w:p>
      <w:pPr>
        <w:pStyle w:val="ListBullet"/>
      </w:pPr>
      <w:r>
        <w:rPr>
          <w:rFonts w:ascii="맑은 고딕" w:hAnsi="맑은 고딕" w:eastAsia="맑은 고딕" w:cs="맑은 고딕"/>
        </w:rPr>
        <w:t>심의 수수료는 공동 심의 1건 기준으로 받고 병원별 중복 청구를 없앰. 금액은 협의체 병원의 현행 수수료를 조사 뒤 정함</w:t>
      </w:r>
    </w:p>
    <w:p>
      <w:pPr>
        <w:keepNext/>
        <w:jc w:val="center"/>
      </w:pPr>
      <w:r>
        <w:drawing>
          <wp:inline xmlns:a="http://schemas.openxmlformats.org/drawingml/2006/main" xmlns:pic="http://schemas.openxmlformats.org/drawingml/2006/picture">
            <wp:extent cx="5760000" cy="2080800"/>
            <wp:docPr id="6" name="Picture 6" descr="/figures/2026-09-29-policy-healthcare-ai-data/fig19.svg" title="다기관 요청의 심의 현행과 방안 2 비교표: IRB는 병원마다 따로에서 공동 IRB 1회로, DRB는 병원 책임 유지와 공용 DRB 협의, 창구는 협의체 공동 창구로"/>
            <wp:cNvGraphicFramePr>
              <a:graphicFrameLocks noChangeAspect="1"/>
            </wp:cNvGraphicFramePr>
            <a:graphic>
              <a:graphicData uri="http://schemas.openxmlformats.org/drawingml/2006/picture">
                <pic:pic>
                  <pic:nvPicPr>
                    <pic:cNvPr id="0" name="fig19.png"/>
                    <pic:cNvPicPr/>
                  </pic:nvPicPr>
                  <pic:blipFill>
                    <a:blip r:embed="rId14"/>
                    <a:stretch>
                      <a:fillRect/>
                    </a:stretch>
                  </pic:blipFill>
                  <pic:spPr>
                    <a:xfrm>
                      <a:off x="0" y="0"/>
                      <a:ext cx="5760000" cy="2080800"/>
                    </a:xfrm>
                    <a:prstGeom prst="rect"/>
                  </pic:spPr>
                </pic:pic>
              </a:graphicData>
            </a:graphic>
          </wp:inline>
        </w:drawing>
      </w:r>
    </w:p>
    <w:p>
      <w:pPr>
        <w:pStyle w:val="Caption"/>
        <w:jc w:val="center"/>
      </w:pPr>
      <w:r>
        <w:rPr>
          <w:rFonts w:ascii="맑은 고딕" w:hAnsi="맑은 고딕" w:eastAsia="맑은 고딕" w:cs="맑은 고딕"/>
          <w:color w:val="444444"/>
          <w:sz w:val="18"/>
        </w:rPr>
        <w:t>그림 6. 다기관 요청의 심의: 현행과 방안 2 (자료: 케이메디허브·KAIRB 협력 보도, 보건의료데이터 활용 가이드라인 개정 보도)</w:t>
      </w:r>
    </w:p>
    <w:p>
      <w:pPr>
        <w:pStyle w:val="ListBullet"/>
      </w:pPr>
      <w:r>
        <w:rPr>
          <w:rFonts w:ascii="맑은 고딕" w:hAnsi="맑은 고딕" w:eastAsia="맑은 고딕" w:cs="맑은 고딕"/>
          <w:b/>
        </w:rPr>
        <w:t>근거:</w:t>
      </w:r>
      <w:r>
        <w:rPr>
          <w:rFonts w:ascii="맑은 고딕" w:hAnsi="맑은 고딕" w:eastAsia="맑은 고딕" w:cs="맑은 고딕"/>
        </w:rPr>
        <w:t xml:space="preserve"> 4절 문제 2</w:t>
      </w:r>
      <w:r>
        <w:rPr>
          <w:rFonts w:ascii="맑은 고딕" w:hAnsi="맑은 고딕" w:eastAsia="맑은 고딕" w:cs="맑은 고딕"/>
          <w:vertAlign w:val="superscript"/>
        </w:rPr>
        <w:t>[15]</w:t>
      </w:r>
      <w:r>
        <w:rPr>
          <w:rFonts w:ascii="맑은 고딕" w:hAnsi="맑은 고딕" w:eastAsia="맑은 고딕" w:cs="맑은 고딕"/>
          <w:vertAlign w:val="superscript"/>
        </w:rPr>
        <w:t>[18]</w:t>
      </w:r>
      <w:r>
        <w:rPr>
          <w:rFonts w:ascii="맑은 고딕" w:hAnsi="맑은 고딕" w:eastAsia="맑은 고딕" w:cs="맑은 고딕"/>
          <w:vertAlign w:val="superscript"/>
        </w:rPr>
        <w:t>[19]</w:t>
      </w:r>
    </w:p>
    <w:p>
      <w:pPr>
        <w:pStyle w:val="ListBullet"/>
      </w:pPr>
      <w:r>
        <w:rPr>
          <w:rFonts w:ascii="맑은 고딕" w:hAnsi="맑은 고딕" w:eastAsia="맑은 고딕" w:cs="맑은 고딕"/>
          <w:b/>
        </w:rPr>
        <w:t>추진:</w:t>
      </w:r>
      <w:r>
        <w:rPr>
          <w:rFonts w:ascii="맑은 고딕" w:hAnsi="맑은 고딕" w:eastAsia="맑은 고딕" w:cs="맑은 고딕"/>
        </w:rPr>
        <w:t xml:space="preserve"> 2026년 4분기 협약안과 규정 정비, 2027년 상반기 협약 체결과 실증</w:t>
      </w:r>
    </w:p>
    <w:p>
      <w:pPr>
        <w:pStyle w:val="ListBullet"/>
      </w:pPr>
      <w:r>
        <w:rPr>
          <w:rFonts w:ascii="맑은 고딕" w:hAnsi="맑은 고딕" w:eastAsia="맑은 고딕" w:cs="맑은 고딕"/>
          <w:b/>
        </w:rPr>
        <w:t>대상:</w:t>
      </w:r>
      <w:r>
        <w:rPr>
          <w:rFonts w:ascii="맑은 고딕" w:hAnsi="맑은 고딕" w:eastAsia="맑은 고딕" w:cs="맑은 고딕"/>
        </w:rPr>
        <w:t xml:space="preserve"> 협의체 병원 5곳</w:t>
      </w:r>
      <w:r>
        <w:rPr>
          <w:rFonts w:ascii="맑은 고딕" w:hAnsi="맑은 고딕" w:eastAsia="맑은 고딕" w:cs="맑은 고딕"/>
          <w:vertAlign w:val="superscript"/>
        </w:rPr>
        <w:t>[17]</w:t>
      </w:r>
      <w:r>
        <w:rPr>
          <w:rFonts w:ascii="맑은 고딕" w:hAnsi="맑은 고딕" w:eastAsia="맑은 고딕" w:cs="맑은 고딕"/>
        </w:rPr>
        <w:t>, 방안 1과 같은 기업군</w:t>
      </w:r>
      <w:r>
        <w:rPr>
          <w:rFonts w:ascii="맑은 고딕" w:hAnsi="맑은 고딕" w:eastAsia="맑은 고딕" w:cs="맑은 고딕"/>
          <w:vertAlign w:val="superscript"/>
        </w:rPr>
        <w:t>[30]</w:t>
      </w:r>
    </w:p>
    <w:p>
      <w:pPr>
        <w:pStyle w:val="ListBullet"/>
      </w:pPr>
      <w:r>
        <w:rPr>
          <w:rFonts w:ascii="맑은 고딕" w:hAnsi="맑은 고딕" w:eastAsia="맑은 고딕" w:cs="맑은 고딕"/>
          <w:b/>
        </w:rPr>
        <w:t>대안:</w:t>
      </w:r>
      <w:r>
        <w:rPr>
          <w:rFonts w:ascii="맑은 고딕" w:hAnsi="맑은 고딕" w:eastAsia="맑은 고딕" w:cs="맑은 고딕"/>
        </w:rPr>
        <w:t xml:space="preserve"> IRB와 DRB를 한 번에 통합하는 방법은 병원의 개인정보처리자 책임을 옮겨야 해 협약만으로는 어려워 단계를 나눔</w:t>
      </w:r>
      <w:r>
        <w:rPr>
          <w:rFonts w:ascii="맑은 고딕" w:hAnsi="맑은 고딕" w:eastAsia="맑은 고딕" w:cs="맑은 고딕"/>
          <w:vertAlign w:val="superscript"/>
        </w:rPr>
        <w:t>[15]</w:t>
      </w:r>
    </w:p>
    <w:p>
      <w:pPr>
        <w:pStyle w:val="Heading2"/>
      </w:pPr>
      <w:r>
        <w:rPr>
          <w:rFonts w:ascii="맑은 고딕" w:hAnsi="맑은 고딕" w:eastAsia="맑은 고딕" w:cs="맑은 고딕"/>
        </w:rPr>
        <w:t>방안 3. (조사 방안) 대구 의료 AI 기업의 수와 데이터 수요</w:t>
      </w:r>
    </w:p>
    <w:p>
      <w:pPr>
        <w:pStyle w:val="ListBullet"/>
      </w:pPr>
      <w:r>
        <w:rPr>
          <w:rFonts w:ascii="맑은 고딕" w:hAnsi="맑은 고딕" w:eastAsia="맑은 고딕" w:cs="맑은 고딕"/>
          <w:b/>
        </w:rPr>
        <w:t>무엇을:</w:t>
      </w:r>
      <w:r>
        <w:rPr>
          <w:rFonts w:ascii="맑은 고딕" w:hAnsi="맑은 고딕" w:eastAsia="맑은 고딕" w:cs="맑은 고딕"/>
        </w:rPr>
        <w:t xml:space="preserve"> 공장등록이 없는 소프트웨어 기업을 포함한 대구 의료 AI 기업 수, 제품의 인허가 단계, 필요한 데이터 종류(학습용·검증용), 이용권 신청·선정 여부, 협력 병원 확보 여부, 데이터 비용</w:t>
      </w:r>
      <w:r>
        <w:rPr>
          <w:rFonts w:ascii="맑은 고딕" w:hAnsi="맑은 고딕" w:eastAsia="맑은 고딕" w:cs="맑은 고딕"/>
          <w:vertAlign w:val="superscript"/>
        </w:rPr>
        <w:t>[8]</w:t>
      </w:r>
      <w:r>
        <w:rPr>
          <w:rFonts w:ascii="맑은 고딕" w:hAnsi="맑은 고딕" w:eastAsia="맑은 고딕" w:cs="맑은 고딕"/>
          <w:vertAlign w:val="superscript"/>
        </w:rPr>
        <w:t>[13]</w:t>
      </w:r>
      <w:r>
        <w:rPr>
          <w:rFonts w:ascii="맑은 고딕" w:hAnsi="맑은 고딕" w:eastAsia="맑은 고딕" w:cs="맑은 고딕"/>
          <w:vertAlign w:val="superscript"/>
        </w:rPr>
        <w:t>[30]</w:t>
      </w:r>
    </w:p>
    <w:p>
      <w:pPr>
        <w:pStyle w:val="ListBullet"/>
      </w:pPr>
      <w:r>
        <w:rPr>
          <w:rFonts w:ascii="맑은 고딕" w:hAnsi="맑은 고딕" w:eastAsia="맑은 고딕" w:cs="맑은 고딕"/>
          <w:b/>
        </w:rPr>
        <w:t>왜:</w:t>
      </w:r>
      <w:r>
        <w:rPr>
          <w:rFonts w:ascii="맑은 고딕" w:hAnsi="맑은 고딕" w:eastAsia="맑은 고딕" w:cs="맑은 고딕"/>
        </w:rPr>
        <w:t xml:space="preserve"> 방안 1의 데이터셋 수와 참여 기업 수, 다음 단계(학습 데이터 제공과 병원 보상)를 정할 기준값이 없음</w:t>
      </w:r>
      <w:r>
        <w:rPr>
          <w:rFonts w:ascii="맑은 고딕" w:hAnsi="맑은 고딕" w:eastAsia="맑은 고딕" w:cs="맑은 고딕"/>
          <w:vertAlign w:val="superscript"/>
        </w:rPr>
        <w:t>[30]</w:t>
      </w:r>
      <w:r>
        <w:rPr>
          <w:rFonts w:ascii="맑은 고딕" w:hAnsi="맑은 고딕" w:eastAsia="맑은 고딕" w:cs="맑은 고딕"/>
          <w:vertAlign w:val="superscript"/>
        </w:rPr>
        <w:t>[31]</w:t>
      </w:r>
    </w:p>
    <w:p>
      <w:pPr>
        <w:pStyle w:val="ListBullet"/>
      </w:pPr>
      <w:r>
        <w:rPr>
          <w:rFonts w:ascii="맑은 고딕" w:hAnsi="맑은 고딕" w:eastAsia="맑은 고딕" w:cs="맑은 고딕"/>
          <w:b/>
        </w:rPr>
        <w:t>병원 쪽 항목:</w:t>
      </w:r>
      <w:r>
        <w:rPr>
          <w:rFonts w:ascii="맑은 고딕" w:hAnsi="맑은 고딕" w:eastAsia="맑은 고딕" w:cs="맑은 고딕"/>
        </w:rPr>
        <w:t xml:space="preserve"> 협의체 병원 5곳의 의료데이터 중심병원 컨소시엄 참여 여부와 이용권 협약 가능 여부</w:t>
      </w:r>
      <w:r>
        <w:rPr>
          <w:rFonts w:ascii="맑은 고딕" w:hAnsi="맑은 고딕" w:eastAsia="맑은 고딕" w:cs="맑은 고딕"/>
          <w:vertAlign w:val="superscript"/>
        </w:rPr>
        <w:t>[13]</w:t>
      </w:r>
      <w:r>
        <w:rPr>
          <w:rFonts w:ascii="맑은 고딕" w:hAnsi="맑은 고딕" w:eastAsia="맑은 고딕" w:cs="맑은 고딕"/>
          <w:vertAlign w:val="superscript"/>
        </w:rPr>
        <w:t>[17]</w:t>
      </w:r>
    </w:p>
    <w:p>
      <w:pPr>
        <w:pStyle w:val="ListBullet"/>
      </w:pPr>
      <w:r>
        <w:rPr>
          <w:rFonts w:ascii="맑은 고딕" w:hAnsi="맑은 고딕" w:eastAsia="맑은 고딕" w:cs="맑은 고딕"/>
          <w:b/>
        </w:rPr>
        <w:t>누가·어떻게:</w:t>
      </w:r>
      <w:r>
        <w:rPr>
          <w:rFonts w:ascii="맑은 고딕" w:hAnsi="맑은 고딕" w:eastAsia="맑은 고딕" w:cs="맑은 고딕"/>
        </w:rPr>
        <w:t xml:space="preserve"> 대구시·DIP·케이메디허브가 중개 사업 참여 기업, 케이메디허브 입주 기업, 기업 사전 122곳, 연구개발특구·수성알파시티 입주 소프트웨어 기업을 대상으로 설문·면담</w:t>
      </w:r>
      <w:r>
        <w:rPr>
          <w:rFonts w:ascii="맑은 고딕" w:hAnsi="맑은 고딕" w:eastAsia="맑은 고딕" w:cs="맑은 고딕"/>
          <w:vertAlign w:val="superscript"/>
        </w:rPr>
        <w:t>[16]</w:t>
      </w:r>
      <w:r>
        <w:rPr>
          <w:rFonts w:ascii="맑은 고딕" w:hAnsi="맑은 고딕" w:eastAsia="맑은 고딕" w:cs="맑은 고딕"/>
          <w:vertAlign w:val="superscript"/>
        </w:rPr>
        <w:t>[30]</w:t>
      </w:r>
    </w:p>
    <w:p>
      <w:pPr>
        <w:pStyle w:val="ListBullet"/>
      </w:pPr>
      <w:r>
        <w:rPr>
          <w:rFonts w:ascii="맑은 고딕" w:hAnsi="맑은 고딕" w:eastAsia="맑은 고딕" w:cs="맑은 고딕"/>
          <w:b/>
        </w:rPr>
        <w:t>근거:</w:t>
      </w:r>
      <w:r>
        <w:rPr>
          <w:rFonts w:ascii="맑은 고딕" w:hAnsi="맑은 고딕" w:eastAsia="맑은 고딕" w:cs="맑은 고딕"/>
        </w:rPr>
        <w:t xml:space="preserve"> 4절 문제 3</w:t>
      </w:r>
      <w:r>
        <w:rPr>
          <w:rFonts w:ascii="맑은 고딕" w:hAnsi="맑은 고딕" w:eastAsia="맑은 고딕" w:cs="맑은 고딕"/>
          <w:vertAlign w:val="superscript"/>
        </w:rPr>
        <w:t>[30]</w:t>
      </w:r>
      <w:r>
        <w:rPr>
          <w:rFonts w:ascii="맑은 고딕" w:hAnsi="맑은 고딕" w:eastAsia="맑은 고딕" w:cs="맑은 고딕"/>
          <w:vertAlign w:val="superscript"/>
        </w:rPr>
        <w:t>[31]</w:t>
      </w:r>
    </w:p>
    <w:p>
      <w:pPr>
        <w:pStyle w:val="ListBullet"/>
      </w:pPr>
      <w:r>
        <w:rPr>
          <w:rFonts w:ascii="맑은 고딕" w:hAnsi="맑은 고딕" w:eastAsia="맑은 고딕" w:cs="맑은 고딕"/>
          <w:b/>
        </w:rPr>
        <w:t>추진:</w:t>
      </w:r>
      <w:r>
        <w:rPr>
          <w:rFonts w:ascii="맑은 고딕" w:hAnsi="맑은 고딕" w:eastAsia="맑은 고딕" w:cs="맑은 고딕"/>
        </w:rPr>
        <w:t xml:space="preserve"> 2026년 4분기 조사, 2027년 상반기 결과로 방안 1 규모와 다음 단계 결정</w:t>
      </w:r>
    </w:p>
    <w:p>
      <w:pPr>
        <w:pStyle w:val="ListBullet"/>
      </w:pPr>
      <w:r>
        <w:rPr>
          <w:rFonts w:ascii="맑은 고딕" w:hAnsi="맑은 고딕" w:eastAsia="맑은 고딕" w:cs="맑은 고딕"/>
          <w:b/>
        </w:rPr>
        <w:t>대상:</w:t>
      </w:r>
      <w:r>
        <w:rPr>
          <w:rFonts w:ascii="맑은 고딕" w:hAnsi="맑은 고딕" w:eastAsia="맑은 고딕" w:cs="맑은 고딕"/>
        </w:rPr>
        <w:t xml:space="preserve"> 기업 사전 122곳과 중개 사업 참여 기업, 소프트웨어 기업 수는 조사 뒤 정함</w:t>
      </w:r>
      <w:r>
        <w:rPr>
          <w:rFonts w:ascii="맑은 고딕" w:hAnsi="맑은 고딕" w:eastAsia="맑은 고딕" w:cs="맑은 고딕"/>
          <w:vertAlign w:val="superscript"/>
        </w:rPr>
        <w:t>[16]</w:t>
      </w:r>
      <w:r>
        <w:rPr>
          <w:rFonts w:ascii="맑은 고딕" w:hAnsi="맑은 고딕" w:eastAsia="맑은 고딕" w:cs="맑은 고딕"/>
          <w:vertAlign w:val="superscript"/>
        </w:rPr>
        <w:t>[30]</w:t>
      </w:r>
    </w:p>
    <w:p>
      <w:pPr>
        <w:pStyle w:val="Heading1"/>
      </w:pPr>
      <w:r>
        <w:rPr>
          <w:rFonts w:ascii="맑은 고딕" w:hAnsi="맑은 고딕" w:eastAsia="맑은 고딕" w:cs="맑은 고딕"/>
        </w:rPr>
        <w:t>6. 기대효과와 한계</w:t>
      </w:r>
    </w:p>
    <w:p>
      <w:pPr>
        <w:pStyle w:val="ListBullet"/>
      </w:pPr>
      <w:r>
        <w:rPr>
          <w:rFonts w:ascii="맑은 고딕" w:hAnsi="맑은 고딕" w:eastAsia="맑은 고딕" w:cs="맑은 고딕"/>
          <w:b/>
        </w:rPr>
        <w:t>기대효과</w:t>
      </w:r>
    </w:p>
    <w:p>
      <w:pPr>
        <w:pStyle w:val="ListBullet"/>
      </w:pPr>
      <w:r>
        <w:rPr>
          <w:rFonts w:ascii="맑은 고딕" w:hAnsi="맑은 고딕" w:eastAsia="맑은 고딕" w:cs="맑은 고딕"/>
        </w:rPr>
        <w:t>대구 기업이 개별 병원 협약 없이 인허가용 다기관 검증을 받는 공동 경로가 생김</w:t>
      </w:r>
    </w:p>
    <w:p>
      <w:pPr>
        <w:pStyle w:val="ListBullet"/>
      </w:pPr>
      <w:r>
        <w:rPr>
          <w:rFonts w:ascii="맑은 고딕" w:hAnsi="맑은 고딕" w:eastAsia="맑은 고딕" w:cs="맑은 고딕"/>
        </w:rPr>
        <w:t>협의체의 공동 심의가 실제 기업 요청으로 운영되며 처리 기간이 측정됨</w:t>
      </w:r>
    </w:p>
    <w:p>
      <w:r>
        <w:rPr>
          <w:rFonts w:ascii="맑은 고딕" w:hAnsi="맑은 고딕" w:eastAsia="맑은 고딕" w:cs="맑은 고딕"/>
          <w:b/>
        </w:rPr>
        <w:t>표 4. 성과 지표</w:t>
      </w:r>
      <w:r>
        <w:rPr>
          <w:rFonts w:ascii="맑은 고딕" w:hAnsi="맑은 고딕" w:eastAsia="맑은 고딕" w:cs="맑은 고딕"/>
          <w:vertAlign w:val="superscript"/>
        </w:rPr>
        <w:t>[16]</w:t>
      </w:r>
      <w:r>
        <w:rPr>
          <w:rFonts w:ascii="맑은 고딕" w:hAnsi="맑은 고딕" w:eastAsia="맑은 고딕" w:cs="맑은 고딕"/>
          <w:vertAlign w:val="superscript"/>
        </w:rPr>
        <w:t>[19]</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E8ECF2"/>
          </w:tcPr>
          <w:p>
            <w:pPr>
              <w:spacing w:after="0" w:line="276" w:lineRule="auto"/>
              <w:jc w:val="center"/>
            </w:pPr>
            <w:r>
              <w:rPr>
                <w:rFonts w:ascii="맑은 고딕" w:hAnsi="맑은 고딕" w:eastAsia="맑은 고딕" w:cs="맑은 고딕"/>
                <w:b/>
                <w:sz w:val="18"/>
              </w:rPr>
              <w:t>지표</w:t>
            </w:r>
          </w:p>
        </w:tc>
        <w:tc>
          <w:tcPr>
            <w:tcW w:type="dxa" w:w="3137"/>
            <w:shd w:val="clear" w:color="auto" w:fill="E8ECF2"/>
          </w:tcPr>
          <w:p>
            <w:pPr>
              <w:spacing w:after="0" w:line="276" w:lineRule="auto"/>
              <w:jc w:val="center"/>
            </w:pPr>
            <w:r>
              <w:rPr>
                <w:rFonts w:ascii="맑은 고딕" w:hAnsi="맑은 고딕" w:eastAsia="맑은 고딕" w:cs="맑은 고딕"/>
                <w:b/>
                <w:sz w:val="18"/>
              </w:rPr>
              <w:t>현재 값</w:t>
            </w:r>
          </w:p>
        </w:tc>
        <w:tc>
          <w:tcPr>
            <w:tcW w:type="dxa" w:w="3137"/>
            <w:shd w:val="clear" w:color="auto" w:fill="E8ECF2"/>
          </w:tcPr>
          <w:p>
            <w:pPr>
              <w:spacing w:after="0" w:line="276" w:lineRule="auto"/>
              <w:jc w:val="center"/>
            </w:pPr>
            <w:r>
              <w:rPr>
                <w:rFonts w:ascii="맑은 고딕" w:hAnsi="맑은 고딕" w:eastAsia="맑은 고딕" w:cs="맑은 고딕"/>
                <w:b/>
                <w:sz w:val="18"/>
              </w:rPr>
              <w:t>측정 주기</w:t>
            </w:r>
          </w:p>
        </w:tc>
      </w:tr>
      <w:tr>
        <w:tc>
          <w:tcPr>
            <w:tcW w:type="dxa" w:w="3137"/>
          </w:tcPr>
          <w:p>
            <w:pPr>
              <w:spacing w:after="0" w:line="276" w:lineRule="auto"/>
            </w:pPr>
            <w:r>
              <w:rPr>
                <w:rFonts w:ascii="맑은 고딕" w:hAnsi="맑은 고딕" w:eastAsia="맑은 고딕" w:cs="맑은 고딕"/>
                <w:sz w:val="18"/>
              </w:rPr>
              <w:t>협의체 검증 데이터셋 수</w:t>
            </w:r>
          </w:p>
        </w:tc>
        <w:tc>
          <w:tcPr>
            <w:tcW w:type="dxa" w:w="3137"/>
          </w:tcPr>
          <w:p>
            <w:pPr>
              <w:spacing w:after="0" w:line="276" w:lineRule="auto"/>
            </w:pPr>
            <w:r>
              <w:rPr>
                <w:rFonts w:ascii="맑은 고딕" w:hAnsi="맑은 고딕" w:eastAsia="맑은 고딕" w:cs="맑은 고딕"/>
                <w:sz w:val="18"/>
              </w:rPr>
              <w:t>0</w:t>
            </w:r>
          </w:p>
        </w:tc>
        <w:tc>
          <w:tcPr>
            <w:tcW w:type="dxa" w:w="3137"/>
          </w:tcPr>
          <w:p>
            <w:pPr>
              <w:spacing w:after="0" w:line="276" w:lineRule="auto"/>
            </w:pPr>
            <w:r>
              <w:rPr>
                <w:rFonts w:ascii="맑은 고딕" w:hAnsi="맑은 고딕" w:eastAsia="맑은 고딕" w:cs="맑은 고딕"/>
                <w:sz w:val="18"/>
              </w:rPr>
              <w:t>반기</w:t>
            </w:r>
          </w:p>
        </w:tc>
      </w:tr>
      <w:tr>
        <w:tc>
          <w:tcPr>
            <w:tcW w:type="dxa" w:w="3137"/>
          </w:tcPr>
          <w:p>
            <w:pPr>
              <w:spacing w:after="0" w:line="276" w:lineRule="auto"/>
            </w:pPr>
            <w:r>
              <w:rPr>
                <w:rFonts w:ascii="맑은 고딕" w:hAnsi="맑은 고딕" w:eastAsia="맑은 고딕" w:cs="맑은 고딕"/>
                <w:sz w:val="18"/>
              </w:rPr>
              <w:t>다기관 요청 1건당 IRB 심의 기간</w:t>
            </w:r>
          </w:p>
        </w:tc>
        <w:tc>
          <w:tcPr>
            <w:tcW w:type="dxa" w:w="3137"/>
          </w:tcPr>
          <w:p>
            <w:pPr>
              <w:spacing w:after="0" w:line="276" w:lineRule="auto"/>
            </w:pPr>
            <w:r>
              <w:rPr>
                <w:rFonts w:ascii="맑은 고딕" w:hAnsi="맑은 고딕" w:eastAsia="맑은 고딕" w:cs="맑은 고딕"/>
                <w:sz w:val="18"/>
              </w:rPr>
              <w:t>병원별 30일 이상</w:t>
            </w:r>
          </w:p>
        </w:tc>
        <w:tc>
          <w:tcPr>
            <w:tcW w:type="dxa" w:w="3137"/>
          </w:tcPr>
          <w:p>
            <w:pPr>
              <w:spacing w:after="0" w:line="276" w:lineRule="auto"/>
            </w:pPr>
            <w:r>
              <w:rPr>
                <w:rFonts w:ascii="맑은 고딕" w:hAnsi="맑은 고딕" w:eastAsia="맑은 고딕" w:cs="맑은 고딕"/>
                <w:sz w:val="18"/>
              </w:rPr>
              <w:t>반기</w:t>
            </w:r>
          </w:p>
        </w:tc>
      </w:tr>
      <w:tr>
        <w:tc>
          <w:tcPr>
            <w:tcW w:type="dxa" w:w="3137"/>
          </w:tcPr>
          <w:p>
            <w:pPr>
              <w:spacing w:after="0" w:line="276" w:lineRule="auto"/>
            </w:pPr>
            <w:r>
              <w:rPr>
                <w:rFonts w:ascii="맑은 고딕" w:hAnsi="맑은 고딕" w:eastAsia="맑은 고딕" w:cs="맑은 고딕"/>
                <w:sz w:val="18"/>
              </w:rPr>
              <w:t>검증 데이터셋을 쓴 대구 기업의 인허가 신청 건수</w:t>
            </w:r>
          </w:p>
        </w:tc>
        <w:tc>
          <w:tcPr>
            <w:tcW w:type="dxa" w:w="3137"/>
          </w:tcPr>
          <w:p>
            <w:pPr>
              <w:spacing w:after="0" w:line="276" w:lineRule="auto"/>
            </w:pPr>
            <w:r>
              <w:rPr>
                <w:rFonts w:ascii="맑은 고딕" w:hAnsi="맑은 고딕" w:eastAsia="맑은 고딕" w:cs="맑은 고딕"/>
                <w:sz w:val="18"/>
              </w:rPr>
              <w:t>조사 뒤</w:t>
            </w:r>
          </w:p>
        </w:tc>
        <w:tc>
          <w:tcPr>
            <w:tcW w:type="dxa" w:w="3137"/>
          </w:tcPr>
          <w:p>
            <w:pPr>
              <w:spacing w:after="0" w:line="276" w:lineRule="auto"/>
            </w:pPr>
            <w:r>
              <w:rPr>
                <w:rFonts w:ascii="맑은 고딕" w:hAnsi="맑은 고딕" w:eastAsia="맑은 고딕" w:cs="맑은 고딕"/>
                <w:sz w:val="18"/>
              </w:rPr>
              <w:t>연 1회</w:t>
            </w:r>
          </w:p>
        </w:tc>
      </w:tr>
      <w:tr>
        <w:tc>
          <w:tcPr>
            <w:tcW w:type="dxa" w:w="3137"/>
          </w:tcPr>
          <w:p>
            <w:pPr>
              <w:spacing w:after="0" w:line="276" w:lineRule="auto"/>
            </w:pPr>
            <w:r>
              <w:rPr>
                <w:rFonts w:ascii="맑은 고딕" w:hAnsi="맑은 고딕" w:eastAsia="맑은 고딕" w:cs="맑은 고딕"/>
                <w:sz w:val="18"/>
              </w:rPr>
              <w:t>중개 포털 데이터 공급 병원 수</w:t>
            </w:r>
          </w:p>
        </w:tc>
        <w:tc>
          <w:tcPr>
            <w:tcW w:type="dxa" w:w="3137"/>
          </w:tcPr>
          <w:p>
            <w:pPr>
              <w:spacing w:after="0" w:line="276" w:lineRule="auto"/>
            </w:pPr>
            <w:r>
              <w:rPr>
                <w:rFonts w:ascii="맑은 고딕" w:hAnsi="맑은 고딕" w:eastAsia="맑은 고딕" w:cs="맑은 고딕"/>
                <w:sz w:val="18"/>
              </w:rPr>
              <w:t>2곳</w:t>
            </w:r>
          </w:p>
        </w:tc>
        <w:tc>
          <w:tcPr>
            <w:tcW w:type="dxa" w:w="3137"/>
          </w:tcPr>
          <w:p>
            <w:pPr>
              <w:spacing w:after="0" w:line="276" w:lineRule="auto"/>
            </w:pPr>
            <w:r>
              <w:rPr>
                <w:rFonts w:ascii="맑은 고딕" w:hAnsi="맑은 고딕" w:eastAsia="맑은 고딕" w:cs="맑은 고딕"/>
                <w:sz w:val="18"/>
              </w:rPr>
              <w:t>연 1회</w:t>
            </w:r>
          </w:p>
        </w:tc>
      </w:tr>
    </w:tbl>
    <w:p/>
    <w:p>
      <w:pPr>
        <w:pStyle w:val="ListBullet"/>
      </w:pPr>
      <w:r>
        <w:rPr>
          <w:rFonts w:ascii="맑은 고딕" w:hAnsi="맑은 고딕" w:eastAsia="맑은 고딕" w:cs="맑은 고딕"/>
          <w:b/>
        </w:rPr>
        <w:t>한계·반론</w:t>
      </w:r>
    </w:p>
    <w:p>
      <w:pPr>
        <w:pStyle w:val="ListBullet"/>
      </w:pPr>
      <w:r>
        <w:rPr>
          <w:rFonts w:ascii="맑은 고딕" w:hAnsi="맑은 고딕" w:eastAsia="맑은 고딕" w:cs="맑은 고딕"/>
        </w:rPr>
        <w:t>경북대병원·칠곡경북대병원은 부산대병원 컨소시엄, 계명대 동산병원은 서울대병원 컨소시엄의 참여 기관으로 소개된 적이 있으나 2026년 참여 여부는 확인하지 못함. 방안 3 병원 항목으로 확인</w:t>
      </w:r>
    </w:p>
    <w:p>
      <w:pPr>
        <w:pStyle w:val="ListBullet"/>
      </w:pPr>
      <w:r>
        <w:rPr>
          <w:rFonts w:ascii="맑은 고딕" w:hAnsi="맑은 고딕" w:eastAsia="맑은 고딕" w:cs="맑은 고딕"/>
        </w:rPr>
        <w:t>가명처리한 진료기록에 의료법 대신 개인정보보호법을 적용하는 해석은 가이드라인에 기대고 있어 병원의 법적 부담이 남는다는 지적이 있음. 디지털헬스케어법 제정안이 국회에서 논의 중이고 책임·보상 기준 마련 요구가 나옴(요지)</w:t>
      </w:r>
      <w:r>
        <w:rPr>
          <w:rFonts w:ascii="맑은 고딕" w:hAnsi="맑은 고딕" w:eastAsia="맑은 고딕" w:cs="맑은 고딕"/>
          <w:vertAlign w:val="superscript"/>
        </w:rPr>
        <w:t>[27]</w:t>
      </w:r>
      <w:r>
        <w:rPr>
          <w:rFonts w:ascii="맑은 고딕" w:hAnsi="맑은 고딕" w:eastAsia="맑은 고딕" w:cs="맑은 고딕"/>
        </w:rPr>
        <w:t>. 의료법 제21조와의 관계는 원문 확인 필요</w:t>
      </w:r>
    </w:p>
    <w:p>
      <w:pPr>
        <w:pStyle w:val="ListBullet"/>
      </w:pPr>
      <w:r>
        <w:rPr>
          <w:rFonts w:ascii="맑은 고딕" w:hAnsi="맑은 고딕" w:eastAsia="맑은 고딕" w:cs="맑은 고딕"/>
        </w:rPr>
        <w:t>개인정보보호법 AI 원본 활용 특례는 2027년 3월 9일 시행 예정이라 방안 1 일정과 겹치지만, 의료 데이터에 적용하는 절차는 아직 없음</w:t>
      </w:r>
      <w:r>
        <w:rPr>
          <w:rFonts w:ascii="맑은 고딕" w:hAnsi="맑은 고딕" w:eastAsia="맑은 고딕" w:cs="맑은 고딕"/>
          <w:vertAlign w:val="superscript"/>
        </w:rPr>
        <w:t>[28]</w:t>
      </w:r>
    </w:p>
    <w:p>
      <w:pPr>
        <w:pStyle w:val="ListBullet"/>
      </w:pPr>
      <w:r>
        <w:rPr>
          <w:rFonts w:ascii="맑은 고딕" w:hAnsi="맑은 고딕" w:eastAsia="맑은 고딕" w:cs="맑은 고딕"/>
        </w:rPr>
        <w:t>검증 데이터셋의 구성·라벨 기준이 식약처 심사에서 그대로 인정될지는 제품별 사전 상담에 달림</w:t>
      </w:r>
      <w:r>
        <w:rPr>
          <w:rFonts w:ascii="맑은 고딕" w:hAnsi="맑은 고딕" w:eastAsia="맑은 고딕" w:cs="맑은 고딕"/>
          <w:vertAlign w:val="superscript"/>
        </w:rPr>
        <w:t>[5]</w:t>
      </w:r>
    </w:p>
    <w:p>
      <w:pPr>
        <w:pStyle w:val="ListBullet"/>
      </w:pPr>
      <w:r>
        <w:rPr>
          <w:rFonts w:ascii="맑은 고딕" w:hAnsi="맑은 고딕" w:eastAsia="맑은 고딕" w:cs="맑은 고딕"/>
        </w:rPr>
        <w:t>환자 신뢰가 전제: 이익 공유에는 82.9%가 동의했지만 영리기업 제공을 받아들이는 비율은 38.4%라 사용처 공개가 함께 필요</w:t>
      </w:r>
      <w:r>
        <w:rPr>
          <w:rFonts w:ascii="맑은 고딕" w:hAnsi="맑은 고딕" w:eastAsia="맑은 고딕" w:cs="맑은 고딕"/>
          <w:vertAlign w:val="superscript"/>
        </w:rPr>
        <w:t>[21]</w:t>
      </w:r>
    </w:p>
    <w:p>
      <w:pPr>
        <w:pStyle w:val="ListBullet"/>
      </w:pPr>
      <w:r>
        <w:rPr>
          <w:rFonts w:ascii="맑은 고딕" w:hAnsi="맑은 고딕" w:eastAsia="맑은 고딕" w:cs="맑은 고딕"/>
        </w:rPr>
        <w:t>국가 보건의료데이터 거점과 원격 분석 체계가 빨리 갖춰지면 지역 방안과 겹칠 수 있음</w:t>
      </w:r>
      <w:r>
        <w:rPr>
          <w:rFonts w:ascii="맑은 고딕" w:hAnsi="맑은 고딕" w:eastAsia="맑은 고딕" w:cs="맑은 고딕"/>
          <w:vertAlign w:val="superscript"/>
        </w:rPr>
        <w:t>[9]</w:t>
      </w:r>
    </w:p>
    <w:p>
      <w:pPr>
        <w:pStyle w:val="ListBullet"/>
      </w:pPr>
      <w:r>
        <w:rPr>
          <w:rFonts w:ascii="맑은 고딕" w:hAnsi="맑은 고딕" w:eastAsia="맑은 고딕" w:cs="맑은 고딕"/>
        </w:rPr>
        <w:t>종사자 수는 공장등록 신고값이라 실제 고용과 다를 수 있음</w:t>
      </w:r>
      <w:r>
        <w:rPr>
          <w:rFonts w:ascii="맑은 고딕" w:hAnsi="맑은 고딕" w:eastAsia="맑은 고딕" w:cs="맑은 고딕"/>
          <w:vertAlign w:val="superscript"/>
        </w:rPr>
        <w:t>[30]</w:t>
      </w:r>
    </w:p>
    <w:p>
      <w:pPr>
        <w:pStyle w:val="ListBullet"/>
      </w:pPr>
      <w:r>
        <w:rPr>
          <w:rFonts w:ascii="맑은 고딕" w:hAnsi="맑은 고딕" w:eastAsia="맑은 고딕" w:cs="맑은 고딕"/>
        </w:rPr>
        <w:t>병원 협약 사례는 데이터 확보 방식을 보여 주는 예시이며 기업을 평가한 것이 아님</w:t>
      </w:r>
      <w:r>
        <w:rPr>
          <w:rFonts w:ascii="맑은 고딕" w:hAnsi="맑은 고딕" w:eastAsia="맑은 고딕" w:cs="맑은 고딕"/>
          <w:vertAlign w:val="superscript"/>
        </w:rPr>
        <w:t>[22]</w:t>
      </w:r>
      <w:r>
        <w:rPr>
          <w:rFonts w:ascii="맑은 고딕" w:hAnsi="맑은 고딕" w:eastAsia="맑은 고딕" w:cs="맑은 고딕"/>
          <w:vertAlign w:val="superscript"/>
        </w:rPr>
        <w:t>[23]</w:t>
      </w:r>
    </w:p>
    <w:p>
      <w:pPr>
        <w:pStyle w:val="ListBullet"/>
      </w:pPr>
      <w:r>
        <w:rPr>
          <w:rFonts w:ascii="맑은 고딕" w:hAnsi="맑은 고딕" w:eastAsia="맑은 고딕" w:cs="맑은 고딕"/>
        </w:rPr>
        <w:t>출처 원문 대조 결과는 각주 끝에 적음</w:t>
      </w:r>
      <w:r>
        <w:rPr>
          <w:rFonts w:ascii="맑은 고딕" w:hAnsi="맑은 고딕" w:eastAsia="맑은 고딕" w:cs="맑은 고딕"/>
          <w:vertAlign w:val="superscript"/>
        </w:rPr>
        <w:t>[32]</w:t>
      </w:r>
    </w:p>
    <w:p>
      <w:pPr>
        <w:pStyle w:val="Heading1"/>
      </w:pPr>
      <w:r>
        <w:t>주석</w:t>
      </w:r>
    </w:p>
    <w:p>
      <w:r>
        <w:rPr>
          <w:rFonts w:ascii="맑은 고딕" w:hAnsi="맑은 고딕" w:eastAsia="맑은 고딕" w:cs="맑은 고딕"/>
          <w:sz w:val="19"/>
        </w:rPr>
        <w:t>[1] MarketsandMarkets, Artificial Intelligence in Healthcare Market worth $194.79 billion by 2031 (PR Newswire), 2026-06-23. 조사기관마다 시장 정의가 달라 한 기관 값만 씀.</w:t>
      </w:r>
    </w:p>
    <w:p>
      <w:r>
        <w:rPr>
          <w:rFonts w:ascii="맑은 고딕" w:hAnsi="맑은 고딕" w:eastAsia="맑은 고딕" w:cs="맑은 고딕"/>
          <w:sz w:val="19"/>
        </w:rPr>
        <w:t>[2] 식약처 "작년 26개 신약·AI 기반 의료기기 153건 허가" — 2025년 허가보고서 (뉴시스), 2026-04-30. 2024년 값(108건)은 153건과 증가율 41.6%로 계산.</w:t>
      </w:r>
    </w:p>
    <w:p>
      <w:r>
        <w:rPr>
          <w:rFonts w:ascii="맑은 고딕" w:hAnsi="맑은 고딕" w:eastAsia="맑은 고딕" w:cs="맑은 고딕"/>
          <w:sz w:val="19"/>
        </w:rPr>
        <w:t>[3] 식약처, 작년 혁신의료기기 45개 지정 '역대 최다'… 생성형 AI 첫 등장 (아시아경제), 2026-01-29.</w:t>
      </w:r>
    </w:p>
    <w:p>
      <w:r>
        <w:rPr>
          <w:rFonts w:ascii="맑은 고딕" w:hAnsi="맑은 고딕" w:eastAsia="맑은 고딕" w:cs="맑은 고딕"/>
          <w:sz w:val="19"/>
        </w:rPr>
        <w:t>[4] "디지털의료기기, '진단' 중심으로 성장…인허가 애로 커" — 식약처 2025년 디지털의료기기 시장현황 조사 (아시아경제), 2026-06-12. 382개 업체 중 274곳 응답.</w:t>
      </w:r>
    </w:p>
    <w:p>
      <w:r>
        <w:rPr>
          <w:rFonts w:ascii="맑은 고딕" w:hAnsi="맑은 고딕" w:eastAsia="맑은 고딕" w:cs="맑은 고딕"/>
          <w:sz w:val="19"/>
        </w:rPr>
        <w:t>[5] 식약처, 디지털 의료기기 임상시험 자료 제출·면제 기준 개정 (라포르시안), 2026-07. 「디지털의료제품 허가·인증·신고·심사 및 평가 등에 관한 규정」 개정 보도. 작성 환경에서 원문을 열지 못해 검색 요지로 옮김.</w:t>
      </w:r>
    </w:p>
    <w:p>
      <w:r>
        <w:rPr>
          <w:rFonts w:ascii="맑은 고딕" w:hAnsi="맑은 고딕" w:eastAsia="맑은 고딕" w:cs="맑은 고딕"/>
          <w:sz w:val="19"/>
        </w:rPr>
        <w:t>[6] 한국은행, BOK 이슈노트 제2026-4호 「첨단 바이오헬스 산업 육성방안: 바이오 데이터 활용 기반 구축을 중심으로」, 2026-02-09. 집필자 견해이며 한국은행의 공식 견해가 아님.</w:t>
      </w:r>
    </w:p>
    <w:p>
      <w:r>
        <w:rPr>
          <w:rFonts w:ascii="맑은 고딕" w:hAnsi="맑은 고딕" w:eastAsia="맑은 고딕" w:cs="맑은 고딕"/>
          <w:sz w:val="19"/>
        </w:rPr>
        <w:t>[7] "AI, 바이오헬스 산업 게임체인저"…한은, '국가 승인형 데이터 개방' 제안한 이유는 (아시아경제), 2026-02-09. 한국은행 이슈노트 보도. 집필자 견해.</w:t>
      </w:r>
    </w:p>
    <w:p>
      <w:r>
        <w:rPr>
          <w:rFonts w:ascii="맑은 고딕" w:hAnsi="맑은 고딕" w:eastAsia="맑은 고딕" w:cs="맑은 고딕"/>
          <w:sz w:val="19"/>
        </w:rPr>
        <w:t>[8] 보건복지부, 「의료데이터 활용 확대, 'AI 기본의료 앞당긴다'」 — 2025년 보건의료데이터 정책심의위원회, 2025-12-10. 대한민국 정책브리핑 게재본.</w:t>
      </w:r>
    </w:p>
    <w:p>
      <w:r>
        <w:rPr>
          <w:rFonts w:ascii="맑은 고딕" w:hAnsi="맑은 고딕" w:eastAsia="맑은 고딕" w:cs="맑은 고딕"/>
          <w:sz w:val="19"/>
        </w:rPr>
        <w:t>[9] 보건소·취약지 의원에도…전국 'AI 기본의료' 시대 연다 — AI 기본의료 전략 확정 (아시아경제), 2026-08-06.</w:t>
      </w:r>
    </w:p>
    <w:p>
      <w:r>
        <w:rPr>
          <w:rFonts w:ascii="맑은 고딕" w:hAnsi="맑은 고딕" w:eastAsia="맑은 고딕" w:cs="맑은 고딕"/>
          <w:sz w:val="19"/>
        </w:rPr>
        <w:t>[10] AI 키운다더니 데이터는 묶였다…감사원, 의료·저작권 허점 동시 지적 — 인공지능 대비실태 감사 (뉴스핌), 2026-03-24. 감사원 「인공지능 대비실태 Ⅱ」 감사 결과 보도.</w:t>
      </w:r>
    </w:p>
    <w:p>
      <w:r>
        <w:rPr>
          <w:rFonts w:ascii="맑은 고딕" w:hAnsi="맑은 고딕" w:eastAsia="맑은 고딕" w:cs="맑은 고딕"/>
          <w:sz w:val="19"/>
        </w:rPr>
        <w:t>[11] 개인정보보호위원회, (보도설명) 가명정보 제공·결합 기간 단축 및 활용 확대 (네이트뉴스 전재), 2026-05-08.</w:t>
      </w:r>
    </w:p>
    <w:p>
      <w:r>
        <w:rPr>
          <w:rFonts w:ascii="맑은 고딕" w:hAnsi="맑은 고딕" w:eastAsia="맑은 고딕" w:cs="맑은 고딕"/>
          <w:sz w:val="19"/>
        </w:rPr>
        <w:t>[12] "데이터 처리 혁신"...'개인정보 이노베이션 존' 10곳으로 늘어 (ZDNet Korea), 2026-09-22.</w:t>
      </w:r>
    </w:p>
    <w:p>
      <w:r>
        <w:rPr>
          <w:rFonts w:ascii="맑은 고딕" w:hAnsi="맑은 고딕" w:eastAsia="맑은 고딕" w:cs="맑은 고딕"/>
          <w:sz w:val="19"/>
        </w:rPr>
        <w:t>[13] "데이터가 경쟁력"…복지부, 의료 AI 기업에 바우처로 분석 지원 (이데일리), 2026-02. 기업과 의료데이터 중심병원(45곳, 7개 컨소시엄) 협약에 따라 가공·분석 비용을 이용권으로 지급.</w:t>
      </w:r>
    </w:p>
    <w:p>
      <w:r>
        <w:rPr>
          <w:rFonts w:ascii="맑은 고딕" w:hAnsi="맑은 고딕" w:eastAsia="맑은 고딕" w:cs="맑은 고딕"/>
          <w:sz w:val="19"/>
        </w:rPr>
        <w:t>[14] 복지부, 의료 AI 데이터 활용 지원 참여기업 추가 모집 — 비수도권 의료기관 협력 가점 (네이트뉴스), 2026-05-27.</w:t>
      </w:r>
    </w:p>
    <w:p>
      <w:r>
        <w:rPr>
          <w:rFonts w:ascii="맑은 고딕" w:hAnsi="맑은 고딕" w:eastAsia="맑은 고딕" w:cs="맑은 고딕"/>
          <w:sz w:val="19"/>
        </w:rPr>
        <w:t>[15] 복지부 '보건의료 데이터 활용 가이드라인' 개정…연구 문턱 낮춘다 (머니투데이), 2025-12-31. 공용 DRB 도입, IRB·DRB 심의 표준절차 제시.</w:t>
      </w:r>
    </w:p>
    <w:p>
      <w:r>
        <w:rPr>
          <w:rFonts w:ascii="맑은 고딕" w:hAnsi="맑은 고딕" w:eastAsia="맑은 고딕" w:cs="맑은 고딕"/>
          <w:sz w:val="19"/>
        </w:rPr>
        <w:t>[16] 대구시, '2026년 의료데이터 중개 사업' 본격 추진 — 포털 25만 건, 4차년도 (뉴스핌), 2026-04-12.</w:t>
      </w:r>
    </w:p>
    <w:p>
      <w:r>
        <w:rPr>
          <w:rFonts w:ascii="맑은 고딕" w:hAnsi="맑은 고딕" w:eastAsia="맑은 고딕" w:cs="맑은 고딕"/>
          <w:sz w:val="19"/>
        </w:rPr>
        <w:t>[17] AI·바이오 메디시티, 메디엑스포서 '의료데이터 활용 활성화 협의체' 업무협약 체결 — 14개 기관 (경북매일), 2026-07-03.</w:t>
      </w:r>
    </w:p>
    <w:p>
      <w:r>
        <w:rPr>
          <w:rFonts w:ascii="맑은 고딕" w:hAnsi="맑은 고딕" w:eastAsia="맑은 고딕" w:cs="맑은 고딕"/>
          <w:sz w:val="19"/>
        </w:rPr>
        <w:t>[18] 케이메디허브, 의료데이터 활용 활성화 협의체 실무 운영 추진 — 공동 IRB·DRB (매일신문), 2026-07-07.</w:t>
      </w:r>
    </w:p>
    <w:p>
      <w:r>
        <w:rPr>
          <w:rFonts w:ascii="맑은 고딕" w:hAnsi="맑은 고딕" w:eastAsia="맑은 고딕" w:cs="맑은 고딕"/>
          <w:sz w:val="19"/>
        </w:rPr>
        <w:t>[19] 케이메디허브, KAIRB와 임상 연구심의 체계 고도화 협력 — 다기관 공동 IRB·DRB 통합심사 SOP (라포르시안), 2026-08.</w:t>
      </w:r>
    </w:p>
    <w:p>
      <w:r>
        <w:rPr>
          <w:rFonts w:ascii="맑은 고딕" w:hAnsi="맑은 고딕" w:eastAsia="맑은 고딕" w:cs="맑은 고딕"/>
          <w:sz w:val="19"/>
        </w:rPr>
        <w:t>[20] 대구시, '데이터안심구역' 개소…미개방데이터 활용 본격화 — 수성알파시티 (네이트뉴스), 2025-12-23.</w:t>
      </w:r>
    </w:p>
    <w:p>
      <w:r>
        <w:rPr>
          <w:rFonts w:ascii="맑은 고딕" w:hAnsi="맑은 고딕" w:eastAsia="맑은 고딕" w:cs="맑은 고딕"/>
          <w:sz w:val="19"/>
        </w:rPr>
        <w:t>[21] 국민 83% "보건의료데이터 활용 이익 환자·소비자와 공유해야" (라포르시안), 2026-07. 한국희귀·난치성질환연합회 조사, 환자와 일반 국민 438명.</w:t>
      </w:r>
    </w:p>
    <w:p>
      <w:r>
        <w:rPr>
          <w:rFonts w:ascii="맑은 고딕" w:hAnsi="맑은 고딕" w:eastAsia="맑은 고딕" w:cs="맑은 고딕"/>
          <w:sz w:val="19"/>
        </w:rPr>
        <w:t>[22] 루닛, 세브란스병원과 MOU…의료 파운데이션 모델 기반 AI 임상 확산 협력 (아시아경제), 2026-05-15.</w:t>
      </w:r>
    </w:p>
    <w:p>
      <w:r>
        <w:rPr>
          <w:rFonts w:ascii="맑은 고딕" w:hAnsi="맑은 고딕" w:eastAsia="맑은 고딕" w:cs="맑은 고딕"/>
          <w:sz w:val="19"/>
        </w:rPr>
        <w:t>[23] 루닛, 일산병원과 '의료 AI' 맞손…"진료부터 행정까지 AX 가속화" (네이트뉴스), 2026-05-13.</w:t>
      </w:r>
    </w:p>
    <w:p>
      <w:r>
        <w:rPr>
          <w:rFonts w:ascii="맑은 고딕" w:hAnsi="맑은 고딕" w:eastAsia="맑은 고딕" w:cs="맑은 고딕"/>
          <w:sz w:val="19"/>
        </w:rPr>
        <w:t>[24] ONC, HHS Expands Secure Access to Health Records Through the TEFCA Network, Announces Milestone of One Billion Health Records Exchanged, 2026-06-26.</w:t>
      </w:r>
    </w:p>
    <w:p>
      <w:r>
        <w:rPr>
          <w:rFonts w:ascii="맑은 고딕" w:hAnsi="맑은 고딕" w:eastAsia="맑은 고딕" w:cs="맑은 고딕"/>
          <w:sz w:val="19"/>
        </w:rPr>
        <w:t>[25] Health Business, New CEO appointed to Health Data Research Service, 2026-01-13.</w:t>
      </w:r>
    </w:p>
    <w:p>
      <w:r>
        <w:rPr>
          <w:rFonts w:ascii="맑은 고딕" w:hAnsi="맑은 고딕" w:eastAsia="맑은 고딕" w:cs="맑은 고딕"/>
          <w:sz w:val="19"/>
        </w:rPr>
        <w:t>[26] 27개국 보건데이터 허브 구축 나선 유럽 'EHDS' — 첫 시행규정 2026년 4월·2차 활용 2029년 3월 (네이트뉴스), 2026-07-10.</w:t>
      </w:r>
    </w:p>
    <w:p>
      <w:r>
        <w:rPr>
          <w:rFonts w:ascii="맑은 고딕" w:hAnsi="맑은 고딕" w:eastAsia="맑은 고딕" w:cs="맑은 고딕"/>
          <w:sz w:val="19"/>
        </w:rPr>
        <w:t>[27] AI 시대 의료데이터 활용 놓고 법·제도 정비 필요성 제기 — 심평원 심포지엄 (파이낸셜뉴스), 2026-09-23. 작성 환경에서 원문을 열지 못해 검색 요지로 옮김.</w:t>
      </w:r>
    </w:p>
    <w:p>
      <w:r>
        <w:rPr>
          <w:rFonts w:ascii="맑은 고딕" w:hAnsi="맑은 고딕" w:eastAsia="맑은 고딕" w:cs="맑은 고딕"/>
          <w:sz w:val="19"/>
        </w:rPr>
        <w:t>[28] 「개인정보 보호법」개정 - 인공지능기술 개발을 위한 개인정보 이용 특례 신설 (법률신문), 2026-09. 2026년 9월 8일 공포·2027년 3월 9일 시행, 개인정보보호위원회 사전 심의·의결 전제.</w:t>
      </w:r>
    </w:p>
    <w:p>
      <w:r>
        <w:rPr>
          <w:rFonts w:ascii="맑은 고딕" w:hAnsi="맑은 고딕" w:eastAsia="맑은 고딕" w:cs="맑은 고딕"/>
          <w:sz w:val="19"/>
        </w:rPr>
        <w:t>[29] 한국데이터산업진흥원 동향리포트 2025년 7호 「AI 학습용 데이터의 생태계 및 법제도 변화」, 2025-11-28. 해외 보고서 요약.</w:t>
      </w:r>
    </w:p>
    <w:p>
      <w:r>
        <w:rPr>
          <w:rFonts w:ascii="맑은 고딕" w:hAnsi="맑은 고딕" w:eastAsia="맑은 고딕" w:cs="맑은 고딕"/>
          <w:sz w:val="19"/>
        </w:rPr>
        <w:t>[30] 기업 사전 2026-08. 조건: KSIC 271 가운데 27195(안경) 제외, 팩토리온과 산단 외 기업 목록, 종사자는 공장등록 신고값. 공장등록이 없는 소프트웨어 기업은 담기지 않음.</w:t>
      </w:r>
    </w:p>
    <w:p>
      <w:r>
        <w:rPr>
          <w:rFonts w:ascii="맑은 고딕" w:hAnsi="맑은 고딕" w:eastAsia="맑은 고딕" w:cs="맑은 고딕"/>
          <w:sz w:val="19"/>
        </w:rPr>
        <w:t>[31] 지원 이력(수집한 공개 명단: 대구시 스타기업 등 현황, 케이메디허브 연구과제 현황, KEIT 과제현황, 중기 우수 혁신제품 지정). 수집 출처가 한정돼 실제 수혜보다 적을 수 있음.</w:t>
      </w:r>
    </w:p>
    <w:p>
      <w:r>
        <w:rPr>
          <w:rFonts w:ascii="맑은 고딕" w:hAnsi="맑은 고딕" w:eastAsia="맑은 고딕" w:cs="맑은 고딕"/>
          <w:sz w:val="19"/>
        </w:rPr>
        <w:t>[32] 외부 수치는 검색 요지를 기준으로 옮김. 출처 원문 대조(2026-09-30)에서 29건 가운데 28건의 접속·제목·날짜를 확인했고, 1건(10번, 뉴스핌)은 응답 시간 초과로 열리지 않음(이전 대조에서는 확인).</w:t>
      </w:r>
    </w:p>
    <w:p>
      <w:pPr>
        <w:pStyle w:val="Heading1"/>
      </w:pPr>
      <w:r>
        <w:t>출처</w:t>
      </w:r>
    </w:p>
    <w:p>
      <w:pPr>
        <w:pStyle w:val="ListNumber"/>
      </w:pPr>
      <w:r>
        <w:rPr>
          <w:rFonts w:ascii="맑은 고딕" w:hAnsi="맑은 고딕" w:eastAsia="맑은 고딕" w:cs="맑은 고딕"/>
          <w:sz w:val="19"/>
        </w:rPr>
        <w:t>MarketsandMarkets, Artificial Intelligence in Healthcare Market worth $194.79 billion by 2031 (PR Newswire) — https://www.prnewswire.com/news-releases/artificial-intelligence-in-healthcare-market-worth-194-79-billion-by-2031--marketsandmarkets-302807335.html (2026-06-23)</w:t>
      </w:r>
    </w:p>
    <w:p>
      <w:pPr>
        <w:pStyle w:val="ListNumber"/>
      </w:pPr>
      <w:r>
        <w:rPr>
          <w:rFonts w:ascii="맑은 고딕" w:hAnsi="맑은 고딕" w:eastAsia="맑은 고딕" w:cs="맑은 고딕"/>
          <w:sz w:val="19"/>
        </w:rPr>
        <w:t>식약처 "작년 26개 신약·AI 기반 의료기기 153건 허가" — 2025년 허가보고서 (뉴시스) — https://www.newsis.com/view/NISX20260430_0003613396 (2026-04-30)</w:t>
      </w:r>
    </w:p>
    <w:p>
      <w:pPr>
        <w:pStyle w:val="ListNumber"/>
      </w:pPr>
      <w:r>
        <w:rPr>
          <w:rFonts w:ascii="맑은 고딕" w:hAnsi="맑은 고딕" w:eastAsia="맑은 고딕" w:cs="맑은 고딕"/>
          <w:sz w:val="19"/>
        </w:rPr>
        <w:t>식약처, 작년 혁신의료기기 45개 지정 '역대 최다'… 생성형 AI 첫 등장 (아시아경제) — https://view.asiae.co.kr/article/2026012910205621355 (2026-01-29)</w:t>
      </w:r>
    </w:p>
    <w:p>
      <w:pPr>
        <w:pStyle w:val="ListNumber"/>
      </w:pPr>
      <w:r>
        <w:rPr>
          <w:rFonts w:ascii="맑은 고딕" w:hAnsi="맑은 고딕" w:eastAsia="맑은 고딕" w:cs="맑은 고딕"/>
          <w:sz w:val="19"/>
        </w:rPr>
        <w:t>"디지털의료기기, '진단' 중심으로 성장…인허가 애로 커" — 식약처 2025년 디지털의료기기 시장현황 조사 (아시아경제) — https://www.asiae.co.kr/article/2026061212010141501 (2026-06-12)</w:t>
      </w:r>
    </w:p>
    <w:p>
      <w:pPr>
        <w:pStyle w:val="ListNumber"/>
      </w:pPr>
      <w:r>
        <w:rPr>
          <w:rFonts w:ascii="맑은 고딕" w:hAnsi="맑은 고딕" w:eastAsia="맑은 고딕" w:cs="맑은 고딕"/>
          <w:sz w:val="19"/>
        </w:rPr>
        <w:t>식약처, 디지털 의료기기 임상시험 자료 제출·면제 기준 개정 (라포르시안) — https://www.rapportian.com/news/articleView.html?idxno=238728 (2026-07)</w:t>
      </w:r>
    </w:p>
    <w:p>
      <w:pPr>
        <w:pStyle w:val="ListNumber"/>
      </w:pPr>
      <w:r>
        <w:rPr>
          <w:rFonts w:ascii="맑은 고딕" w:hAnsi="맑은 고딕" w:eastAsia="맑은 고딕" w:cs="맑은 고딕"/>
          <w:sz w:val="19"/>
        </w:rPr>
        <w:t>한국은행, BOK 이슈노트 제2026-4호 「첨단 바이오헬스 산업 육성방안: 바이오 데이터 활용 기반 구축을 중심으로」 — https://www.bok.or.kr/portal/bbs/P0002353/view.do?nttId=10096398&amp;menuNo=200433&amp;programType=newsData&amp;relate=Y&amp;depth=200433 (2026-02-09)</w:t>
      </w:r>
    </w:p>
    <w:p>
      <w:pPr>
        <w:pStyle w:val="ListNumber"/>
      </w:pPr>
      <w:r>
        <w:rPr>
          <w:rFonts w:ascii="맑은 고딕" w:hAnsi="맑은 고딕" w:eastAsia="맑은 고딕" w:cs="맑은 고딕"/>
          <w:sz w:val="19"/>
        </w:rPr>
        <w:t>"AI, 바이오헬스 산업 게임체인저"…한은, '국가 승인형 데이터 개방' 제안한 이유는 (아시아경제) — https://view.asiae.co.kr/article/2026020912002152004 (2026-02-09)</w:t>
      </w:r>
    </w:p>
    <w:p>
      <w:pPr>
        <w:pStyle w:val="ListNumber"/>
      </w:pPr>
      <w:r>
        <w:rPr>
          <w:rFonts w:ascii="맑은 고딕" w:hAnsi="맑은 고딕" w:eastAsia="맑은 고딕" w:cs="맑은 고딕"/>
          <w:sz w:val="19"/>
        </w:rPr>
        <w:t>보건복지부, 「의료데이터 활용 확대, 'AI 기본의료 앞당긴다'」 — 2025년 보건의료데이터 정책심의위원회(대한민국 정책브리핑 게재 보도자료) — https://www.korea.kr/briefing/pressReleaseView.do?newsId=156734392 (2025-12-10)</w:t>
      </w:r>
    </w:p>
    <w:p>
      <w:pPr>
        <w:pStyle w:val="ListNumber"/>
      </w:pPr>
      <w:r>
        <w:rPr>
          <w:rFonts w:ascii="맑은 고딕" w:hAnsi="맑은 고딕" w:eastAsia="맑은 고딕" w:cs="맑은 고딕"/>
          <w:sz w:val="19"/>
        </w:rPr>
        <w:t>보건소·취약지 의원에도…전국 'AI 기본의료' 시대 연다 — AI 기본의료 전략 확정 (아시아경제) — https://view.asiae.co.kr/article/2026080609271082424 (2026-08-06)</w:t>
      </w:r>
    </w:p>
    <w:p>
      <w:pPr>
        <w:pStyle w:val="ListNumber"/>
      </w:pPr>
      <w:r>
        <w:rPr>
          <w:rFonts w:ascii="맑은 고딕" w:hAnsi="맑은 고딕" w:eastAsia="맑은 고딕" w:cs="맑은 고딕"/>
          <w:sz w:val="19"/>
        </w:rPr>
        <w:t>AI 키운다더니 데이터는 묶였다…감사원, 의료·저작권 허점 동시 지적 — 인공지능 대비실태 감사 (뉴스핌) — https://www.newspim.com/news/view/20260324000709 (2026-03-24)</w:t>
      </w:r>
    </w:p>
    <w:p>
      <w:pPr>
        <w:pStyle w:val="ListNumber"/>
      </w:pPr>
      <w:r>
        <w:rPr>
          <w:rFonts w:ascii="맑은 고딕" w:hAnsi="맑은 고딕" w:eastAsia="맑은 고딕" w:cs="맑은 고딕"/>
          <w:sz w:val="19"/>
        </w:rPr>
        <w:t>개인정보보호위원회, (보도설명) 개인정보위는 가명정보 제공·결합 기간 단축 및 활용 확대를 위해 적극 노력하고 있습니다 (네이트뉴스 전재) — https://news.nate.com/view/20260508n29100 (2026-05-08)</w:t>
      </w:r>
    </w:p>
    <w:p>
      <w:pPr>
        <w:pStyle w:val="ListNumber"/>
      </w:pPr>
      <w:r>
        <w:rPr>
          <w:rFonts w:ascii="맑은 고딕" w:hAnsi="맑은 고딕" w:eastAsia="맑은 고딕" w:cs="맑은 고딕"/>
          <w:sz w:val="19"/>
        </w:rPr>
        <w:t>"데이터 처리 혁신"...'개인정보 이노베이션 존' 10곳으로 늘어 (ZDNet Korea) — https://zdnet.co.kr/view/?no=20260922085611 (2026-09-22)</w:t>
      </w:r>
    </w:p>
    <w:p>
      <w:pPr>
        <w:pStyle w:val="ListNumber"/>
      </w:pPr>
      <w:r>
        <w:rPr>
          <w:rFonts w:ascii="맑은 고딕" w:hAnsi="맑은 고딕" w:eastAsia="맑은 고딕" w:cs="맑은 고딕"/>
          <w:sz w:val="19"/>
        </w:rPr>
        <w:t>"데이터가 경쟁력"…복지부, 의료 AI 기업에 바우처로 분석 지원 (이데일리) — https://edaily.co.kr/News/Read?mediaCodeNo=257&amp;newsId=01712166645349208 (2026-02)</w:t>
      </w:r>
    </w:p>
    <w:p>
      <w:pPr>
        <w:pStyle w:val="ListNumber"/>
      </w:pPr>
      <w:r>
        <w:rPr>
          <w:rFonts w:ascii="맑은 고딕" w:hAnsi="맑은 고딕" w:eastAsia="맑은 고딕" w:cs="맑은 고딕"/>
          <w:sz w:val="19"/>
        </w:rPr>
        <w:t>복지부, 의료 AI 데이터 활용 지원 참여기업 추가 모집 — 비수도권 의료기관 협력 가점 (네이트뉴스) — https://m.news.nate.com/view/20260527n29189 (2026-05-27)</w:t>
      </w:r>
    </w:p>
    <w:p>
      <w:pPr>
        <w:pStyle w:val="ListNumber"/>
      </w:pPr>
      <w:r>
        <w:rPr>
          <w:rFonts w:ascii="맑은 고딕" w:hAnsi="맑은 고딕" w:eastAsia="맑은 고딕" w:cs="맑은 고딕"/>
          <w:sz w:val="19"/>
        </w:rPr>
        <w:t>복지부 '보건의료 데이터 활용 가이드라인' 개정…연구 문턱 낮춘다 (머니투데이) — https://www.mt.co.kr/thebio/2025/12/31/2025123114272425006 (2025-12-31)</w:t>
      </w:r>
    </w:p>
    <w:p>
      <w:pPr>
        <w:pStyle w:val="ListNumber"/>
      </w:pPr>
      <w:r>
        <w:rPr>
          <w:rFonts w:ascii="맑은 고딕" w:hAnsi="맑은 고딕" w:eastAsia="맑은 고딕" w:cs="맑은 고딕"/>
          <w:sz w:val="19"/>
        </w:rPr>
        <w:t>대구시, '2026년 의료데이터 중개 사업' 본격 추진 — 포털 25만 건, 4차년도 (뉴스핌) — https://www.newspim.com/news/view/20260412000057 (2026-04-12)</w:t>
      </w:r>
    </w:p>
    <w:p>
      <w:pPr>
        <w:pStyle w:val="ListNumber"/>
      </w:pPr>
      <w:r>
        <w:rPr>
          <w:rFonts w:ascii="맑은 고딕" w:hAnsi="맑은 고딕" w:eastAsia="맑은 고딕" w:cs="맑은 고딕"/>
          <w:sz w:val="19"/>
        </w:rPr>
        <w:t>AI·바이오 메디시티, 메디엑스포서 '의료데이터 활용 활성화 협의체' 업무협약 체결 — 14개 기관 (경북매일) — https://www.kbmaeil.com/article/20260703500152 (2026-07-03)</w:t>
      </w:r>
    </w:p>
    <w:p>
      <w:pPr>
        <w:pStyle w:val="ListNumber"/>
      </w:pPr>
      <w:r>
        <w:rPr>
          <w:rFonts w:ascii="맑은 고딕" w:hAnsi="맑은 고딕" w:eastAsia="맑은 고딕" w:cs="맑은 고딕"/>
          <w:sz w:val="19"/>
        </w:rPr>
        <w:t>케이메디허브, 의료데이터 활용 활성화 협의체 실무 운영 추진 — 공동 IRB·DRB (매일신문) — https://www.imaeil.com/page/view/2026070710442131714 (2026-07-07)</w:t>
      </w:r>
    </w:p>
    <w:p>
      <w:pPr>
        <w:pStyle w:val="ListNumber"/>
      </w:pPr>
      <w:r>
        <w:rPr>
          <w:rFonts w:ascii="맑은 고딕" w:hAnsi="맑은 고딕" w:eastAsia="맑은 고딕" w:cs="맑은 고딕"/>
          <w:sz w:val="19"/>
        </w:rPr>
        <w:t>케이메디허브, KAIRB와 임상 연구심의 체계 고도화 협력 — 다기관 공동 IRB·DRB 통합심사 SOP (라포르시안) — https://www.rapportian.com/news/articleView.html?idxno=239331 (2026-08)</w:t>
      </w:r>
    </w:p>
    <w:p>
      <w:pPr>
        <w:pStyle w:val="ListNumber"/>
      </w:pPr>
      <w:r>
        <w:rPr>
          <w:rFonts w:ascii="맑은 고딕" w:hAnsi="맑은 고딕" w:eastAsia="맑은 고딕" w:cs="맑은 고딕"/>
          <w:sz w:val="19"/>
        </w:rPr>
        <w:t>대구시, '데이터안심구역' 개소…미개방데이터 활용 본격화 — 수성알파시티 (네이트뉴스) — https://m.news.nate.com/view/20251223n30255 (2025-12-23)</w:t>
      </w:r>
    </w:p>
    <w:p>
      <w:pPr>
        <w:pStyle w:val="ListNumber"/>
      </w:pPr>
      <w:r>
        <w:rPr>
          <w:rFonts w:ascii="맑은 고딕" w:hAnsi="맑은 고딕" w:eastAsia="맑은 고딕" w:cs="맑은 고딕"/>
          <w:sz w:val="19"/>
        </w:rPr>
        <w:t>국민 83% "보건의료데이터 활용 이익 환자·소비자와 공유해야" (라포르시안) — https://www.rapportian.com/news/articleView.html?idxno=238046 (2026-07)</w:t>
      </w:r>
    </w:p>
    <w:p>
      <w:pPr>
        <w:pStyle w:val="ListNumber"/>
      </w:pPr>
      <w:r>
        <w:rPr>
          <w:rFonts w:ascii="맑은 고딕" w:hAnsi="맑은 고딕" w:eastAsia="맑은 고딕" w:cs="맑은 고딕"/>
          <w:sz w:val="19"/>
        </w:rPr>
        <w:t>루닛, 세브란스병원과 MOU…의료 파운데이션 모델 기반 AI 임상 확산 협력 (아시아경제) — https://view.asiae.co.kr/article/2026051509193793128 (2026-05-15)</w:t>
      </w:r>
    </w:p>
    <w:p>
      <w:pPr>
        <w:pStyle w:val="ListNumber"/>
      </w:pPr>
      <w:r>
        <w:rPr>
          <w:rFonts w:ascii="맑은 고딕" w:hAnsi="맑은 고딕" w:eastAsia="맑은 고딕" w:cs="맑은 고딕"/>
          <w:sz w:val="19"/>
        </w:rPr>
        <w:t>루닛, 일산병원과 '의료 AI' 맞손…"진료부터 행정까지 AX 가속화" (네이트뉴스) — https://m.news.nate.com/view/20260513n33339 (2026-05-13)</w:t>
      </w:r>
    </w:p>
    <w:p>
      <w:pPr>
        <w:pStyle w:val="ListNumber"/>
      </w:pPr>
      <w:r>
        <w:rPr>
          <w:rFonts w:ascii="맑은 고딕" w:hAnsi="맑은 고딕" w:eastAsia="맑은 고딕" w:cs="맑은 고딕"/>
          <w:sz w:val="19"/>
        </w:rPr>
        <w:t>ONC, HHS Expands Secure Access to Health Records Through the TEFCA Network, Announces Milestone of One Billion Health Records Exchanged — https://healthit.gov/news/hhs-expands-secure-access-to-health-records-through-the-tefca-network-announces-milestone-of-one-billion-health-records-exchanged/ (2026-06-26)</w:t>
      </w:r>
    </w:p>
    <w:p>
      <w:pPr>
        <w:pStyle w:val="ListNumber"/>
      </w:pPr>
      <w:r>
        <w:rPr>
          <w:rFonts w:ascii="맑은 고딕" w:hAnsi="맑은 고딕" w:eastAsia="맑은 고딕" w:cs="맑은 고딕"/>
          <w:sz w:val="19"/>
        </w:rPr>
        <w:t>Health Business, New CEO appointed to Health Data Research Service — https://healthbusinessuk.net/news/13012026/new-ceo-appointed-health-data-research-service (2026-01-13)</w:t>
      </w:r>
    </w:p>
    <w:p>
      <w:pPr>
        <w:pStyle w:val="ListNumber"/>
      </w:pPr>
      <w:r>
        <w:rPr>
          <w:rFonts w:ascii="맑은 고딕" w:hAnsi="맑은 고딕" w:eastAsia="맑은 고딕" w:cs="맑은 고딕"/>
          <w:sz w:val="19"/>
        </w:rPr>
        <w:t>27개국 보건데이터 허브 구축 나선 유럽 'EHDS' — 첫 시행규정 2026년 4월·2차 활용 2029년 3월 (네이트뉴스) — https://m.news.nate.com/view/20260710n19926 (2026-07-10)</w:t>
      </w:r>
    </w:p>
    <w:p>
      <w:pPr>
        <w:pStyle w:val="ListNumber"/>
      </w:pPr>
      <w:r>
        <w:rPr>
          <w:rFonts w:ascii="맑은 고딕" w:hAnsi="맑은 고딕" w:eastAsia="맑은 고딕" w:cs="맑은 고딕"/>
          <w:sz w:val="19"/>
        </w:rPr>
        <w:t>AI 시대 의료데이터 활용 놓고 법·제도 정비 필요성 제기 — 심평원 심포지엄 (파이낸셜뉴스) — https://www.fnnews.com/news/202609230935097856 (2026-09-23)</w:t>
      </w:r>
    </w:p>
    <w:p>
      <w:pPr>
        <w:pStyle w:val="ListNumber"/>
      </w:pPr>
      <w:r>
        <w:rPr>
          <w:rFonts w:ascii="맑은 고딕" w:hAnsi="맑은 고딕" w:eastAsia="맑은 고딕" w:cs="맑은 고딕"/>
          <w:sz w:val="19"/>
        </w:rPr>
        <w:t>「개인정보 보호법」개정 - 인공지능기술 개발을 위한 개인정보 이용 특례 신설 (법률신문) — https://www.lawtimes.co.kr/news/articleView.html?idxno=226510 (2026-09)</w:t>
      </w:r>
    </w:p>
    <w:p>
      <w:pPr>
        <w:pStyle w:val="ListNumber"/>
      </w:pPr>
      <w:r>
        <w:rPr>
          <w:rFonts w:ascii="맑은 고딕" w:hAnsi="맑은 고딕" w:eastAsia="맑은 고딕" w:cs="맑은 고딕"/>
          <w:sz w:val="19"/>
        </w:rPr>
        <w:t>한국데이터산업진흥원, 동향리포트 2025년 7호 「AI 학습용 데이터의 생태계 및 법제도 변화」 — https://www.kdata.or.kr/kr/board/info_11/boardList.do?pageIndex=1&amp;searchCondition=all&amp;searchKeyword=%ED%95%99%EC%8A%B5%EC%9A%A9%20%EB%8D%B0%EC%9D%B4%ED%84%B0%EC%9D%98%20%EC%83%9D%ED%83%9C%EA%B3%84 (2025-11-28)</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맑은 고딕" w:hAnsi="맑은 고딕" w:eastAsia="맑은 고딕" w:cs="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맑은 고딕" w:hAnsi="맑은 고딕" w:eastAsia="맑은 고딕" w:cs="맑은 고딕"/>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맑은 고딕" w:hAnsi="맑은 고딕" w:eastAsia="맑은 고딕" w:cs="맑은 고딕"/>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맑은 고딕" w:hAnsi="맑은 고딕" w:eastAsia="맑은 고딕" w:cs="맑은 고딕"/>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80"/>
      <w:contextualSpacing/>
    </w:pPr>
    <w:rPr>
      <w:rFonts w:ascii="맑은 고딕" w:hAnsi="맑은 고딕" w:eastAsia="맑은 고딕" w:cs="맑은 고딕"/>
      <w:b/>
      <w:color w:val="1A1A1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s="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맑은 고딕" w:hAnsi="맑은 고딕" w:eastAsia="맑은 고딕" w:cs="맑은 고딕"/>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cs="맑은 고딕"/>
      <w:b/>
      <w:bCs/>
      <w:i w:val="0"/>
      <w:color w:val="44444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