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Enron Submission Free-Response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When your evaluator looks at your responses, he or she will use a specific list of rubric items to assess your answers. Here is the link to that rubric: [</w:t>
      </w:r>
      <w:hyperlink r:id="rId5">
        <w:r w:rsidDel="00000000" w:rsidR="00000000" w:rsidRPr="00000000">
          <w:rPr>
            <w:b w:val="1"/>
            <w:color w:val="1155cc"/>
            <w:u w:val="single"/>
            <w:rtl w:val="0"/>
          </w:rPr>
          <w:t xml:space="preserve">Link</w:t>
        </w:r>
      </w:hyperlink>
      <w:r w:rsidDel="00000000" w:rsidR="00000000" w:rsidRPr="00000000">
        <w:rPr>
          <w:rtl w:val="0"/>
        </w:rPr>
        <w:t xml:space="preserve">]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Once you’ve submitted your responses, your coach will take a look and may ask a few more focused follow-up questions on one or more of your answers.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We can’t wait to see what you’ve put together for this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What algorithm did you end up using? What other one(s) did you try? How did model performance differ between algorithms?  [relevant rubric item: “pick an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What is validation, and what’s a classic mistake you can make if you do it wrong? How did you validate your analysis?  [relevant rubric items: “discuss validation”, “validation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Give at least 2 evaluation metrics and your average performance for each of them.  Explain an interpretation of your metrics that says something human-understandable about your algorithm’s performance. [relevant rubric item: “usage of evaluation 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view.udacity.com/#!/projects/3174288624/rubric" TargetMode="External"/></Relationships>
</file>