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3B7A6" w14:textId="3B11A079" w:rsidR="00735FF7" w:rsidRPr="003311B7" w:rsidRDefault="008C080D" w:rsidP="00735FF7">
      <w:pPr>
        <w:pStyle w:val="papertitle"/>
        <w:spacing w:before="100" w:beforeAutospacing="1" w:after="100" w:afterAutospacing="1"/>
        <w:rPr>
          <w:i/>
          <w:iCs/>
          <w:sz w:val="72"/>
          <w:szCs w:val="72"/>
        </w:rPr>
      </w:pPr>
      <w:r w:rsidRPr="003311B7">
        <w:rPr>
          <w:i/>
          <w:iCs/>
          <w:sz w:val="72"/>
          <w:szCs w:val="72"/>
        </w:rPr>
        <w:t>Smart Park</w:t>
      </w:r>
    </w:p>
    <w:p w14:paraId="408DFD88" w14:textId="77777777" w:rsidR="00735FF7" w:rsidRPr="003311B7" w:rsidRDefault="00735FF7" w:rsidP="00735FF7">
      <w:pPr>
        <w:pStyle w:val="Author"/>
        <w:spacing w:before="100" w:beforeAutospacing="1" w:after="100" w:afterAutospacing="1" w:line="120" w:lineRule="auto"/>
      </w:pPr>
    </w:p>
    <w:p w14:paraId="224420F3" w14:textId="77777777" w:rsidR="00735FF7" w:rsidRPr="003311B7" w:rsidRDefault="00735FF7" w:rsidP="00735FF7">
      <w:pPr>
        <w:pStyle w:val="Author"/>
        <w:spacing w:before="100" w:beforeAutospacing="1" w:after="100" w:afterAutospacing="1" w:line="120" w:lineRule="auto"/>
        <w:sectPr w:rsidR="00735FF7" w:rsidRPr="003311B7" w:rsidSect="003B4E04">
          <w:footerReference w:type="first" r:id="rId5"/>
          <w:pgSz w:w="11906" w:h="16838" w:code="9"/>
          <w:pgMar w:top="540" w:right="893" w:bottom="1440" w:left="893" w:header="720" w:footer="720" w:gutter="0"/>
          <w:cols w:space="720"/>
          <w:titlePg/>
          <w:docGrid w:linePitch="360"/>
        </w:sectPr>
      </w:pPr>
    </w:p>
    <w:p w14:paraId="2AB0DC40" w14:textId="0B91FEEA" w:rsidR="00735FF7" w:rsidRPr="003311B7" w:rsidRDefault="008C080D" w:rsidP="008C080D">
      <w:pPr>
        <w:pStyle w:val="Author"/>
        <w:spacing w:before="100" w:beforeAutospacing="1"/>
      </w:pPr>
      <w:r w:rsidRPr="003311B7">
        <w:t>Alex Chiem</w:t>
      </w:r>
      <w:r w:rsidR="00735FF7" w:rsidRPr="003311B7">
        <w:t xml:space="preserve"> </w:t>
      </w:r>
      <w:r w:rsidR="00735FF7" w:rsidRPr="003311B7">
        <w:br/>
      </w:r>
      <w:r w:rsidRPr="003311B7">
        <w:t>Senior Design II</w:t>
      </w:r>
      <w:r w:rsidR="00735FF7" w:rsidRPr="003311B7">
        <w:rPr>
          <w:i/>
        </w:rPr>
        <w:t xml:space="preserve"> </w:t>
      </w:r>
      <w:r w:rsidR="00735FF7" w:rsidRPr="003311B7">
        <w:br/>
      </w:r>
      <w:r w:rsidRPr="003311B7">
        <w:t>Smart Park (EE)</w:t>
      </w:r>
      <w:r w:rsidR="00735FF7" w:rsidRPr="003311B7">
        <w:rPr>
          <w:i/>
        </w:rPr>
        <w:t xml:space="preserve"> </w:t>
      </w:r>
      <w:r w:rsidR="00735FF7" w:rsidRPr="003311B7">
        <w:rPr>
          <w:i/>
        </w:rPr>
        <w:br/>
      </w:r>
      <w:r w:rsidRPr="003311B7">
        <w:rPr>
          <w:i/>
        </w:rPr>
        <w:t>Wichita KS, USA</w:t>
      </w:r>
      <w:r w:rsidR="00735FF7" w:rsidRPr="003311B7">
        <w:br/>
        <w:t>line 5: email address or ORCID</w:t>
      </w:r>
    </w:p>
    <w:p w14:paraId="5DFE5226" w14:textId="1F65398A" w:rsidR="00735FF7" w:rsidRPr="003311B7" w:rsidRDefault="008C080D" w:rsidP="00735FF7">
      <w:pPr>
        <w:pStyle w:val="Author"/>
        <w:spacing w:before="100" w:beforeAutospacing="1"/>
      </w:pPr>
      <w:r w:rsidRPr="003311B7">
        <w:t xml:space="preserve"> </w:t>
      </w:r>
      <w:r w:rsidR="00735FF7" w:rsidRPr="003311B7">
        <w:br w:type="column"/>
      </w:r>
      <w:r w:rsidRPr="003311B7">
        <w:t>Damian Avery</w:t>
      </w:r>
      <w:r w:rsidR="00735FF7" w:rsidRPr="003311B7">
        <w:br/>
      </w:r>
      <w:r w:rsidRPr="003311B7">
        <w:t>Senior Design II</w:t>
      </w:r>
      <w:r w:rsidRPr="003311B7">
        <w:rPr>
          <w:i/>
        </w:rPr>
        <w:t xml:space="preserve"> </w:t>
      </w:r>
      <w:r w:rsidRPr="003311B7">
        <w:br/>
        <w:t>Smart Park (EE)</w:t>
      </w:r>
      <w:r w:rsidRPr="003311B7">
        <w:rPr>
          <w:i/>
        </w:rPr>
        <w:t xml:space="preserve"> </w:t>
      </w:r>
      <w:r w:rsidRPr="003311B7">
        <w:rPr>
          <w:i/>
        </w:rPr>
        <w:br/>
        <w:t>Wichita KS, USA</w:t>
      </w:r>
      <w:r w:rsidR="00735FF7" w:rsidRPr="003311B7">
        <w:br/>
      </w:r>
      <w:r w:rsidRPr="003311B7">
        <w:t>W963H945@wichita.edu</w:t>
      </w:r>
    </w:p>
    <w:p w14:paraId="00A25FEA" w14:textId="5F04477A" w:rsidR="00735FF7" w:rsidRPr="003311B7" w:rsidRDefault="008C080D" w:rsidP="00735FF7">
      <w:pPr>
        <w:pStyle w:val="Author"/>
        <w:spacing w:before="100" w:beforeAutospacing="1"/>
      </w:pPr>
      <w:r w:rsidRPr="003311B7">
        <w:t>Max Burrell</w:t>
      </w:r>
      <w:r w:rsidR="00735FF7" w:rsidRPr="003311B7">
        <w:br/>
      </w:r>
      <w:r w:rsidRPr="003311B7">
        <w:t>Senior Design II</w:t>
      </w:r>
      <w:r w:rsidRPr="003311B7">
        <w:rPr>
          <w:i/>
        </w:rPr>
        <w:t xml:space="preserve"> </w:t>
      </w:r>
      <w:r w:rsidRPr="003311B7">
        <w:br/>
        <w:t>Smart Park (EE)</w:t>
      </w:r>
      <w:r w:rsidRPr="003311B7">
        <w:rPr>
          <w:i/>
        </w:rPr>
        <w:t xml:space="preserve"> </w:t>
      </w:r>
      <w:r w:rsidRPr="003311B7">
        <w:rPr>
          <w:i/>
        </w:rPr>
        <w:br/>
        <w:t>Wichita KS, USA</w:t>
      </w:r>
      <w:r w:rsidR="00735FF7" w:rsidRPr="003311B7">
        <w:br/>
        <w:t>line 5: email address  or ORCID</w:t>
      </w:r>
      <w:r w:rsidR="00735FF7" w:rsidRPr="003311B7">
        <w:br w:type="column"/>
      </w:r>
      <w:r w:rsidRPr="003311B7">
        <w:t>Martin K</w:t>
      </w:r>
      <w:r w:rsidR="00735FF7" w:rsidRPr="003311B7">
        <w:br/>
      </w:r>
      <w:r w:rsidRPr="003311B7">
        <w:t>Senior Design II</w:t>
      </w:r>
      <w:r w:rsidRPr="003311B7">
        <w:rPr>
          <w:i/>
        </w:rPr>
        <w:t xml:space="preserve"> </w:t>
      </w:r>
      <w:r w:rsidRPr="003311B7">
        <w:br/>
        <w:t>Smart Park (EE)</w:t>
      </w:r>
      <w:r w:rsidRPr="003311B7">
        <w:rPr>
          <w:i/>
        </w:rPr>
        <w:t xml:space="preserve"> </w:t>
      </w:r>
      <w:r w:rsidRPr="003311B7">
        <w:rPr>
          <w:i/>
        </w:rPr>
        <w:br/>
        <w:t>Wichita KS, USA</w:t>
      </w:r>
      <w:r w:rsidR="00735FF7" w:rsidRPr="003311B7">
        <w:br/>
        <w:t>line 5: email address or ORCID</w:t>
      </w:r>
    </w:p>
    <w:p w14:paraId="70463AE5" w14:textId="6F09D903" w:rsidR="00735FF7" w:rsidRPr="003311B7" w:rsidRDefault="00735FF7" w:rsidP="00735FF7">
      <w:pPr>
        <w:pStyle w:val="Author"/>
        <w:spacing w:before="100" w:beforeAutospacing="1"/>
      </w:pPr>
      <w:r w:rsidRPr="003311B7">
        <w:br/>
      </w:r>
    </w:p>
    <w:p w14:paraId="5CCE4E8D" w14:textId="71A8576E" w:rsidR="008C080D" w:rsidRPr="003311B7" w:rsidRDefault="008C080D" w:rsidP="00735FF7">
      <w:pPr>
        <w:pStyle w:val="Author"/>
        <w:spacing w:before="100" w:beforeAutospacing="1"/>
      </w:pPr>
    </w:p>
    <w:p w14:paraId="3654D205" w14:textId="77777777" w:rsidR="008C080D" w:rsidRPr="003311B7" w:rsidRDefault="008C080D" w:rsidP="00735FF7">
      <w:pPr>
        <w:pStyle w:val="Author"/>
        <w:spacing w:before="100" w:beforeAutospacing="1"/>
      </w:pPr>
    </w:p>
    <w:p w14:paraId="514E4772" w14:textId="77777777" w:rsidR="00735FF7" w:rsidRPr="003311B7" w:rsidRDefault="00735FF7" w:rsidP="00735FF7">
      <w:pPr>
        <w:rPr>
          <w:sz w:val="22"/>
          <w:szCs w:val="22"/>
        </w:rPr>
        <w:sectPr w:rsidR="00735FF7" w:rsidRPr="003311B7" w:rsidSect="003B4E04">
          <w:type w:val="continuous"/>
          <w:pgSz w:w="11906" w:h="16838" w:code="9"/>
          <w:pgMar w:top="450" w:right="893" w:bottom="1440" w:left="893" w:header="720" w:footer="720" w:gutter="0"/>
          <w:cols w:num="3" w:space="720"/>
          <w:docGrid w:linePitch="360"/>
        </w:sectPr>
      </w:pPr>
    </w:p>
    <w:p w14:paraId="4317C724" w14:textId="77777777" w:rsidR="00735FF7" w:rsidRPr="003311B7" w:rsidRDefault="00735FF7" w:rsidP="00735FF7">
      <w:pPr>
        <w:rPr>
          <w:sz w:val="22"/>
          <w:szCs w:val="22"/>
        </w:rPr>
        <w:sectPr w:rsidR="00735FF7" w:rsidRPr="003311B7" w:rsidSect="003B4E04">
          <w:type w:val="continuous"/>
          <w:pgSz w:w="11906" w:h="16838" w:code="9"/>
          <w:pgMar w:top="450" w:right="893" w:bottom="1440" w:left="893" w:header="720" w:footer="720" w:gutter="0"/>
          <w:cols w:num="3" w:space="720"/>
          <w:docGrid w:linePitch="360"/>
        </w:sectPr>
      </w:pPr>
      <w:r w:rsidRPr="003311B7">
        <w:rPr>
          <w:sz w:val="22"/>
          <w:szCs w:val="22"/>
        </w:rPr>
        <w:br w:type="column"/>
      </w:r>
    </w:p>
    <w:p w14:paraId="023F8B0C" w14:textId="44533973" w:rsidR="00735FF7" w:rsidRPr="003311B7" w:rsidRDefault="00735FF7" w:rsidP="00735FF7">
      <w:pPr>
        <w:pStyle w:val="Abstract"/>
        <w:rPr>
          <w:i/>
          <w:iCs/>
          <w:sz w:val="22"/>
          <w:szCs w:val="22"/>
        </w:rPr>
      </w:pPr>
      <w:r w:rsidRPr="003311B7">
        <w:rPr>
          <w:i/>
          <w:iCs/>
          <w:sz w:val="22"/>
          <w:szCs w:val="22"/>
        </w:rPr>
        <w:t>Abstract</w:t>
      </w:r>
      <w:r w:rsidRPr="003311B7">
        <w:rPr>
          <w:sz w:val="22"/>
          <w:szCs w:val="22"/>
        </w:rPr>
        <w:t>—</w:t>
      </w:r>
      <w:r w:rsidR="007B3F6E" w:rsidRPr="003311B7">
        <w:rPr>
          <w:sz w:val="22"/>
          <w:szCs w:val="22"/>
        </w:rPr>
        <w:t xml:space="preserve"> </w:t>
      </w:r>
      <w:r w:rsidR="007B3F6E" w:rsidRPr="003311B7">
        <w:rPr>
          <w:rStyle w:val="normaltextrun"/>
          <w:color w:val="000000"/>
          <w:sz w:val="22"/>
          <w:szCs w:val="22"/>
          <w:shd w:val="clear" w:color="auto" w:fill="FFFFFF"/>
        </w:rPr>
        <w:t xml:space="preserve">Smart Park is an application that will direct users to an available parking stall on campus via a UI (user interface). To accurately determine an occupied or vacant parking stall, the team has implemented a sensor package that can detect a vehicles presence and then send the data to the app. The team </w:t>
      </w:r>
      <w:proofErr w:type="gramStart"/>
      <w:r w:rsidR="007B3F6E" w:rsidRPr="003311B7">
        <w:rPr>
          <w:rStyle w:val="normaltextrun"/>
          <w:color w:val="000000"/>
          <w:sz w:val="22"/>
          <w:szCs w:val="22"/>
          <w:shd w:val="clear" w:color="auto" w:fill="FFFFFF"/>
        </w:rPr>
        <w:t>is split</w:t>
      </w:r>
      <w:proofErr w:type="gramEnd"/>
      <w:r w:rsidR="007B3F6E" w:rsidRPr="003311B7">
        <w:rPr>
          <w:rStyle w:val="normaltextrun"/>
          <w:color w:val="000000"/>
          <w:sz w:val="22"/>
          <w:szCs w:val="22"/>
          <w:shd w:val="clear" w:color="auto" w:fill="FFFFFF"/>
        </w:rPr>
        <w:t xml:space="preserve"> into a CS component and an EE component. The CS side is responsible to the app while the EE team is responsible </w:t>
      </w:r>
      <w:r w:rsidR="0051265C" w:rsidRPr="003311B7">
        <w:rPr>
          <w:rStyle w:val="normaltextrun"/>
          <w:color w:val="000000"/>
          <w:sz w:val="22"/>
          <w:szCs w:val="22"/>
          <w:shd w:val="clear" w:color="auto" w:fill="FFFFFF"/>
        </w:rPr>
        <w:t xml:space="preserve">for vehicle detection and wireless communication. </w:t>
      </w:r>
      <w:r w:rsidR="007B3F6E" w:rsidRPr="003311B7">
        <w:rPr>
          <w:rStyle w:val="normaltextrun"/>
          <w:color w:val="000000"/>
          <w:sz w:val="22"/>
          <w:szCs w:val="22"/>
          <w:shd w:val="clear" w:color="auto" w:fill="FFFFFF"/>
        </w:rPr>
        <w:t xml:space="preserve">Since this is an EE technical </w:t>
      </w:r>
      <w:r w:rsidR="0051265C" w:rsidRPr="003311B7">
        <w:rPr>
          <w:rStyle w:val="normaltextrun"/>
          <w:color w:val="000000"/>
          <w:sz w:val="22"/>
          <w:szCs w:val="22"/>
          <w:shd w:val="clear" w:color="auto" w:fill="FFFFFF"/>
        </w:rPr>
        <w:t>document</w:t>
      </w:r>
      <w:r w:rsidR="007B3F6E" w:rsidRPr="003311B7">
        <w:rPr>
          <w:rStyle w:val="normaltextrun"/>
          <w:color w:val="000000"/>
          <w:sz w:val="22"/>
          <w:szCs w:val="22"/>
          <w:shd w:val="clear" w:color="auto" w:fill="FFFFFF"/>
        </w:rPr>
        <w:t xml:space="preserve"> only the EE component will be discussed in detail</w:t>
      </w:r>
      <w:proofErr w:type="gramStart"/>
      <w:r w:rsidR="007B3F6E" w:rsidRPr="003311B7">
        <w:rPr>
          <w:rStyle w:val="normaltextrun"/>
          <w:color w:val="000000"/>
          <w:sz w:val="22"/>
          <w:szCs w:val="22"/>
          <w:shd w:val="clear" w:color="auto" w:fill="FFFFFF"/>
        </w:rPr>
        <w:t>. </w:t>
      </w:r>
      <w:r w:rsidR="007B3F6E" w:rsidRPr="003311B7">
        <w:rPr>
          <w:rStyle w:val="eop"/>
          <w:color w:val="000000"/>
          <w:sz w:val="22"/>
          <w:szCs w:val="22"/>
          <w:shd w:val="clear" w:color="auto" w:fill="FFFFFF"/>
        </w:rPr>
        <w:t> </w:t>
      </w:r>
      <w:proofErr w:type="gramEnd"/>
    </w:p>
    <w:p w14:paraId="5AC5EC1A" w14:textId="77777777" w:rsidR="00735FF7" w:rsidRPr="003311B7" w:rsidRDefault="00735FF7" w:rsidP="00735FF7">
      <w:pPr>
        <w:pStyle w:val="Keywords"/>
        <w:rPr>
          <w:sz w:val="22"/>
          <w:szCs w:val="22"/>
        </w:rPr>
      </w:pPr>
      <w:r w:rsidRPr="003311B7">
        <w:rPr>
          <w:sz w:val="22"/>
          <w:szCs w:val="22"/>
        </w:rPr>
        <w:t>Keywords—component, formatting, style, styling, insert (</w:t>
      </w:r>
      <w:r w:rsidRPr="003311B7">
        <w:rPr>
          <w:b w:val="0"/>
          <w:sz w:val="22"/>
          <w:szCs w:val="22"/>
        </w:rPr>
        <w:t>key words</w:t>
      </w:r>
      <w:r w:rsidRPr="003311B7">
        <w:rPr>
          <w:sz w:val="22"/>
          <w:szCs w:val="22"/>
        </w:rPr>
        <w:t>)</w:t>
      </w:r>
    </w:p>
    <w:p w14:paraId="75FF89BF" w14:textId="69CDA81E" w:rsidR="00735FF7" w:rsidRPr="003311B7" w:rsidRDefault="00735FF7" w:rsidP="00735FF7">
      <w:pPr>
        <w:pStyle w:val="Heading1"/>
        <w:rPr>
          <w:sz w:val="22"/>
          <w:szCs w:val="22"/>
        </w:rPr>
      </w:pPr>
      <w:r w:rsidRPr="003311B7">
        <w:rPr>
          <w:sz w:val="22"/>
          <w:szCs w:val="22"/>
        </w:rPr>
        <w:t xml:space="preserve">Introduction </w:t>
      </w:r>
      <w:r w:rsidR="003311B7" w:rsidRPr="003311B7">
        <w:rPr>
          <w:sz w:val="22"/>
          <w:szCs w:val="22"/>
        </w:rPr>
        <w:t>(Purpose/background</w:t>
      </w:r>
      <w:r w:rsidR="00E91DE3">
        <w:rPr>
          <w:sz w:val="22"/>
          <w:szCs w:val="22"/>
        </w:rPr>
        <w:t>/Need</w:t>
      </w:r>
      <w:r w:rsidR="003311B7" w:rsidRPr="003311B7">
        <w:rPr>
          <w:sz w:val="22"/>
          <w:szCs w:val="22"/>
        </w:rPr>
        <w:t>)</w:t>
      </w:r>
    </w:p>
    <w:p w14:paraId="28B3AE34" w14:textId="3A356A74" w:rsidR="0051265C" w:rsidRDefault="0051265C" w:rsidP="0051265C">
      <w:pPr>
        <w:rPr>
          <w:rFonts w:eastAsia="Times New Roman"/>
          <w:sz w:val="22"/>
          <w:szCs w:val="22"/>
        </w:rPr>
      </w:pPr>
      <w:r w:rsidRPr="003311B7">
        <w:rPr>
          <w:sz w:val="22"/>
          <w:szCs w:val="22"/>
        </w:rPr>
        <w:t xml:space="preserve">The objective of the </w:t>
      </w:r>
      <w:r w:rsidR="006079C1" w:rsidRPr="003311B7">
        <w:rPr>
          <w:sz w:val="22"/>
          <w:szCs w:val="22"/>
        </w:rPr>
        <w:t>S</w:t>
      </w:r>
      <w:r w:rsidRPr="003311B7">
        <w:rPr>
          <w:sz w:val="22"/>
          <w:szCs w:val="22"/>
        </w:rPr>
        <w:t xml:space="preserve">mart </w:t>
      </w:r>
      <w:r w:rsidR="006079C1" w:rsidRPr="003311B7">
        <w:rPr>
          <w:sz w:val="22"/>
          <w:szCs w:val="22"/>
        </w:rPr>
        <w:t>P</w:t>
      </w:r>
      <w:r w:rsidRPr="003311B7">
        <w:rPr>
          <w:sz w:val="22"/>
          <w:szCs w:val="22"/>
        </w:rPr>
        <w:t xml:space="preserve">ark system </w:t>
      </w:r>
      <w:r w:rsidR="006079C1" w:rsidRPr="003311B7">
        <w:rPr>
          <w:sz w:val="22"/>
          <w:szCs w:val="22"/>
        </w:rPr>
        <w:t xml:space="preserve">is to deliver convenience to end users. It accomplishes this by providing directions to open parking stalls on campus. This </w:t>
      </w:r>
      <w:r w:rsidR="00EA2908" w:rsidRPr="003311B7">
        <w:rPr>
          <w:sz w:val="22"/>
          <w:szCs w:val="22"/>
        </w:rPr>
        <w:t>saves time, increases traffic efficiency, incentiv</w:t>
      </w:r>
      <w:r w:rsidR="00A20CE8">
        <w:rPr>
          <w:sz w:val="22"/>
          <w:szCs w:val="22"/>
        </w:rPr>
        <w:t>izes</w:t>
      </w:r>
      <w:r w:rsidR="00EA2908" w:rsidRPr="003311B7">
        <w:rPr>
          <w:sz w:val="22"/>
          <w:szCs w:val="22"/>
        </w:rPr>
        <w:t xml:space="preserve"> parking permit </w:t>
      </w:r>
      <w:r w:rsidR="00EA2908" w:rsidRPr="003311B7">
        <w:rPr>
          <w:sz w:val="22"/>
          <w:szCs w:val="22"/>
        </w:rPr>
        <w:t>acquisition</w:t>
      </w:r>
      <w:r w:rsidR="00EA2908" w:rsidRPr="003311B7">
        <w:rPr>
          <w:sz w:val="22"/>
          <w:szCs w:val="22"/>
        </w:rPr>
        <w:t xml:space="preserve">s, and boosts user admissions. This package utilizes a </w:t>
      </w:r>
      <w:r w:rsidR="00A20CE8">
        <w:rPr>
          <w:sz w:val="22"/>
          <w:szCs w:val="22"/>
        </w:rPr>
        <w:t xml:space="preserve">wireless communication protocol to </w:t>
      </w:r>
      <w:r w:rsidR="00EA2908" w:rsidRPr="003311B7">
        <w:rPr>
          <w:sz w:val="22"/>
          <w:szCs w:val="22"/>
        </w:rPr>
        <w:t xml:space="preserve">transmit </w:t>
      </w:r>
      <w:r w:rsidR="003311B7" w:rsidRPr="003311B7">
        <w:rPr>
          <w:sz w:val="22"/>
          <w:szCs w:val="22"/>
        </w:rPr>
        <w:t xml:space="preserve">parking updates </w:t>
      </w:r>
      <w:r w:rsidR="00EA2908" w:rsidRPr="003311B7">
        <w:rPr>
          <w:sz w:val="22"/>
          <w:szCs w:val="22"/>
        </w:rPr>
        <w:t xml:space="preserve">from end nodes </w:t>
      </w:r>
      <w:r w:rsidR="003311B7" w:rsidRPr="003311B7">
        <w:rPr>
          <w:sz w:val="22"/>
          <w:szCs w:val="22"/>
        </w:rPr>
        <w:t xml:space="preserve">to the UI. </w:t>
      </w:r>
      <w:r w:rsidR="003311B7" w:rsidRPr="003311B7">
        <w:rPr>
          <w:rFonts w:eastAsia="Times New Roman"/>
          <w:sz w:val="22"/>
          <w:szCs w:val="22"/>
        </w:rPr>
        <w:t xml:space="preserve">Intended use of the system can and may </w:t>
      </w:r>
      <w:proofErr w:type="gramStart"/>
      <w:r w:rsidR="003311B7" w:rsidRPr="003311B7">
        <w:rPr>
          <w:rFonts w:eastAsia="Times New Roman"/>
          <w:sz w:val="22"/>
          <w:szCs w:val="22"/>
        </w:rPr>
        <w:t>be customized</w:t>
      </w:r>
      <w:proofErr w:type="gramEnd"/>
      <w:r w:rsidR="003311B7" w:rsidRPr="003311B7">
        <w:rPr>
          <w:rFonts w:eastAsia="Times New Roman"/>
          <w:sz w:val="22"/>
          <w:szCs w:val="22"/>
        </w:rPr>
        <w:t xml:space="preserve"> to suit interested </w:t>
      </w:r>
      <w:r w:rsidR="00E91DE3" w:rsidRPr="003311B7">
        <w:rPr>
          <w:rFonts w:eastAsia="Times New Roman"/>
          <w:sz w:val="22"/>
          <w:szCs w:val="22"/>
        </w:rPr>
        <w:t>parties’</w:t>
      </w:r>
      <w:r w:rsidR="003311B7" w:rsidRPr="003311B7">
        <w:rPr>
          <w:rFonts w:eastAsia="Times New Roman"/>
          <w:sz w:val="22"/>
          <w:szCs w:val="22"/>
        </w:rPr>
        <w:t xml:space="preserve"> specific needs.</w:t>
      </w:r>
    </w:p>
    <w:p w14:paraId="7280DD5F" w14:textId="77777777" w:rsidR="00E91DE3" w:rsidRPr="003311B7" w:rsidRDefault="00E91DE3" w:rsidP="0051265C">
      <w:pPr>
        <w:rPr>
          <w:sz w:val="22"/>
          <w:szCs w:val="22"/>
        </w:rPr>
      </w:pPr>
    </w:p>
    <w:p w14:paraId="28708B89" w14:textId="1FEF8063" w:rsidR="00735FF7" w:rsidRPr="00E91DE3" w:rsidRDefault="00E91DE3" w:rsidP="007B3F6E">
      <w:pPr>
        <w:pStyle w:val="BodyText"/>
        <w:rPr>
          <w:sz w:val="22"/>
          <w:szCs w:val="22"/>
          <w:lang w:val="en-US"/>
        </w:rPr>
      </w:pPr>
      <w:r>
        <w:rPr>
          <w:sz w:val="22"/>
          <w:szCs w:val="22"/>
          <w:lang w:val="en-US"/>
        </w:rPr>
        <w:t>Functionality</w:t>
      </w:r>
    </w:p>
    <w:p w14:paraId="00A5DF57" w14:textId="54B9717C" w:rsidR="00735FF7" w:rsidRDefault="00E91DE3" w:rsidP="00735FF7">
      <w:pPr>
        <w:pStyle w:val="Heading2"/>
        <w:rPr>
          <w:sz w:val="22"/>
          <w:szCs w:val="22"/>
        </w:rPr>
      </w:pPr>
      <w:r>
        <w:rPr>
          <w:sz w:val="22"/>
          <w:szCs w:val="22"/>
        </w:rPr>
        <w:t>Challenge</w:t>
      </w:r>
    </w:p>
    <w:p w14:paraId="5ECC25D0" w14:textId="41E0ECAF" w:rsidR="00E91DE3" w:rsidRDefault="005C3C19" w:rsidP="00E91DE3">
      <w:r>
        <w:t>E</w:t>
      </w:r>
      <w:r w:rsidR="00E91DE3">
        <w:t>xecuting vehicle detection and wireless communication</w:t>
      </w:r>
      <w:r>
        <w:t xml:space="preserve"> creates technical constraints</w:t>
      </w:r>
      <w:r w:rsidR="00E91DE3">
        <w:t>. We must have a wireless device that absorbs minimal power maintaining charge for 6 + years. Vehicle detection</w:t>
      </w:r>
      <w:r>
        <w:t xml:space="preserve"> must</w:t>
      </w:r>
      <w:r w:rsidR="00E91DE3">
        <w:t xml:space="preserve"> </w:t>
      </w:r>
      <w:proofErr w:type="gramStart"/>
      <w:r w:rsidR="00E91DE3">
        <w:t>be achieved</w:t>
      </w:r>
      <w:proofErr w:type="gramEnd"/>
      <w:r>
        <w:t xml:space="preserve"> with variable ride heights</w:t>
      </w:r>
      <w:r w:rsidR="00E91DE3">
        <w:t xml:space="preserve"> </w:t>
      </w:r>
      <w:r>
        <w:t xml:space="preserve">and </w:t>
      </w:r>
      <w:r w:rsidR="00E91DE3">
        <w:t xml:space="preserve">extreme weather conditions. </w:t>
      </w:r>
      <w:r>
        <w:t xml:space="preserve">Detection must be </w:t>
      </w:r>
      <w:proofErr w:type="gramStart"/>
      <w:r>
        <w:t>reliable</w:t>
      </w:r>
      <w:proofErr w:type="gramEnd"/>
      <w:r>
        <w:t>, and this information must be passed wirelessly from long and differentiating distances. Lastly this product must be of high quality to maintain convenience factor for customers.</w:t>
      </w:r>
    </w:p>
    <w:p w14:paraId="5FFD8DC3" w14:textId="77777777" w:rsidR="00E91DE3" w:rsidRPr="00E91DE3" w:rsidRDefault="00E91DE3" w:rsidP="00E91DE3"/>
    <w:p w14:paraId="1C9C0B38" w14:textId="6C3BD94B" w:rsidR="00735FF7" w:rsidRPr="003311B7" w:rsidRDefault="005C3C19" w:rsidP="00171FC1">
      <w:pPr>
        <w:pStyle w:val="Heading2"/>
      </w:pPr>
      <w:r>
        <w:t>Solution (Sensor Package)</w:t>
      </w:r>
    </w:p>
    <w:p w14:paraId="56D6A36F" w14:textId="56B1A497" w:rsidR="00D26305" w:rsidRDefault="005C3C19" w:rsidP="00D26305">
      <w:r>
        <w:t>The sensor package or node signifies the starting point for the Smart Park data infrastructure. The node’s function is to reliably detect a vehicles presence and then transmit the data to a local gateway</w:t>
      </w:r>
      <w:r w:rsidR="00171FC1">
        <w:t xml:space="preserve">. </w:t>
      </w:r>
      <w:r>
        <w:t xml:space="preserve">The sensor package is made up of </w:t>
      </w:r>
      <w:proofErr w:type="gramStart"/>
      <w:r>
        <w:t>4</w:t>
      </w:r>
      <w:proofErr w:type="gramEnd"/>
      <w:r>
        <w:t xml:space="preserve"> separate components. The </w:t>
      </w:r>
      <w:proofErr w:type="gramStart"/>
      <w:r>
        <w:t>1</w:t>
      </w:r>
      <w:r w:rsidRPr="00E138BE">
        <w:rPr>
          <w:vertAlign w:val="superscript"/>
        </w:rPr>
        <w:t>st</w:t>
      </w:r>
      <w:proofErr w:type="gramEnd"/>
      <w:r w:rsidRPr="00E138BE">
        <w:rPr>
          <w:vertAlign w:val="superscript"/>
        </w:rPr>
        <w:t xml:space="preserve"> </w:t>
      </w:r>
      <w:r>
        <w:t xml:space="preserve">component is the LoRa module which utilizes a long range-low power-low data protocol to wirelessly communicate with other devices. The </w:t>
      </w:r>
      <w:proofErr w:type="gramStart"/>
      <w:r>
        <w:t>2</w:t>
      </w:r>
      <w:r w:rsidRPr="00E138BE">
        <w:rPr>
          <w:vertAlign w:val="superscript"/>
        </w:rPr>
        <w:t>nd</w:t>
      </w:r>
      <w:proofErr w:type="gramEnd"/>
      <w:r>
        <w:t xml:space="preserve"> component is the sensor which will determine the vehicles presence utilizing a tandem of detection methods.</w:t>
      </w:r>
      <w:r>
        <w:t xml:space="preserve"> This ensures a 2</w:t>
      </w:r>
      <w:r w:rsidR="00C3478B">
        <w:t>-</w:t>
      </w:r>
      <w:r>
        <w:t>point</w:t>
      </w:r>
      <w:r w:rsidR="00C3478B">
        <w:t>-</w:t>
      </w:r>
      <w:r>
        <w:t>of</w:t>
      </w:r>
      <w:r w:rsidR="00C3478B">
        <w:t>-</w:t>
      </w:r>
      <w:r>
        <w:t>failure detection rate</w:t>
      </w:r>
      <w:r w:rsidR="00C3478B">
        <w:t xml:space="preserve"> mitigating unreliable or faulty sensing.</w:t>
      </w:r>
      <w:r>
        <w:t xml:space="preserve"> </w:t>
      </w:r>
      <w:r>
        <w:t>Next is the power supply which will consist of a battery enabling the device to be wireless. Lastly the housing which will protect the internal components from the agricultural environment</w:t>
      </w:r>
      <w:r w:rsidR="00171FC1">
        <w:t>. This includes</w:t>
      </w:r>
      <w:r w:rsidR="00C3478B">
        <w:t xml:space="preserve"> insulating </w:t>
      </w:r>
      <w:r w:rsidR="00171FC1">
        <w:t xml:space="preserve">any </w:t>
      </w:r>
      <w:r w:rsidR="00C3478B">
        <w:t>heat generated by electrical components for low temperature operation</w:t>
      </w:r>
      <w:r>
        <w:t>.</w:t>
      </w:r>
    </w:p>
    <w:p w14:paraId="7804161C" w14:textId="77777777" w:rsidR="00D26305" w:rsidRDefault="00D26305" w:rsidP="00D26305"/>
    <w:p w14:paraId="0A49D5CE" w14:textId="024E6164" w:rsidR="00D26305" w:rsidRPr="00D26305" w:rsidRDefault="00D26305" w:rsidP="00D26305">
      <w:pPr>
        <w:pStyle w:val="ListParagraph"/>
        <w:numPr>
          <w:ilvl w:val="0"/>
          <w:numId w:val="10"/>
        </w:numPr>
        <w:jc w:val="both"/>
        <w:rPr>
          <w:i/>
          <w:iCs/>
        </w:rPr>
      </w:pPr>
      <w:r w:rsidRPr="00D26305">
        <w:rPr>
          <w:i/>
          <w:iCs/>
        </w:rPr>
        <w:t>Summary</w:t>
      </w:r>
    </w:p>
    <w:p w14:paraId="3DA04A0A" w14:textId="49453B3F" w:rsidR="00D26305" w:rsidRDefault="00D26305" w:rsidP="00D26305"/>
    <w:p w14:paraId="7FFEC303" w14:textId="6B8C5634" w:rsidR="00D26305" w:rsidRDefault="00D26305" w:rsidP="00D26305"/>
    <w:p w14:paraId="01D3FC82" w14:textId="3C8AC531" w:rsidR="00D26305" w:rsidRDefault="00D26305" w:rsidP="00D26305"/>
    <w:p w14:paraId="32BBCAF6" w14:textId="77777777" w:rsidR="00D26305" w:rsidRDefault="00D26305" w:rsidP="00D26305"/>
    <w:p w14:paraId="0CBEAF9F" w14:textId="77777777" w:rsidR="00171FC1" w:rsidRDefault="00171FC1" w:rsidP="00171FC1">
      <w:pPr>
        <w:pStyle w:val="Heading1"/>
        <w:numPr>
          <w:ilvl w:val="0"/>
          <w:numId w:val="0"/>
        </w:numPr>
        <w:jc w:val="both"/>
      </w:pPr>
    </w:p>
    <w:p w14:paraId="77ABD0DD" w14:textId="433AD14D" w:rsidR="00735FF7" w:rsidRDefault="00D26305" w:rsidP="00735FF7">
      <w:pPr>
        <w:pStyle w:val="Heading1"/>
        <w:rPr>
          <w:sz w:val="22"/>
          <w:szCs w:val="22"/>
        </w:rPr>
      </w:pPr>
      <w:r>
        <w:rPr>
          <w:sz w:val="22"/>
          <w:szCs w:val="22"/>
        </w:rPr>
        <w:t xml:space="preserve">Project Description </w:t>
      </w:r>
    </w:p>
    <w:p w14:paraId="427C535C" w14:textId="77777777" w:rsidR="00D26305" w:rsidRPr="00D26305" w:rsidRDefault="00D26305" w:rsidP="00D26305"/>
    <w:p w14:paraId="64469481" w14:textId="1BD5007B" w:rsidR="00D26305" w:rsidRDefault="00D26305" w:rsidP="00D26305">
      <w:pPr>
        <w:pStyle w:val="BodyText"/>
        <w:numPr>
          <w:ilvl w:val="0"/>
          <w:numId w:val="11"/>
        </w:numPr>
        <w:rPr>
          <w:sz w:val="22"/>
          <w:szCs w:val="22"/>
          <w:lang w:val="en-US"/>
        </w:rPr>
      </w:pPr>
      <w:r>
        <w:rPr>
          <w:sz w:val="22"/>
          <w:szCs w:val="22"/>
          <w:lang w:val="en-US"/>
        </w:rPr>
        <w:t>LoRa Module</w:t>
      </w:r>
    </w:p>
    <w:p w14:paraId="5C35FCB7" w14:textId="70B7EA79" w:rsidR="008B0CF8" w:rsidRDefault="00D26305" w:rsidP="00D26305">
      <w:pPr>
        <w:jc w:val="both"/>
      </w:pPr>
      <w:r w:rsidRPr="006C07A9">
        <w:t>The LoRa module is a microcontroller PCB from Arduino called the MKR WAN 1310 that includes a LoRa protocol transmitter</w:t>
      </w:r>
      <w:r w:rsidR="00BE5845">
        <w:t xml:space="preserve"> and antenna</w:t>
      </w:r>
      <w:r w:rsidR="00C04070">
        <w:t xml:space="preserve"> </w:t>
      </w:r>
      <w:r w:rsidR="00C04070" w:rsidRPr="00C04070">
        <w:rPr>
          <w:color w:val="FF0000"/>
        </w:rPr>
        <w:t>(Murata chip enter transmitter name).</w:t>
      </w:r>
      <w:r w:rsidR="008B0CF8">
        <w:rPr>
          <w:color w:val="FF0000"/>
        </w:rPr>
        <w:t xml:space="preserve"> </w:t>
      </w:r>
      <w:r w:rsidR="00C04070">
        <w:t>This microcontroller is programmable using the Arduino IDE (integrated developmental Environment).</w:t>
      </w:r>
      <w:r w:rsidR="008B0CF8">
        <w:t xml:space="preserve"> We have wired the module with two distinct sensors utilizing the 5V, GND, SCL (), and SDA () pins.</w:t>
      </w:r>
      <w:r w:rsidR="00C04070">
        <w:t xml:space="preserve"> </w:t>
      </w:r>
      <w:r w:rsidR="00BE5845">
        <w:t xml:space="preserve">Through the utilization of code, we can extract data from </w:t>
      </w:r>
      <w:r w:rsidR="00BE5845">
        <w:t>these</w:t>
      </w:r>
      <w:r w:rsidR="00BE5845">
        <w:t xml:space="preserve"> sensors</w:t>
      </w:r>
      <w:r w:rsidR="00BE5845">
        <w:t xml:space="preserve"> and f</w:t>
      </w:r>
      <w:r w:rsidR="00C04070">
        <w:t xml:space="preserve">rom that data we define what equates to a vacant or occupied parking stall. Once our module </w:t>
      </w:r>
      <w:r w:rsidR="008B0CF8">
        <w:t xml:space="preserve">determines the status of a stall it transmits a Boolean logic to a local gateway. Low level logic implemented in the code </w:t>
      </w:r>
      <w:r w:rsidR="00BE5845">
        <w:t xml:space="preserve">includes a baseline reading </w:t>
      </w:r>
      <w:r w:rsidR="00CD2950">
        <w:t xml:space="preserve">upon start up, </w:t>
      </w:r>
      <w:r w:rsidR="00C6034D">
        <w:t xml:space="preserve">reading ranges </w:t>
      </w:r>
      <w:r w:rsidR="00C6034D">
        <w:lastRenderedPageBreak/>
        <w:t>for each sensor that equate to true, and lastly an</w:t>
      </w:r>
      <w:r w:rsidR="00CD2950">
        <w:t xml:space="preserve"> OR logic (only one</w:t>
      </w:r>
      <w:r w:rsidR="00C6034D">
        <w:t xml:space="preserve"> of the two sensors must return true). The controller </w:t>
      </w:r>
      <w:proofErr w:type="gramStart"/>
      <w:r w:rsidR="00C6034D">
        <w:t>is also programmed</w:t>
      </w:r>
      <w:proofErr w:type="gramEnd"/>
      <w:r w:rsidR="00C6034D">
        <w:t xml:space="preserve"> with EUI () device and application keys to successfully transmit data to a gateway. </w:t>
      </w:r>
    </w:p>
    <w:p w14:paraId="5AAB1C4A" w14:textId="7169384B" w:rsidR="00C6034D" w:rsidRDefault="00C6034D" w:rsidP="00D26305">
      <w:pPr>
        <w:jc w:val="both"/>
      </w:pPr>
    </w:p>
    <w:p w14:paraId="6CA18749" w14:textId="5C8E13B0" w:rsidR="00C6034D" w:rsidRDefault="00C6034D" w:rsidP="00C6034D">
      <w:pPr>
        <w:pStyle w:val="ListParagraph"/>
        <w:numPr>
          <w:ilvl w:val="0"/>
          <w:numId w:val="11"/>
        </w:numPr>
        <w:jc w:val="both"/>
      </w:pPr>
      <w:r>
        <w:t>Sensors</w:t>
      </w:r>
    </w:p>
    <w:p w14:paraId="51962B0A" w14:textId="179BC0D8" w:rsidR="00C6034D" w:rsidRDefault="00C6034D" w:rsidP="00C6034D">
      <w:pPr>
        <w:jc w:val="both"/>
      </w:pPr>
    </w:p>
    <w:p w14:paraId="4D41D132" w14:textId="77777777" w:rsidR="00C6034D" w:rsidRDefault="00C6034D" w:rsidP="00C6034D">
      <w:pPr>
        <w:jc w:val="both"/>
      </w:pPr>
    </w:p>
    <w:p w14:paraId="3CDAD2DE" w14:textId="31D85070" w:rsidR="00C6034D" w:rsidRDefault="00C6034D" w:rsidP="00D26305">
      <w:pPr>
        <w:jc w:val="both"/>
      </w:pPr>
    </w:p>
    <w:p w14:paraId="52929E98" w14:textId="77777777" w:rsidR="00C6034D" w:rsidRDefault="00C6034D" w:rsidP="00D26305">
      <w:pPr>
        <w:jc w:val="both"/>
      </w:pPr>
    </w:p>
    <w:p w14:paraId="76192626" w14:textId="77777777" w:rsidR="008B0CF8" w:rsidRDefault="008B0CF8" w:rsidP="00D26305">
      <w:pPr>
        <w:jc w:val="both"/>
      </w:pPr>
    </w:p>
    <w:p w14:paraId="2DC338EF" w14:textId="356BF434" w:rsidR="00C04070" w:rsidRDefault="00C04070" w:rsidP="00D26305">
      <w:pPr>
        <w:jc w:val="both"/>
      </w:pPr>
    </w:p>
    <w:p w14:paraId="09843E65" w14:textId="2F23D644" w:rsidR="00C04070" w:rsidRPr="00C04070" w:rsidRDefault="00C04070" w:rsidP="00D26305">
      <w:pPr>
        <w:jc w:val="both"/>
        <w:rPr>
          <w:color w:val="FF0000"/>
        </w:rPr>
      </w:pPr>
      <w:r w:rsidRPr="00C04070">
        <w:rPr>
          <w:color w:val="FF0000"/>
        </w:rPr>
        <w:t xml:space="preserve">Enter serial monitor screen shot </w:t>
      </w:r>
      <w:r>
        <w:rPr>
          <w:color w:val="FF0000"/>
        </w:rPr>
        <w:t xml:space="preserve">of data. </w:t>
      </w:r>
    </w:p>
    <w:p w14:paraId="55803F88" w14:textId="77777777" w:rsidR="00D26305" w:rsidRDefault="00D26305" w:rsidP="00D26305">
      <w:pPr>
        <w:pStyle w:val="BodyText"/>
        <w:ind w:left="1008" w:firstLine="0"/>
        <w:rPr>
          <w:sz w:val="22"/>
          <w:szCs w:val="22"/>
          <w:lang w:val="en-US"/>
        </w:rPr>
      </w:pPr>
    </w:p>
    <w:p w14:paraId="53183427" w14:textId="714AF930" w:rsidR="00735FF7" w:rsidRPr="003311B7" w:rsidRDefault="00735FF7" w:rsidP="00735FF7">
      <w:pPr>
        <w:pStyle w:val="BodyText"/>
        <w:rPr>
          <w:sz w:val="22"/>
          <w:szCs w:val="22"/>
        </w:rPr>
      </w:pPr>
      <w:r w:rsidRPr="003311B7">
        <w:rPr>
          <w:sz w:val="22"/>
          <w:szCs w:val="22"/>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295B134" w14:textId="77777777" w:rsidR="00735FF7" w:rsidRPr="003311B7" w:rsidRDefault="00735FF7" w:rsidP="00735FF7">
      <w:pPr>
        <w:pStyle w:val="Heading2"/>
        <w:rPr>
          <w:sz w:val="22"/>
          <w:szCs w:val="22"/>
        </w:rPr>
      </w:pPr>
      <w:r w:rsidRPr="003311B7">
        <w:rPr>
          <w:sz w:val="22"/>
          <w:szCs w:val="22"/>
        </w:rPr>
        <w:t>Abbreviations and Acronyms</w:t>
      </w:r>
    </w:p>
    <w:p w14:paraId="23BC0D75" w14:textId="77777777" w:rsidR="00735FF7" w:rsidRPr="003311B7" w:rsidRDefault="00735FF7" w:rsidP="00735FF7">
      <w:pPr>
        <w:pStyle w:val="BodyText"/>
        <w:rPr>
          <w:sz w:val="22"/>
          <w:szCs w:val="22"/>
        </w:rPr>
      </w:pPr>
      <w:r w:rsidRPr="003311B7">
        <w:rPr>
          <w:sz w:val="22"/>
          <w:szCs w:val="22"/>
        </w:rPr>
        <w:t xml:space="preserve">Define abbreviations and acronyms the first time they are used in the text, even after they have been defined in the abstract. Abbreviations such as IEEE, SI, MKS, CGS, </w:t>
      </w:r>
      <w:proofErr w:type="spellStart"/>
      <w:r w:rsidRPr="003311B7">
        <w:rPr>
          <w:sz w:val="22"/>
          <w:szCs w:val="22"/>
        </w:rPr>
        <w:t>sc</w:t>
      </w:r>
      <w:proofErr w:type="spellEnd"/>
      <w:r w:rsidRPr="003311B7">
        <w:rPr>
          <w:sz w:val="22"/>
          <w:szCs w:val="22"/>
        </w:rPr>
        <w:t>, dc, and rms do not have to be defined. Do not use abbreviations in the title or heads unless they are unavoidable.</w:t>
      </w:r>
    </w:p>
    <w:p w14:paraId="005CF4C2" w14:textId="77777777" w:rsidR="00735FF7" w:rsidRPr="003311B7" w:rsidRDefault="00735FF7" w:rsidP="00735FF7">
      <w:pPr>
        <w:pStyle w:val="Heading2"/>
        <w:rPr>
          <w:sz w:val="22"/>
          <w:szCs w:val="22"/>
        </w:rPr>
      </w:pPr>
      <w:r w:rsidRPr="003311B7">
        <w:rPr>
          <w:sz w:val="22"/>
          <w:szCs w:val="22"/>
        </w:rPr>
        <w:t>Units</w:t>
      </w:r>
    </w:p>
    <w:p w14:paraId="0926733F" w14:textId="77777777" w:rsidR="00735FF7" w:rsidRPr="003311B7" w:rsidRDefault="00735FF7" w:rsidP="00735FF7">
      <w:pPr>
        <w:pStyle w:val="bulletlist"/>
        <w:rPr>
          <w:sz w:val="22"/>
          <w:szCs w:val="22"/>
        </w:rPr>
      </w:pPr>
      <w:r w:rsidRPr="003311B7">
        <w:rPr>
          <w:sz w:val="22"/>
          <w:szCs w:val="22"/>
        </w:rPr>
        <w:t>Use either SI (MKS) or CGS as primary units. (SI units are encouraged.) English units may be used as secondary units (in parentheses). An exception would be the use of English units as identifiers in trade, such as “3.5-inch disk drive”.</w:t>
      </w:r>
    </w:p>
    <w:p w14:paraId="231FF748" w14:textId="77777777" w:rsidR="00735FF7" w:rsidRPr="003311B7" w:rsidRDefault="00735FF7" w:rsidP="00735FF7">
      <w:pPr>
        <w:pStyle w:val="bulletlist"/>
        <w:rPr>
          <w:sz w:val="22"/>
          <w:szCs w:val="22"/>
        </w:rPr>
      </w:pPr>
      <w:r w:rsidRPr="003311B7">
        <w:rPr>
          <w:sz w:val="22"/>
          <w:szCs w:val="22"/>
        </w:rPr>
        <w:t xml:space="preserve">Avoid combining SI and CGS units, such as current in amperes and magnetic field in </w:t>
      </w:r>
      <w:proofErr w:type="spellStart"/>
      <w:r w:rsidRPr="003311B7">
        <w:rPr>
          <w:sz w:val="22"/>
          <w:szCs w:val="22"/>
        </w:rPr>
        <w:t>oersteds</w:t>
      </w:r>
      <w:proofErr w:type="spellEnd"/>
      <w:r w:rsidRPr="003311B7">
        <w:rPr>
          <w:sz w:val="22"/>
          <w:szCs w:val="22"/>
        </w:rPr>
        <w:t>. This often leads to confusion because equations do not balance dimensionally. If you must use mixed units, clearly state the units for each quantity that you use in an equation.</w:t>
      </w:r>
    </w:p>
    <w:p w14:paraId="1C5E3A46" w14:textId="77777777" w:rsidR="00735FF7" w:rsidRPr="003311B7" w:rsidRDefault="00735FF7" w:rsidP="00735FF7">
      <w:pPr>
        <w:pStyle w:val="bulletlist"/>
        <w:rPr>
          <w:sz w:val="22"/>
          <w:szCs w:val="22"/>
        </w:rPr>
      </w:pPr>
      <w:r w:rsidRPr="003311B7">
        <w:rPr>
          <w:sz w:val="22"/>
          <w:szCs w:val="22"/>
        </w:rPr>
        <w:t>Do not mix complete spellings and abbreviations of units: “Wb/m2” or “</w:t>
      </w:r>
      <w:proofErr w:type="spellStart"/>
      <w:r w:rsidRPr="003311B7">
        <w:rPr>
          <w:sz w:val="22"/>
          <w:szCs w:val="22"/>
        </w:rPr>
        <w:t>webers</w:t>
      </w:r>
      <w:proofErr w:type="spellEnd"/>
      <w:r w:rsidRPr="003311B7">
        <w:rPr>
          <w:sz w:val="22"/>
          <w:szCs w:val="22"/>
        </w:rPr>
        <w:t xml:space="preserve"> per square meter”, not “</w:t>
      </w:r>
      <w:proofErr w:type="spellStart"/>
      <w:r w:rsidRPr="003311B7">
        <w:rPr>
          <w:sz w:val="22"/>
          <w:szCs w:val="22"/>
        </w:rPr>
        <w:t>webers</w:t>
      </w:r>
      <w:proofErr w:type="spellEnd"/>
      <w:r w:rsidRPr="003311B7">
        <w:rPr>
          <w:sz w:val="22"/>
          <w:szCs w:val="22"/>
        </w:rPr>
        <w:t xml:space="preserve">/m2”.  Spell out units when they appear in text: “. . . a few </w:t>
      </w:r>
      <w:proofErr w:type="spellStart"/>
      <w:r w:rsidRPr="003311B7">
        <w:rPr>
          <w:sz w:val="22"/>
          <w:szCs w:val="22"/>
        </w:rPr>
        <w:t>henries</w:t>
      </w:r>
      <w:proofErr w:type="spellEnd"/>
      <w:r w:rsidRPr="003311B7">
        <w:rPr>
          <w:sz w:val="22"/>
          <w:szCs w:val="22"/>
        </w:rPr>
        <w:t>”, not “. . . a few H”.</w:t>
      </w:r>
    </w:p>
    <w:p w14:paraId="65EE51B4" w14:textId="77777777" w:rsidR="00735FF7" w:rsidRPr="003311B7" w:rsidRDefault="00735FF7" w:rsidP="00735FF7">
      <w:pPr>
        <w:pStyle w:val="sponsors"/>
        <w:framePr w:wrap="auto" w:vAnchor="page" w:hAnchor="page" w:x="918" w:y="15121"/>
        <w:ind w:firstLine="289"/>
        <w:rPr>
          <w:sz w:val="22"/>
          <w:szCs w:val="22"/>
        </w:rPr>
      </w:pPr>
      <w:r w:rsidRPr="003311B7">
        <w:rPr>
          <w:sz w:val="22"/>
          <w:szCs w:val="22"/>
        </w:rPr>
        <w:t xml:space="preserve">Identify applicable funding agency here. </w:t>
      </w:r>
      <w:r w:rsidRPr="003311B7">
        <w:rPr>
          <w:iCs/>
          <w:sz w:val="22"/>
          <w:szCs w:val="22"/>
        </w:rPr>
        <w:t>If none, delete this text box.</w:t>
      </w:r>
    </w:p>
    <w:p w14:paraId="02C1466A" w14:textId="77777777" w:rsidR="00735FF7" w:rsidRPr="003311B7" w:rsidRDefault="00735FF7" w:rsidP="00735FF7">
      <w:pPr>
        <w:pStyle w:val="bulletlist"/>
        <w:rPr>
          <w:sz w:val="22"/>
          <w:szCs w:val="22"/>
        </w:rPr>
      </w:pPr>
      <w:r w:rsidRPr="003311B7">
        <w:rPr>
          <w:sz w:val="22"/>
          <w:szCs w:val="22"/>
        </w:rPr>
        <w:t>Use a zero before decimal points: “0.25”, not “.25”. Use “cm3”, not “cc”. (</w:t>
      </w:r>
      <w:r w:rsidRPr="003311B7">
        <w:rPr>
          <w:i/>
          <w:iCs/>
          <w:sz w:val="22"/>
          <w:szCs w:val="22"/>
        </w:rPr>
        <w:t>bullet list</w:t>
      </w:r>
      <w:r w:rsidRPr="003311B7">
        <w:rPr>
          <w:sz w:val="22"/>
          <w:szCs w:val="22"/>
        </w:rPr>
        <w:t>)</w:t>
      </w:r>
    </w:p>
    <w:p w14:paraId="4BB70E66" w14:textId="77777777" w:rsidR="00735FF7" w:rsidRPr="003311B7" w:rsidRDefault="00735FF7" w:rsidP="00735FF7">
      <w:pPr>
        <w:pStyle w:val="Heading2"/>
        <w:rPr>
          <w:sz w:val="22"/>
          <w:szCs w:val="22"/>
        </w:rPr>
      </w:pPr>
      <w:r w:rsidRPr="003311B7">
        <w:rPr>
          <w:sz w:val="22"/>
          <w:szCs w:val="22"/>
        </w:rPr>
        <w:t>Equations</w:t>
      </w:r>
    </w:p>
    <w:p w14:paraId="48B03A3F" w14:textId="77777777" w:rsidR="00735FF7" w:rsidRPr="003311B7" w:rsidRDefault="00735FF7" w:rsidP="00735FF7">
      <w:pPr>
        <w:pStyle w:val="BodyText"/>
        <w:rPr>
          <w:sz w:val="22"/>
          <w:szCs w:val="22"/>
        </w:rPr>
      </w:pPr>
      <w:r w:rsidRPr="003311B7">
        <w:rPr>
          <w:sz w:val="22"/>
          <w:szCs w:val="22"/>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BB74F8A" w14:textId="77777777" w:rsidR="00735FF7" w:rsidRPr="003311B7" w:rsidRDefault="00735FF7" w:rsidP="00735FF7">
      <w:pPr>
        <w:pStyle w:val="BodyText"/>
        <w:rPr>
          <w:sz w:val="22"/>
          <w:szCs w:val="22"/>
          <w:lang w:val="en-US"/>
        </w:rPr>
      </w:pPr>
      <w:r w:rsidRPr="003311B7">
        <w:rPr>
          <w:sz w:val="22"/>
          <w:szCs w:val="22"/>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Pr="003311B7">
        <w:rPr>
          <w:sz w:val="22"/>
          <w:szCs w:val="22"/>
          <w:lang w:val="en-US"/>
        </w:rPr>
        <w:t>:</w:t>
      </w:r>
    </w:p>
    <w:p w14:paraId="32733401" w14:textId="77777777" w:rsidR="00735FF7" w:rsidRPr="003311B7" w:rsidRDefault="00735FF7" w:rsidP="00735FF7">
      <w:pPr>
        <w:pStyle w:val="equation"/>
        <w:rPr>
          <w:sz w:val="22"/>
          <w:szCs w:val="22"/>
        </w:rPr>
      </w:pPr>
      <w:r w:rsidRPr="003311B7">
        <w:rPr>
          <w:sz w:val="22"/>
          <w:szCs w:val="22"/>
        </w:rPr>
        <w:tab/>
      </w:r>
      <w:r w:rsidRPr="003311B7">
        <w:rPr>
          <w:rFonts w:ascii="Times New Roman" w:hAnsi="Times New Roman" w:cs="Times New Roman"/>
          <w:i/>
          <w:sz w:val="22"/>
          <w:szCs w:val="22"/>
        </w:rPr>
        <w:t>a</w:t>
      </w:r>
      <w:r w:rsidRPr="003311B7">
        <w:rPr>
          <w:sz w:val="22"/>
          <w:szCs w:val="22"/>
        </w:rPr>
        <w:t></w:t>
      </w:r>
      <w:r w:rsidRPr="003311B7">
        <w:rPr>
          <w:sz w:val="22"/>
          <w:szCs w:val="22"/>
        </w:rPr>
        <w:t></w:t>
      </w:r>
      <w:r w:rsidRPr="003311B7">
        <w:rPr>
          <w:sz w:val="22"/>
          <w:szCs w:val="22"/>
        </w:rPr>
        <w:t></w:t>
      </w:r>
      <w:r w:rsidRPr="003311B7">
        <w:rPr>
          <w:rFonts w:ascii="Times New Roman" w:hAnsi="Times New Roman" w:cs="Times New Roman"/>
          <w:i/>
          <w:sz w:val="22"/>
          <w:szCs w:val="22"/>
        </w:rPr>
        <w:t>b</w:t>
      </w:r>
      <w:r w:rsidRPr="003311B7">
        <w:rPr>
          <w:sz w:val="22"/>
          <w:szCs w:val="22"/>
        </w:rPr>
        <w:t></w:t>
      </w:r>
      <w:r w:rsidRPr="003311B7">
        <w:rPr>
          <w:sz w:val="22"/>
          <w:szCs w:val="22"/>
        </w:rPr>
        <w:t></w:t>
      </w:r>
      <w:r w:rsidRPr="003311B7">
        <w:rPr>
          <w:sz w:val="22"/>
          <w:szCs w:val="22"/>
        </w:rPr>
        <w:t></w:t>
      </w:r>
      <w:r w:rsidRPr="003311B7">
        <w:rPr>
          <w:sz w:val="22"/>
          <w:szCs w:val="22"/>
        </w:rPr>
        <w:t></w:t>
      </w:r>
      <w:r w:rsidRPr="003311B7">
        <w:rPr>
          <w:sz w:val="22"/>
          <w:szCs w:val="22"/>
        </w:rPr>
        <w:t></w:t>
      </w:r>
      <w:r w:rsidRPr="003311B7">
        <w:rPr>
          <w:sz w:val="22"/>
          <w:szCs w:val="22"/>
        </w:rPr>
        <w:tab/>
      </w:r>
      <w:r w:rsidRPr="003311B7">
        <w:rPr>
          <w:sz w:val="22"/>
          <w:szCs w:val="22"/>
        </w:rPr>
        <w:t></w:t>
      </w:r>
      <w:r w:rsidRPr="003311B7">
        <w:rPr>
          <w:sz w:val="22"/>
          <w:szCs w:val="22"/>
        </w:rPr>
        <w:t></w:t>
      </w:r>
      <w:r w:rsidRPr="003311B7">
        <w:rPr>
          <w:sz w:val="22"/>
          <w:szCs w:val="22"/>
        </w:rPr>
        <w:t></w:t>
      </w:r>
    </w:p>
    <w:p w14:paraId="089EE029" w14:textId="77777777" w:rsidR="00735FF7" w:rsidRPr="003311B7" w:rsidRDefault="00735FF7" w:rsidP="00735FF7">
      <w:pPr>
        <w:pStyle w:val="BodyText"/>
        <w:rPr>
          <w:sz w:val="22"/>
          <w:szCs w:val="22"/>
        </w:rPr>
      </w:pPr>
      <w:r w:rsidRPr="003311B7">
        <w:rPr>
          <w:sz w:val="22"/>
          <w:szCs w:val="22"/>
        </w:rPr>
        <w:t>Note that the equation is centered using a center tab stop. Be sure that the symbols in your equation have been defined before or immediately following the equation. Use “(1)”, not “Eq. (1)” or “equation (1)”, except at the beginning of a sentence: “Equation (1) is . . .”</w:t>
      </w:r>
    </w:p>
    <w:p w14:paraId="520A378C" w14:textId="77777777" w:rsidR="00735FF7" w:rsidRPr="003311B7" w:rsidRDefault="00735FF7" w:rsidP="00735FF7">
      <w:pPr>
        <w:pStyle w:val="Heading2"/>
        <w:rPr>
          <w:sz w:val="22"/>
          <w:szCs w:val="22"/>
        </w:rPr>
      </w:pPr>
      <w:r w:rsidRPr="003311B7">
        <w:rPr>
          <w:sz w:val="22"/>
          <w:szCs w:val="22"/>
        </w:rPr>
        <w:t>Some Common Mistakes</w:t>
      </w:r>
    </w:p>
    <w:p w14:paraId="6D01C79B" w14:textId="77777777" w:rsidR="00735FF7" w:rsidRPr="003311B7" w:rsidRDefault="00735FF7" w:rsidP="00735FF7">
      <w:pPr>
        <w:pStyle w:val="bulletlist"/>
        <w:rPr>
          <w:sz w:val="22"/>
          <w:szCs w:val="22"/>
        </w:rPr>
      </w:pPr>
      <w:r w:rsidRPr="003311B7">
        <w:rPr>
          <w:sz w:val="22"/>
          <w:szCs w:val="22"/>
        </w:rPr>
        <w:t>The word “data” is plural, not singular.</w:t>
      </w:r>
    </w:p>
    <w:p w14:paraId="785365AA" w14:textId="77777777" w:rsidR="00735FF7" w:rsidRPr="003311B7" w:rsidRDefault="00735FF7" w:rsidP="00735FF7">
      <w:pPr>
        <w:pStyle w:val="bulletlist"/>
        <w:rPr>
          <w:sz w:val="22"/>
          <w:szCs w:val="22"/>
        </w:rPr>
      </w:pPr>
      <w:r w:rsidRPr="003311B7">
        <w:rPr>
          <w:sz w:val="22"/>
          <w:szCs w:val="22"/>
        </w:rPr>
        <w:t xml:space="preserve">The subscript for the permeability of vacuum </w:t>
      </w:r>
      <w:r w:rsidRPr="003311B7">
        <w:rPr>
          <w:rFonts w:ascii="Symbol" w:hAnsi="Symbol" w:cs="Symbol"/>
          <w:i/>
          <w:iCs/>
          <w:snapToGrid w:val="0"/>
          <w:sz w:val="22"/>
          <w:szCs w:val="22"/>
        </w:rPr>
        <w:t></w:t>
      </w:r>
      <w:r w:rsidRPr="003311B7">
        <w:rPr>
          <w:sz w:val="22"/>
          <w:szCs w:val="22"/>
          <w:vertAlign w:val="subscript"/>
        </w:rPr>
        <w:t>0</w:t>
      </w:r>
      <w:r w:rsidRPr="003311B7">
        <w:rPr>
          <w:sz w:val="22"/>
          <w:szCs w:val="22"/>
        </w:rPr>
        <w:t>, and other common scientific constants, is zero with subscript formatting, not a lowercase letter “o”.</w:t>
      </w:r>
    </w:p>
    <w:p w14:paraId="32701B60" w14:textId="77777777" w:rsidR="00735FF7" w:rsidRPr="003311B7" w:rsidRDefault="00735FF7" w:rsidP="00735FF7">
      <w:pPr>
        <w:pStyle w:val="bulletlist"/>
        <w:rPr>
          <w:sz w:val="22"/>
          <w:szCs w:val="22"/>
        </w:rPr>
      </w:pPr>
      <w:r w:rsidRPr="003311B7">
        <w:rPr>
          <w:sz w:val="22"/>
          <w:szCs w:val="22"/>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1D70C04" w14:textId="77777777" w:rsidR="00735FF7" w:rsidRPr="003311B7" w:rsidRDefault="00735FF7" w:rsidP="00735FF7">
      <w:pPr>
        <w:pStyle w:val="bulletlist"/>
        <w:rPr>
          <w:sz w:val="22"/>
          <w:szCs w:val="22"/>
        </w:rPr>
      </w:pPr>
      <w:r w:rsidRPr="003311B7">
        <w:rPr>
          <w:sz w:val="22"/>
          <w:szCs w:val="22"/>
        </w:rPr>
        <w:t>A graph within a graph is an “inset”, not an “insert”. The word alternatively is preferred to the word “alternately” (unless you really mean something that alternates).</w:t>
      </w:r>
    </w:p>
    <w:p w14:paraId="01F4BCA4" w14:textId="77777777" w:rsidR="00735FF7" w:rsidRPr="003311B7" w:rsidRDefault="00735FF7" w:rsidP="00735FF7">
      <w:pPr>
        <w:pStyle w:val="bulletlist"/>
        <w:rPr>
          <w:sz w:val="22"/>
          <w:szCs w:val="22"/>
        </w:rPr>
      </w:pPr>
      <w:r w:rsidRPr="003311B7">
        <w:rPr>
          <w:sz w:val="22"/>
          <w:szCs w:val="22"/>
        </w:rPr>
        <w:t>Do not use the word “essentially” to mean “approximately” or “effectively”.</w:t>
      </w:r>
    </w:p>
    <w:p w14:paraId="24F5821F" w14:textId="77777777" w:rsidR="00735FF7" w:rsidRPr="003311B7" w:rsidRDefault="00735FF7" w:rsidP="00735FF7">
      <w:pPr>
        <w:pStyle w:val="bulletlist"/>
        <w:rPr>
          <w:sz w:val="22"/>
          <w:szCs w:val="22"/>
        </w:rPr>
      </w:pPr>
      <w:r w:rsidRPr="003311B7">
        <w:rPr>
          <w:sz w:val="22"/>
          <w:szCs w:val="22"/>
        </w:rPr>
        <w:t>In your paper title, if the words “that uses” can accurately replace the word “using”, capitalize the “u”; if not, keep using lower-cased.</w:t>
      </w:r>
    </w:p>
    <w:p w14:paraId="798DAEFC" w14:textId="77777777" w:rsidR="00735FF7" w:rsidRPr="003311B7" w:rsidRDefault="00735FF7" w:rsidP="00735FF7">
      <w:pPr>
        <w:pStyle w:val="bulletlist"/>
        <w:rPr>
          <w:sz w:val="22"/>
          <w:szCs w:val="22"/>
        </w:rPr>
      </w:pPr>
      <w:r w:rsidRPr="003311B7">
        <w:rPr>
          <w:sz w:val="22"/>
          <w:szCs w:val="22"/>
        </w:rPr>
        <w:t>Be aware of the different meanings of the homophones “affect” and “effect”, “complement” and “compliment”, “discreet” and “discrete”, “principal” and “principle”.</w:t>
      </w:r>
    </w:p>
    <w:p w14:paraId="4B7EF494" w14:textId="77777777" w:rsidR="00735FF7" w:rsidRPr="003311B7" w:rsidRDefault="00735FF7" w:rsidP="00735FF7">
      <w:pPr>
        <w:pStyle w:val="bulletlist"/>
        <w:rPr>
          <w:sz w:val="22"/>
          <w:szCs w:val="22"/>
        </w:rPr>
      </w:pPr>
      <w:r w:rsidRPr="003311B7">
        <w:rPr>
          <w:sz w:val="22"/>
          <w:szCs w:val="22"/>
        </w:rPr>
        <w:t>Do not confuse “imply” and “infer”.</w:t>
      </w:r>
    </w:p>
    <w:p w14:paraId="6079B57E" w14:textId="77777777" w:rsidR="00735FF7" w:rsidRPr="003311B7" w:rsidRDefault="00735FF7" w:rsidP="00735FF7">
      <w:pPr>
        <w:pStyle w:val="bulletlist"/>
        <w:rPr>
          <w:sz w:val="22"/>
          <w:szCs w:val="22"/>
        </w:rPr>
      </w:pPr>
      <w:r w:rsidRPr="003311B7">
        <w:rPr>
          <w:sz w:val="22"/>
          <w:szCs w:val="22"/>
        </w:rPr>
        <w:t>The prefix “non” is not a word; it should be joined to the word it modifies, usually without a hyphen.</w:t>
      </w:r>
    </w:p>
    <w:p w14:paraId="383499E9" w14:textId="77777777" w:rsidR="00735FF7" w:rsidRPr="003311B7" w:rsidRDefault="00735FF7" w:rsidP="00735FF7">
      <w:pPr>
        <w:pStyle w:val="bulletlist"/>
        <w:rPr>
          <w:sz w:val="22"/>
          <w:szCs w:val="22"/>
        </w:rPr>
      </w:pPr>
      <w:r w:rsidRPr="003311B7">
        <w:rPr>
          <w:sz w:val="22"/>
          <w:szCs w:val="22"/>
        </w:rPr>
        <w:lastRenderedPageBreak/>
        <w:t>There is no period after the “et” in the Latin abbreviation “et al.”.</w:t>
      </w:r>
    </w:p>
    <w:p w14:paraId="55015224" w14:textId="77777777" w:rsidR="00735FF7" w:rsidRPr="003311B7" w:rsidRDefault="00735FF7" w:rsidP="00735FF7">
      <w:pPr>
        <w:pStyle w:val="bulletlist"/>
        <w:rPr>
          <w:sz w:val="22"/>
          <w:szCs w:val="22"/>
        </w:rPr>
      </w:pPr>
      <w:r w:rsidRPr="003311B7">
        <w:rPr>
          <w:sz w:val="22"/>
          <w:szCs w:val="22"/>
        </w:rPr>
        <w:t>The abbreviation “i.e.” means “that is”, and the abbreviation “e.g.” means “for example”.</w:t>
      </w:r>
    </w:p>
    <w:p w14:paraId="2EB90865" w14:textId="77777777" w:rsidR="00735FF7" w:rsidRPr="003311B7" w:rsidRDefault="00735FF7" w:rsidP="00735FF7">
      <w:pPr>
        <w:pStyle w:val="BodyText"/>
        <w:rPr>
          <w:sz w:val="22"/>
          <w:szCs w:val="22"/>
        </w:rPr>
      </w:pPr>
      <w:r w:rsidRPr="003311B7">
        <w:rPr>
          <w:sz w:val="22"/>
          <w:szCs w:val="22"/>
        </w:rPr>
        <w:t>An excellent style manual for science writers is [7].</w:t>
      </w:r>
    </w:p>
    <w:p w14:paraId="0B83D1F4" w14:textId="77777777" w:rsidR="00735FF7" w:rsidRPr="003311B7" w:rsidRDefault="00735FF7" w:rsidP="00735FF7">
      <w:pPr>
        <w:pStyle w:val="Heading1"/>
        <w:rPr>
          <w:sz w:val="22"/>
          <w:szCs w:val="22"/>
        </w:rPr>
      </w:pPr>
      <w:r w:rsidRPr="003311B7">
        <w:rPr>
          <w:sz w:val="22"/>
          <w:szCs w:val="22"/>
        </w:rPr>
        <w:t>Using the Template</w:t>
      </w:r>
    </w:p>
    <w:p w14:paraId="5B1A2726" w14:textId="77777777" w:rsidR="00735FF7" w:rsidRPr="003311B7" w:rsidRDefault="00735FF7" w:rsidP="00735FF7">
      <w:pPr>
        <w:pStyle w:val="BodyText"/>
        <w:rPr>
          <w:sz w:val="22"/>
          <w:szCs w:val="22"/>
        </w:rPr>
      </w:pPr>
      <w:r w:rsidRPr="003311B7">
        <w:rPr>
          <w:sz w:val="22"/>
          <w:szCs w:val="22"/>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55CCEC6" w14:textId="77777777" w:rsidR="00735FF7" w:rsidRPr="003311B7" w:rsidRDefault="00735FF7" w:rsidP="00735FF7">
      <w:pPr>
        <w:pStyle w:val="Heading2"/>
        <w:rPr>
          <w:sz w:val="22"/>
          <w:szCs w:val="22"/>
        </w:rPr>
      </w:pPr>
      <w:r w:rsidRPr="003311B7">
        <w:rPr>
          <w:sz w:val="22"/>
          <w:szCs w:val="22"/>
        </w:rPr>
        <w:t>Authors and Affiliations</w:t>
      </w:r>
    </w:p>
    <w:p w14:paraId="24753FF9" w14:textId="77777777" w:rsidR="00735FF7" w:rsidRPr="003311B7" w:rsidRDefault="00735FF7" w:rsidP="00735FF7">
      <w:pPr>
        <w:pStyle w:val="BodyText"/>
        <w:rPr>
          <w:sz w:val="22"/>
          <w:szCs w:val="22"/>
        </w:rPr>
      </w:pPr>
      <w:r w:rsidRPr="003311B7">
        <w:rPr>
          <w:b/>
          <w:sz w:val="22"/>
          <w:szCs w:val="22"/>
        </w:rPr>
        <w:t>The template is designed</w:t>
      </w:r>
      <w:r w:rsidRPr="003311B7">
        <w:rPr>
          <w:b/>
          <w:sz w:val="22"/>
          <w:szCs w:val="22"/>
          <w:lang w:val="en-US"/>
        </w:rPr>
        <w:t xml:space="preserve"> for,</w:t>
      </w:r>
      <w:r w:rsidRPr="003311B7">
        <w:rPr>
          <w:b/>
          <w:sz w:val="22"/>
          <w:szCs w:val="22"/>
        </w:rPr>
        <w:t xml:space="preserve"> but not limited to</w:t>
      </w:r>
      <w:r w:rsidRPr="003311B7">
        <w:rPr>
          <w:b/>
          <w:sz w:val="22"/>
          <w:szCs w:val="22"/>
          <w:lang w:val="en-US"/>
        </w:rPr>
        <w:t>, six authors.</w:t>
      </w:r>
      <w:r w:rsidRPr="003311B7">
        <w:rPr>
          <w:sz w:val="22"/>
          <w:szCs w:val="22"/>
          <w:lang w:val="en-US"/>
        </w:rPr>
        <w:t xml:space="preserve"> A minimum of one author </w:t>
      </w:r>
      <w:proofErr w:type="gramStart"/>
      <w:r w:rsidRPr="003311B7">
        <w:rPr>
          <w:sz w:val="22"/>
          <w:szCs w:val="22"/>
          <w:lang w:val="en-US"/>
        </w:rPr>
        <w:t>is required</w:t>
      </w:r>
      <w:proofErr w:type="gramEnd"/>
      <w:r w:rsidRPr="003311B7">
        <w:rPr>
          <w:sz w:val="22"/>
          <w:szCs w:val="22"/>
          <w:lang w:val="en-US"/>
        </w:rPr>
        <w:t xml:space="preserve"> for all conference articles. </w:t>
      </w:r>
      <w:r w:rsidRPr="003311B7">
        <w:rPr>
          <w:sz w:val="22"/>
          <w:szCs w:val="22"/>
        </w:rPr>
        <w:t>Author names should be listed starting from left to right and then moving down to the next line. This is the author sequence that will be used in future citations and by indexing services. Names should not be listed in columns nor group by affiliation.</w:t>
      </w:r>
      <w:r w:rsidRPr="003311B7">
        <w:rPr>
          <w:sz w:val="22"/>
          <w:szCs w:val="22"/>
          <w:lang w:val="en-US"/>
        </w:rPr>
        <w:t xml:space="preserve"> </w:t>
      </w:r>
      <w:r w:rsidRPr="003311B7">
        <w:rPr>
          <w:sz w:val="22"/>
          <w:szCs w:val="22"/>
        </w:rPr>
        <w:t>Please keep your affiliations as succinct as possible (for example, do not differentiate among departments of the same organization).</w:t>
      </w:r>
    </w:p>
    <w:p w14:paraId="4123F638" w14:textId="77777777" w:rsidR="00735FF7" w:rsidRPr="003311B7" w:rsidRDefault="00735FF7" w:rsidP="00735FF7">
      <w:pPr>
        <w:pStyle w:val="Heading3"/>
        <w:rPr>
          <w:sz w:val="22"/>
          <w:szCs w:val="22"/>
        </w:rPr>
      </w:pPr>
      <w:r w:rsidRPr="003311B7">
        <w:rPr>
          <w:sz w:val="22"/>
          <w:szCs w:val="22"/>
        </w:rPr>
        <w:t xml:space="preserve">For papers with more than six authors: </w:t>
      </w:r>
      <w:r w:rsidRPr="003311B7">
        <w:rPr>
          <w:i w:val="0"/>
          <w:sz w:val="22"/>
          <w:szCs w:val="22"/>
        </w:rPr>
        <w:t>Add author names horizontally, moving to a third row if needed for more than 8 authors.</w:t>
      </w:r>
    </w:p>
    <w:p w14:paraId="1BA9961E" w14:textId="77777777" w:rsidR="00735FF7" w:rsidRPr="003311B7" w:rsidRDefault="00735FF7" w:rsidP="00735FF7">
      <w:pPr>
        <w:pStyle w:val="Heading3"/>
        <w:rPr>
          <w:sz w:val="22"/>
          <w:szCs w:val="22"/>
        </w:rPr>
      </w:pPr>
      <w:r w:rsidRPr="003311B7">
        <w:rPr>
          <w:sz w:val="22"/>
          <w:szCs w:val="22"/>
        </w:rPr>
        <w:t xml:space="preserve">For papers with less than six authors: </w:t>
      </w:r>
      <w:r w:rsidRPr="003311B7">
        <w:rPr>
          <w:i w:val="0"/>
          <w:sz w:val="22"/>
          <w:szCs w:val="22"/>
        </w:rPr>
        <w:t>To change the default, adjust the template as follows.</w:t>
      </w:r>
    </w:p>
    <w:p w14:paraId="53F0B338" w14:textId="77777777" w:rsidR="00735FF7" w:rsidRPr="003311B7" w:rsidRDefault="00735FF7" w:rsidP="00735FF7">
      <w:pPr>
        <w:pStyle w:val="Heading4"/>
        <w:rPr>
          <w:sz w:val="22"/>
          <w:szCs w:val="22"/>
        </w:rPr>
      </w:pPr>
      <w:r w:rsidRPr="003311B7">
        <w:rPr>
          <w:sz w:val="22"/>
          <w:szCs w:val="22"/>
        </w:rPr>
        <w:t xml:space="preserve">Selection: </w:t>
      </w:r>
      <w:r w:rsidRPr="003311B7">
        <w:rPr>
          <w:i w:val="0"/>
          <w:sz w:val="22"/>
          <w:szCs w:val="22"/>
        </w:rPr>
        <w:t>Highlight all author and affiliation lines.</w:t>
      </w:r>
    </w:p>
    <w:p w14:paraId="54185FA2" w14:textId="77777777" w:rsidR="00735FF7" w:rsidRPr="003311B7" w:rsidRDefault="00735FF7" w:rsidP="00735FF7">
      <w:pPr>
        <w:pStyle w:val="Heading4"/>
        <w:rPr>
          <w:sz w:val="22"/>
          <w:szCs w:val="22"/>
        </w:rPr>
      </w:pPr>
      <w:r w:rsidRPr="003311B7">
        <w:rPr>
          <w:sz w:val="22"/>
          <w:szCs w:val="22"/>
        </w:rPr>
        <w:t xml:space="preserve">Change number of columns: </w:t>
      </w:r>
      <w:r w:rsidRPr="003311B7">
        <w:rPr>
          <w:i w:val="0"/>
          <w:sz w:val="22"/>
          <w:szCs w:val="22"/>
        </w:rPr>
        <w:t>Select the Columns icon from the MS Word Standard toolbar and then select the correct number of columns from the selection palette.</w:t>
      </w:r>
    </w:p>
    <w:p w14:paraId="4619A018" w14:textId="77777777" w:rsidR="00735FF7" w:rsidRPr="003311B7" w:rsidRDefault="00735FF7" w:rsidP="00735FF7">
      <w:pPr>
        <w:pStyle w:val="Heading4"/>
        <w:rPr>
          <w:i w:val="0"/>
          <w:sz w:val="22"/>
          <w:szCs w:val="22"/>
        </w:rPr>
      </w:pPr>
      <w:r w:rsidRPr="003311B7">
        <w:rPr>
          <w:sz w:val="22"/>
          <w:szCs w:val="22"/>
        </w:rPr>
        <w:t xml:space="preserve">Deletion: </w:t>
      </w:r>
      <w:r w:rsidRPr="003311B7">
        <w:rPr>
          <w:i w:val="0"/>
          <w:sz w:val="22"/>
          <w:szCs w:val="22"/>
        </w:rPr>
        <w:t>Delete the author and affiliation lines for the extra authors.</w:t>
      </w:r>
    </w:p>
    <w:p w14:paraId="601F952E" w14:textId="77777777" w:rsidR="00735FF7" w:rsidRPr="003311B7" w:rsidRDefault="00735FF7" w:rsidP="00735FF7">
      <w:pPr>
        <w:jc w:val="left"/>
        <w:rPr>
          <w:i/>
          <w:iCs/>
          <w:noProof/>
          <w:sz w:val="22"/>
          <w:szCs w:val="22"/>
        </w:rPr>
      </w:pPr>
    </w:p>
    <w:p w14:paraId="36AAE518" w14:textId="77777777" w:rsidR="00735FF7" w:rsidRPr="003311B7" w:rsidRDefault="00735FF7" w:rsidP="00735FF7">
      <w:pPr>
        <w:pStyle w:val="Heading2"/>
        <w:rPr>
          <w:sz w:val="22"/>
          <w:szCs w:val="22"/>
        </w:rPr>
      </w:pPr>
      <w:r w:rsidRPr="003311B7">
        <w:rPr>
          <w:sz w:val="22"/>
          <w:szCs w:val="22"/>
        </w:rPr>
        <w:t>Identify the Headings</w:t>
      </w:r>
    </w:p>
    <w:p w14:paraId="5523AC53" w14:textId="77777777" w:rsidR="00735FF7" w:rsidRPr="003311B7" w:rsidRDefault="00735FF7" w:rsidP="00735FF7">
      <w:pPr>
        <w:pStyle w:val="BodyText"/>
        <w:rPr>
          <w:sz w:val="22"/>
          <w:szCs w:val="22"/>
        </w:rPr>
      </w:pPr>
      <w:r w:rsidRPr="003311B7">
        <w:rPr>
          <w:sz w:val="22"/>
          <w:szCs w:val="22"/>
        </w:rPr>
        <w:t>Headings, or heads, are organizational devices that guide the reader through your paper. There are two types: component heads and text heads.</w:t>
      </w:r>
    </w:p>
    <w:p w14:paraId="5496C77D" w14:textId="77777777" w:rsidR="00735FF7" w:rsidRPr="003311B7" w:rsidRDefault="00735FF7" w:rsidP="00735FF7">
      <w:pPr>
        <w:pStyle w:val="BodyText"/>
        <w:rPr>
          <w:sz w:val="22"/>
          <w:szCs w:val="22"/>
        </w:rPr>
      </w:pPr>
      <w:r w:rsidRPr="003311B7">
        <w:rPr>
          <w:sz w:val="22"/>
          <w:szCs w:val="22"/>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76FF05C" w14:textId="77777777" w:rsidR="00735FF7" w:rsidRPr="003311B7" w:rsidRDefault="00735FF7" w:rsidP="00735FF7">
      <w:pPr>
        <w:pStyle w:val="BodyText"/>
        <w:rPr>
          <w:sz w:val="22"/>
          <w:szCs w:val="22"/>
        </w:rPr>
      </w:pPr>
      <w:r w:rsidRPr="003311B7">
        <w:rPr>
          <w:sz w:val="22"/>
          <w:szCs w:val="22"/>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C64CD1E" w14:textId="77777777" w:rsidR="00735FF7" w:rsidRPr="003311B7" w:rsidRDefault="00735FF7" w:rsidP="00735FF7">
      <w:pPr>
        <w:pStyle w:val="Heading2"/>
        <w:rPr>
          <w:sz w:val="22"/>
          <w:szCs w:val="22"/>
        </w:rPr>
      </w:pPr>
      <w:r w:rsidRPr="003311B7">
        <w:rPr>
          <w:sz w:val="22"/>
          <w:szCs w:val="22"/>
        </w:rPr>
        <w:t>Figures and Tables</w:t>
      </w:r>
    </w:p>
    <w:p w14:paraId="221DCD9E" w14:textId="77777777" w:rsidR="00735FF7" w:rsidRPr="003311B7" w:rsidRDefault="00735FF7" w:rsidP="00735FF7">
      <w:pPr>
        <w:pStyle w:val="Heading4"/>
        <w:rPr>
          <w:sz w:val="22"/>
          <w:szCs w:val="22"/>
        </w:rPr>
      </w:pPr>
      <w:r w:rsidRPr="003311B7">
        <w:rPr>
          <w:sz w:val="22"/>
          <w:szCs w:val="22"/>
        </w:rPr>
        <w:t xml:space="preserve"> Positioning Figures and Tables: </w:t>
      </w:r>
      <w:r w:rsidRPr="003311B7">
        <w:rPr>
          <w:i w:val="0"/>
          <w:sz w:val="22"/>
          <w:szCs w:val="22"/>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C65F871" w14:textId="77777777" w:rsidR="00735FF7" w:rsidRPr="003311B7" w:rsidRDefault="00735FF7" w:rsidP="00735FF7">
      <w:pPr>
        <w:pStyle w:val="tablehead"/>
        <w:rPr>
          <w:sz w:val="22"/>
          <w:szCs w:val="22"/>
        </w:rPr>
      </w:pPr>
      <w:r w:rsidRPr="003311B7">
        <w:rPr>
          <w:sz w:val="22"/>
          <w:szCs w:val="22"/>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735FF7" w:rsidRPr="003311B7" w14:paraId="5BA70F72" w14:textId="77777777" w:rsidTr="008C36B3">
        <w:tblPrEx>
          <w:tblCellMar>
            <w:top w:w="0" w:type="dxa"/>
            <w:bottom w:w="0" w:type="dxa"/>
          </w:tblCellMar>
        </w:tblPrEx>
        <w:trPr>
          <w:cantSplit/>
          <w:trHeight w:val="240"/>
          <w:tblHeader/>
          <w:jc w:val="center"/>
        </w:trPr>
        <w:tc>
          <w:tcPr>
            <w:tcW w:w="720" w:type="dxa"/>
            <w:vMerge w:val="restart"/>
            <w:vAlign w:val="center"/>
          </w:tcPr>
          <w:p w14:paraId="1EF90349" w14:textId="77777777" w:rsidR="00735FF7" w:rsidRPr="003311B7" w:rsidRDefault="00735FF7" w:rsidP="008C36B3">
            <w:pPr>
              <w:pStyle w:val="tablecolhead"/>
              <w:rPr>
                <w:sz w:val="22"/>
                <w:szCs w:val="22"/>
              </w:rPr>
            </w:pPr>
            <w:r w:rsidRPr="003311B7">
              <w:rPr>
                <w:sz w:val="22"/>
                <w:szCs w:val="22"/>
              </w:rPr>
              <w:t>Table Head</w:t>
            </w:r>
          </w:p>
        </w:tc>
        <w:tc>
          <w:tcPr>
            <w:tcW w:w="4140" w:type="dxa"/>
            <w:gridSpan w:val="3"/>
            <w:vAlign w:val="center"/>
          </w:tcPr>
          <w:p w14:paraId="51FFC14A" w14:textId="77777777" w:rsidR="00735FF7" w:rsidRPr="003311B7" w:rsidRDefault="00735FF7" w:rsidP="008C36B3">
            <w:pPr>
              <w:pStyle w:val="tablecolhead"/>
              <w:rPr>
                <w:sz w:val="22"/>
                <w:szCs w:val="22"/>
              </w:rPr>
            </w:pPr>
            <w:r w:rsidRPr="003311B7">
              <w:rPr>
                <w:sz w:val="22"/>
                <w:szCs w:val="22"/>
              </w:rPr>
              <w:t>Table Column Head</w:t>
            </w:r>
          </w:p>
        </w:tc>
      </w:tr>
      <w:tr w:rsidR="00735FF7" w:rsidRPr="003311B7" w14:paraId="33058820" w14:textId="77777777" w:rsidTr="008C36B3">
        <w:tblPrEx>
          <w:tblCellMar>
            <w:top w:w="0" w:type="dxa"/>
            <w:bottom w:w="0" w:type="dxa"/>
          </w:tblCellMar>
        </w:tblPrEx>
        <w:trPr>
          <w:cantSplit/>
          <w:trHeight w:val="240"/>
          <w:tblHeader/>
          <w:jc w:val="center"/>
        </w:trPr>
        <w:tc>
          <w:tcPr>
            <w:tcW w:w="720" w:type="dxa"/>
            <w:vMerge/>
          </w:tcPr>
          <w:p w14:paraId="330860E8" w14:textId="77777777" w:rsidR="00735FF7" w:rsidRPr="003311B7" w:rsidRDefault="00735FF7" w:rsidP="008C36B3">
            <w:pPr>
              <w:rPr>
                <w:sz w:val="22"/>
                <w:szCs w:val="22"/>
              </w:rPr>
            </w:pPr>
          </w:p>
        </w:tc>
        <w:tc>
          <w:tcPr>
            <w:tcW w:w="2340" w:type="dxa"/>
            <w:vAlign w:val="center"/>
          </w:tcPr>
          <w:p w14:paraId="637A6B9C" w14:textId="77777777" w:rsidR="00735FF7" w:rsidRPr="003311B7" w:rsidRDefault="00735FF7" w:rsidP="008C36B3">
            <w:pPr>
              <w:pStyle w:val="tablecolsubhead"/>
              <w:rPr>
                <w:sz w:val="22"/>
                <w:szCs w:val="22"/>
              </w:rPr>
            </w:pPr>
            <w:r w:rsidRPr="003311B7">
              <w:rPr>
                <w:sz w:val="22"/>
                <w:szCs w:val="22"/>
              </w:rPr>
              <w:t>Table column subhead</w:t>
            </w:r>
          </w:p>
        </w:tc>
        <w:tc>
          <w:tcPr>
            <w:tcW w:w="900" w:type="dxa"/>
            <w:vAlign w:val="center"/>
          </w:tcPr>
          <w:p w14:paraId="6A7F3CE0" w14:textId="77777777" w:rsidR="00735FF7" w:rsidRPr="003311B7" w:rsidRDefault="00735FF7" w:rsidP="008C36B3">
            <w:pPr>
              <w:pStyle w:val="tablecolsubhead"/>
              <w:rPr>
                <w:sz w:val="22"/>
                <w:szCs w:val="22"/>
              </w:rPr>
            </w:pPr>
            <w:r w:rsidRPr="003311B7">
              <w:rPr>
                <w:sz w:val="22"/>
                <w:szCs w:val="22"/>
              </w:rPr>
              <w:t>Subhead</w:t>
            </w:r>
          </w:p>
        </w:tc>
        <w:tc>
          <w:tcPr>
            <w:tcW w:w="900" w:type="dxa"/>
            <w:vAlign w:val="center"/>
          </w:tcPr>
          <w:p w14:paraId="2E4F4B39" w14:textId="77777777" w:rsidR="00735FF7" w:rsidRPr="003311B7" w:rsidRDefault="00735FF7" w:rsidP="008C36B3">
            <w:pPr>
              <w:pStyle w:val="tablecolsubhead"/>
              <w:rPr>
                <w:sz w:val="22"/>
                <w:szCs w:val="22"/>
              </w:rPr>
            </w:pPr>
            <w:r w:rsidRPr="003311B7">
              <w:rPr>
                <w:sz w:val="22"/>
                <w:szCs w:val="22"/>
              </w:rPr>
              <w:t>Subhead</w:t>
            </w:r>
          </w:p>
        </w:tc>
      </w:tr>
      <w:tr w:rsidR="00735FF7" w:rsidRPr="003311B7" w14:paraId="5EE9EFBF" w14:textId="77777777" w:rsidTr="008C36B3">
        <w:tblPrEx>
          <w:tblCellMar>
            <w:top w:w="0" w:type="dxa"/>
            <w:bottom w:w="0" w:type="dxa"/>
          </w:tblCellMar>
        </w:tblPrEx>
        <w:trPr>
          <w:trHeight w:val="320"/>
          <w:jc w:val="center"/>
        </w:trPr>
        <w:tc>
          <w:tcPr>
            <w:tcW w:w="720" w:type="dxa"/>
            <w:vAlign w:val="center"/>
          </w:tcPr>
          <w:p w14:paraId="7643F2DD" w14:textId="77777777" w:rsidR="00735FF7" w:rsidRPr="003311B7" w:rsidRDefault="00735FF7" w:rsidP="008C36B3">
            <w:pPr>
              <w:pStyle w:val="tablecopy"/>
              <w:rPr>
                <w:sz w:val="22"/>
                <w:szCs w:val="22"/>
              </w:rPr>
            </w:pPr>
            <w:r w:rsidRPr="003311B7">
              <w:rPr>
                <w:sz w:val="22"/>
                <w:szCs w:val="22"/>
              </w:rPr>
              <w:t>copy</w:t>
            </w:r>
          </w:p>
        </w:tc>
        <w:tc>
          <w:tcPr>
            <w:tcW w:w="2340" w:type="dxa"/>
            <w:vAlign w:val="center"/>
          </w:tcPr>
          <w:p w14:paraId="27C8EDD1" w14:textId="77777777" w:rsidR="00735FF7" w:rsidRPr="003311B7" w:rsidRDefault="00735FF7" w:rsidP="008C36B3">
            <w:pPr>
              <w:pStyle w:val="tablecopy"/>
              <w:rPr>
                <w:sz w:val="22"/>
                <w:szCs w:val="22"/>
              </w:rPr>
            </w:pPr>
            <w:r w:rsidRPr="003311B7">
              <w:rPr>
                <w:sz w:val="22"/>
                <w:szCs w:val="22"/>
              </w:rPr>
              <w:t>More table copy</w:t>
            </w:r>
            <w:r w:rsidRPr="003311B7">
              <w:rPr>
                <w:sz w:val="22"/>
                <w:szCs w:val="22"/>
                <w:vertAlign w:val="superscript"/>
              </w:rPr>
              <w:t>a</w:t>
            </w:r>
          </w:p>
        </w:tc>
        <w:tc>
          <w:tcPr>
            <w:tcW w:w="900" w:type="dxa"/>
            <w:vAlign w:val="center"/>
          </w:tcPr>
          <w:p w14:paraId="62582332" w14:textId="77777777" w:rsidR="00735FF7" w:rsidRPr="003311B7" w:rsidRDefault="00735FF7" w:rsidP="008C36B3">
            <w:pPr>
              <w:rPr>
                <w:sz w:val="22"/>
                <w:szCs w:val="22"/>
              </w:rPr>
            </w:pPr>
          </w:p>
        </w:tc>
        <w:tc>
          <w:tcPr>
            <w:tcW w:w="900" w:type="dxa"/>
            <w:vAlign w:val="center"/>
          </w:tcPr>
          <w:p w14:paraId="6A4B1ED0" w14:textId="77777777" w:rsidR="00735FF7" w:rsidRPr="003311B7" w:rsidRDefault="00735FF7" w:rsidP="008C36B3">
            <w:pPr>
              <w:rPr>
                <w:sz w:val="22"/>
                <w:szCs w:val="22"/>
              </w:rPr>
            </w:pPr>
          </w:p>
        </w:tc>
      </w:tr>
    </w:tbl>
    <w:p w14:paraId="4F9F5897" w14:textId="77777777" w:rsidR="00735FF7" w:rsidRPr="003311B7" w:rsidRDefault="00735FF7" w:rsidP="00735FF7">
      <w:pPr>
        <w:pStyle w:val="tablefootnote"/>
        <w:rPr>
          <w:sz w:val="22"/>
          <w:szCs w:val="22"/>
        </w:rPr>
      </w:pPr>
      <w:r w:rsidRPr="003311B7">
        <w:rPr>
          <w:sz w:val="22"/>
          <w:szCs w:val="22"/>
        </w:rPr>
        <w:t>Sample of a Table footnote. (</w:t>
      </w:r>
      <w:r w:rsidRPr="003311B7">
        <w:rPr>
          <w:i/>
          <w:sz w:val="22"/>
          <w:szCs w:val="22"/>
        </w:rPr>
        <w:t>Table footnote</w:t>
      </w:r>
      <w:r w:rsidRPr="003311B7">
        <w:rPr>
          <w:sz w:val="22"/>
          <w:szCs w:val="22"/>
        </w:rPr>
        <w:t>)</w:t>
      </w:r>
    </w:p>
    <w:p w14:paraId="2F166968" w14:textId="77777777" w:rsidR="00735FF7" w:rsidRPr="003311B7" w:rsidRDefault="00735FF7" w:rsidP="00735FF7">
      <w:pPr>
        <w:pStyle w:val="figurecaption"/>
        <w:rPr>
          <w:sz w:val="22"/>
          <w:szCs w:val="22"/>
        </w:rPr>
      </w:pPr>
      <w:r w:rsidRPr="003311B7">
        <w:rPr>
          <w:sz w:val="22"/>
          <w:szCs w:val="22"/>
        </w:rPr>
        <w:t xml:space="preserve">Example of a figure caption. </w:t>
      </w:r>
      <w:r w:rsidRPr="003311B7">
        <w:rPr>
          <w:iCs/>
          <w:sz w:val="22"/>
          <w:szCs w:val="22"/>
        </w:rPr>
        <w:t>(</w:t>
      </w:r>
      <w:r w:rsidRPr="003311B7">
        <w:rPr>
          <w:i/>
          <w:iCs/>
          <w:sz w:val="22"/>
          <w:szCs w:val="22"/>
        </w:rPr>
        <w:t>figure caption</w:t>
      </w:r>
      <w:r w:rsidRPr="003311B7">
        <w:rPr>
          <w:iCs/>
          <w:sz w:val="22"/>
          <w:szCs w:val="22"/>
        </w:rPr>
        <w:t>)</w:t>
      </w:r>
    </w:p>
    <w:p w14:paraId="09D67860" w14:textId="77777777" w:rsidR="00735FF7" w:rsidRPr="003311B7" w:rsidRDefault="00735FF7" w:rsidP="00735FF7">
      <w:pPr>
        <w:pStyle w:val="BodyText"/>
        <w:rPr>
          <w:sz w:val="22"/>
          <w:szCs w:val="22"/>
        </w:rPr>
      </w:pPr>
      <w:r w:rsidRPr="003311B7">
        <w:rPr>
          <w:sz w:val="22"/>
          <w:szCs w:val="22"/>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03D4BA32" w14:textId="77777777" w:rsidR="00735FF7" w:rsidRPr="003311B7" w:rsidRDefault="00735FF7" w:rsidP="00735FF7">
      <w:pPr>
        <w:pStyle w:val="Heading5"/>
        <w:rPr>
          <w:sz w:val="22"/>
          <w:szCs w:val="22"/>
        </w:rPr>
      </w:pPr>
      <w:r w:rsidRPr="003311B7">
        <w:rPr>
          <w:sz w:val="22"/>
          <w:szCs w:val="22"/>
        </w:rPr>
        <w:t xml:space="preserve">Acknowledgment </w:t>
      </w:r>
      <w:r w:rsidRPr="003311B7">
        <w:rPr>
          <w:i/>
          <w:iCs/>
          <w:sz w:val="22"/>
          <w:szCs w:val="22"/>
        </w:rPr>
        <w:t>(</w:t>
      </w:r>
      <w:r w:rsidRPr="003311B7">
        <w:rPr>
          <w:i/>
          <w:iCs/>
          <w:smallCaps w:val="0"/>
          <w:sz w:val="22"/>
          <w:szCs w:val="22"/>
        </w:rPr>
        <w:t>Heading 5</w:t>
      </w:r>
      <w:r w:rsidRPr="003311B7">
        <w:rPr>
          <w:i/>
          <w:iCs/>
          <w:sz w:val="22"/>
          <w:szCs w:val="22"/>
        </w:rPr>
        <w:t>)</w:t>
      </w:r>
    </w:p>
    <w:p w14:paraId="12F7AFF0" w14:textId="77777777" w:rsidR="00735FF7" w:rsidRPr="003311B7" w:rsidRDefault="00735FF7" w:rsidP="00735FF7">
      <w:pPr>
        <w:pStyle w:val="BodyText"/>
        <w:rPr>
          <w:sz w:val="22"/>
          <w:szCs w:val="22"/>
        </w:rPr>
      </w:pPr>
      <w:r w:rsidRPr="003311B7">
        <w:rPr>
          <w:sz w:val="22"/>
          <w:szCs w:val="22"/>
        </w:rPr>
        <w:t>The preferred spelling of the word “acknowledgment” in America is without an “e” after the “g”. Avoid the stilted expression “</w:t>
      </w:r>
      <w:proofErr w:type="spellStart"/>
      <w:r w:rsidRPr="003311B7">
        <w:rPr>
          <w:sz w:val="22"/>
          <w:szCs w:val="22"/>
          <w:lang w:val="en-US"/>
        </w:rPr>
        <w:t>o</w:t>
      </w:r>
      <w:r w:rsidRPr="003311B7">
        <w:rPr>
          <w:sz w:val="22"/>
          <w:szCs w:val="22"/>
        </w:rPr>
        <w:t>ne</w:t>
      </w:r>
      <w:proofErr w:type="spellEnd"/>
      <w:r w:rsidRPr="003311B7">
        <w:rPr>
          <w:sz w:val="22"/>
          <w:szCs w:val="22"/>
        </w:rPr>
        <w:t xml:space="preserve"> of us (R. B. G.) thanks ...</w:t>
      </w:r>
      <w:r w:rsidRPr="003311B7">
        <w:rPr>
          <w:sz w:val="22"/>
          <w:szCs w:val="22"/>
          <w:lang w:val="en-US"/>
        </w:rPr>
        <w:t xml:space="preserve">”.  </w:t>
      </w:r>
      <w:r w:rsidRPr="003311B7">
        <w:rPr>
          <w:sz w:val="22"/>
          <w:szCs w:val="22"/>
        </w:rPr>
        <w:t>Instead, try “R. B. G. thanks...”.</w:t>
      </w:r>
      <w:r w:rsidRPr="003311B7">
        <w:rPr>
          <w:sz w:val="22"/>
          <w:szCs w:val="22"/>
          <w:lang w:val="en-US"/>
        </w:rPr>
        <w:t xml:space="preserve"> </w:t>
      </w:r>
      <w:r w:rsidRPr="003311B7">
        <w:rPr>
          <w:sz w:val="22"/>
          <w:szCs w:val="22"/>
        </w:rPr>
        <w:t>Put sponsor acknowledgments in the unnumbered footnote on the first page.</w:t>
      </w:r>
    </w:p>
    <w:p w14:paraId="43253E43" w14:textId="77777777" w:rsidR="00735FF7" w:rsidRPr="003311B7" w:rsidRDefault="00735FF7" w:rsidP="00735FF7">
      <w:pPr>
        <w:pStyle w:val="Heading5"/>
        <w:rPr>
          <w:sz w:val="22"/>
          <w:szCs w:val="22"/>
        </w:rPr>
      </w:pPr>
      <w:r w:rsidRPr="003311B7">
        <w:rPr>
          <w:sz w:val="22"/>
          <w:szCs w:val="22"/>
        </w:rPr>
        <w:t>References</w:t>
      </w:r>
    </w:p>
    <w:p w14:paraId="06D27366" w14:textId="77777777" w:rsidR="00735FF7" w:rsidRPr="003311B7" w:rsidRDefault="00735FF7" w:rsidP="00735FF7">
      <w:pPr>
        <w:pStyle w:val="BodyText"/>
        <w:rPr>
          <w:sz w:val="22"/>
          <w:szCs w:val="22"/>
        </w:rPr>
      </w:pPr>
      <w:r w:rsidRPr="003311B7">
        <w:rPr>
          <w:sz w:val="22"/>
          <w:szCs w:val="22"/>
        </w:rPr>
        <w:t>The template will number citations consecutively within brackets [1]. The sentence punctuation follows the bracket [2]. Refer simply to the reference number, as in [3]—do not use “Ref. [3]” or “reference [3]” except at the beginning of a sentence: “Reference [3] was the first</w:t>
      </w:r>
      <w:r w:rsidRPr="003311B7">
        <w:rPr>
          <w:sz w:val="22"/>
          <w:szCs w:val="22"/>
          <w:lang w:val="en-US"/>
        </w:rPr>
        <w:t xml:space="preserve"> </w:t>
      </w:r>
      <w:r w:rsidRPr="003311B7">
        <w:rPr>
          <w:sz w:val="22"/>
          <w:szCs w:val="22"/>
        </w:rPr>
        <w:t>...”</w:t>
      </w:r>
    </w:p>
    <w:p w14:paraId="52A1C87A" w14:textId="77777777" w:rsidR="00735FF7" w:rsidRPr="003311B7" w:rsidRDefault="00735FF7" w:rsidP="00735FF7">
      <w:pPr>
        <w:pStyle w:val="BodyText"/>
        <w:rPr>
          <w:sz w:val="22"/>
          <w:szCs w:val="22"/>
        </w:rPr>
      </w:pPr>
      <w:r w:rsidRPr="003311B7">
        <w:rPr>
          <w:sz w:val="22"/>
          <w:szCs w:val="22"/>
        </w:rPr>
        <w:lastRenderedPageBreak/>
        <w:t>Number footnotes separately in superscripts. Place the actual footnote at the bottom of the column in which it was cited. Do not put footnotes in the</w:t>
      </w:r>
      <w:r w:rsidRPr="003311B7">
        <w:rPr>
          <w:sz w:val="22"/>
          <w:szCs w:val="22"/>
          <w:lang w:val="en-US"/>
        </w:rPr>
        <w:t xml:space="preserve"> abstract or</w:t>
      </w:r>
      <w:r w:rsidRPr="003311B7">
        <w:rPr>
          <w:sz w:val="22"/>
          <w:szCs w:val="22"/>
        </w:rPr>
        <w:t xml:space="preserve"> reference list. Use letters for table footnotes.</w:t>
      </w:r>
    </w:p>
    <w:p w14:paraId="2394C18B" w14:textId="77777777" w:rsidR="00735FF7" w:rsidRPr="003311B7" w:rsidRDefault="00735FF7" w:rsidP="00735FF7">
      <w:pPr>
        <w:pStyle w:val="BodyText"/>
        <w:rPr>
          <w:sz w:val="22"/>
          <w:szCs w:val="22"/>
        </w:rPr>
      </w:pPr>
      <w:r w:rsidRPr="003311B7">
        <w:rPr>
          <w:sz w:val="22"/>
          <w:szCs w:val="22"/>
        </w:rPr>
        <w:t>Unless there are six authors or more give all authors</w:t>
      </w:r>
      <w:r w:rsidRPr="003311B7">
        <w:rPr>
          <w:sz w:val="22"/>
          <w:szCs w:val="22"/>
          <w:lang w:val="en-US"/>
        </w:rPr>
        <w:t xml:space="preserve">’ </w:t>
      </w:r>
      <w:r w:rsidRPr="003311B7">
        <w:rPr>
          <w:sz w:val="22"/>
          <w:szCs w:val="22"/>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CD1C771" w14:textId="77777777" w:rsidR="00735FF7" w:rsidRPr="003311B7" w:rsidRDefault="00735FF7" w:rsidP="00735FF7">
      <w:pPr>
        <w:pStyle w:val="BodyText"/>
        <w:rPr>
          <w:sz w:val="22"/>
          <w:szCs w:val="22"/>
        </w:rPr>
      </w:pPr>
      <w:r w:rsidRPr="003311B7">
        <w:rPr>
          <w:sz w:val="22"/>
          <w:szCs w:val="22"/>
        </w:rPr>
        <w:t>For papers published in translation journals, please give the English citation first, followed by the original foreign-language citation [6].</w:t>
      </w:r>
    </w:p>
    <w:p w14:paraId="36DCFAA4" w14:textId="77777777" w:rsidR="00735FF7" w:rsidRPr="003311B7" w:rsidRDefault="00735FF7" w:rsidP="00735FF7">
      <w:pPr>
        <w:rPr>
          <w:sz w:val="22"/>
          <w:szCs w:val="22"/>
        </w:rPr>
      </w:pPr>
    </w:p>
    <w:p w14:paraId="56882F15" w14:textId="77777777" w:rsidR="00735FF7" w:rsidRPr="003311B7" w:rsidRDefault="00735FF7" w:rsidP="00735FF7">
      <w:pPr>
        <w:pStyle w:val="references"/>
        <w:ind w:left="354" w:hanging="354"/>
        <w:rPr>
          <w:sz w:val="22"/>
          <w:szCs w:val="22"/>
        </w:rPr>
      </w:pPr>
      <w:r w:rsidRPr="003311B7">
        <w:rPr>
          <w:sz w:val="22"/>
          <w:szCs w:val="22"/>
        </w:rPr>
        <w:t xml:space="preserve">G. Eason, B. Noble, and I. N. Sneddon, “On certain integrals of Lipschitz-Hankel type involving products of Bessel functions,” Phil. Trans. Roy. Soc. London, vol. A247, pp. 529–551, April 1955. </w:t>
      </w:r>
      <w:r w:rsidRPr="003311B7">
        <w:rPr>
          <w:i/>
          <w:iCs/>
          <w:sz w:val="22"/>
          <w:szCs w:val="22"/>
        </w:rPr>
        <w:t>(references)</w:t>
      </w:r>
    </w:p>
    <w:p w14:paraId="418319BC" w14:textId="77777777" w:rsidR="00735FF7" w:rsidRPr="003311B7" w:rsidRDefault="00735FF7" w:rsidP="00735FF7">
      <w:pPr>
        <w:pStyle w:val="references"/>
        <w:ind w:left="354" w:hanging="354"/>
        <w:rPr>
          <w:sz w:val="22"/>
          <w:szCs w:val="22"/>
        </w:rPr>
      </w:pPr>
      <w:r w:rsidRPr="003311B7">
        <w:rPr>
          <w:sz w:val="22"/>
          <w:szCs w:val="22"/>
        </w:rPr>
        <w:t>J. Clerk Maxwell, A Treatise on Electricity and Magnetism, 3rd ed., vol. 2. Oxford: Clarendon, 1892, pp.68–73.</w:t>
      </w:r>
    </w:p>
    <w:p w14:paraId="5D7F2AB8" w14:textId="77777777" w:rsidR="00735FF7" w:rsidRPr="003311B7" w:rsidRDefault="00735FF7" w:rsidP="00735FF7">
      <w:pPr>
        <w:pStyle w:val="references"/>
        <w:ind w:left="354" w:hanging="354"/>
        <w:rPr>
          <w:sz w:val="22"/>
          <w:szCs w:val="22"/>
        </w:rPr>
      </w:pPr>
      <w:r w:rsidRPr="003311B7">
        <w:rPr>
          <w:sz w:val="22"/>
          <w:szCs w:val="22"/>
        </w:rPr>
        <w:t>I. S. Jacobs and C. P. Bean, “Fine particles, thin films and exchange anisotropy,” in Magnetism, vol. III, G. T. Rado and H. Suhl, Eds. New York: Academic, 1963, pp. 271–350.</w:t>
      </w:r>
    </w:p>
    <w:p w14:paraId="7296C47C" w14:textId="77777777" w:rsidR="00735FF7" w:rsidRPr="003311B7" w:rsidRDefault="00735FF7" w:rsidP="00735FF7">
      <w:pPr>
        <w:pStyle w:val="references"/>
        <w:ind w:left="354" w:hanging="354"/>
        <w:rPr>
          <w:sz w:val="22"/>
          <w:szCs w:val="22"/>
        </w:rPr>
      </w:pPr>
      <w:r w:rsidRPr="003311B7">
        <w:rPr>
          <w:sz w:val="22"/>
          <w:szCs w:val="22"/>
        </w:rPr>
        <w:t>K. Elissa, “Title of paper if known,” unpublished.</w:t>
      </w:r>
    </w:p>
    <w:p w14:paraId="1CFCBB9D" w14:textId="77777777" w:rsidR="00735FF7" w:rsidRPr="003311B7" w:rsidRDefault="00735FF7" w:rsidP="00735FF7">
      <w:pPr>
        <w:pStyle w:val="references"/>
        <w:ind w:left="354" w:hanging="354"/>
        <w:rPr>
          <w:sz w:val="22"/>
          <w:szCs w:val="22"/>
        </w:rPr>
      </w:pPr>
      <w:r w:rsidRPr="003311B7">
        <w:rPr>
          <w:sz w:val="22"/>
          <w:szCs w:val="22"/>
        </w:rPr>
        <w:t>R. Nicole, “Title of paper with only first word capitalized,” J. Name Stand. Abbrev., in press.</w:t>
      </w:r>
    </w:p>
    <w:p w14:paraId="26B64589" w14:textId="77777777" w:rsidR="00735FF7" w:rsidRPr="003311B7" w:rsidRDefault="00735FF7" w:rsidP="00735FF7">
      <w:pPr>
        <w:pStyle w:val="references"/>
        <w:ind w:left="354" w:hanging="354"/>
        <w:rPr>
          <w:sz w:val="22"/>
          <w:szCs w:val="22"/>
        </w:rPr>
      </w:pPr>
      <w:r w:rsidRPr="003311B7">
        <w:rPr>
          <w:sz w:val="22"/>
          <w:szCs w:val="22"/>
        </w:rPr>
        <w:t>Y. Yorozu, M. Hirano, K. Oka, and Y. Tagawa, “Electron spectroscopy studies on magneto-optical media and plastic substrate interface,” IEEE Transl. J. Magn. Japan, vol. 2, pp. 740–741, August 1987 [Digests 9th Annual Conf. Magnetics Japan, p. 301, 1982].</w:t>
      </w:r>
    </w:p>
    <w:p w14:paraId="399667E5" w14:textId="77777777" w:rsidR="00735FF7" w:rsidRPr="003311B7" w:rsidRDefault="00735FF7" w:rsidP="00735FF7">
      <w:pPr>
        <w:pStyle w:val="references"/>
        <w:ind w:left="354" w:hanging="354"/>
        <w:rPr>
          <w:sz w:val="22"/>
          <w:szCs w:val="22"/>
        </w:rPr>
      </w:pPr>
      <w:r w:rsidRPr="003311B7">
        <w:rPr>
          <w:sz w:val="22"/>
          <w:szCs w:val="22"/>
        </w:rPr>
        <w:t>M. Young, The Technical Writer’s Handbook. Mill Valley, CA: University Science, 1989.</w:t>
      </w:r>
    </w:p>
    <w:p w14:paraId="5A1C8ED6" w14:textId="77777777" w:rsidR="00735FF7" w:rsidRPr="003311B7" w:rsidRDefault="00735FF7" w:rsidP="00735FF7">
      <w:pPr>
        <w:pStyle w:val="references"/>
        <w:numPr>
          <w:ilvl w:val="0"/>
          <w:numId w:val="0"/>
        </w:numPr>
        <w:ind w:left="360" w:hanging="360"/>
        <w:rPr>
          <w:sz w:val="22"/>
          <w:szCs w:val="22"/>
        </w:rPr>
      </w:pPr>
    </w:p>
    <w:p w14:paraId="14A08EFF" w14:textId="77777777" w:rsidR="00735FF7" w:rsidRPr="003311B7" w:rsidRDefault="00735FF7" w:rsidP="00735FF7">
      <w:pPr>
        <w:pStyle w:val="references"/>
        <w:numPr>
          <w:ilvl w:val="0"/>
          <w:numId w:val="0"/>
        </w:numPr>
        <w:ind w:left="360" w:hanging="360"/>
        <w:jc w:val="center"/>
        <w:rPr>
          <w:rFonts w:eastAsia="SimSun"/>
          <w:b/>
          <w:noProof w:val="0"/>
          <w:color w:val="FF0000"/>
          <w:spacing w:val="-1"/>
          <w:sz w:val="22"/>
          <w:szCs w:val="22"/>
          <w:lang w:val="x-none" w:eastAsia="x-none"/>
        </w:rPr>
        <w:sectPr w:rsidR="00735FF7" w:rsidRPr="003311B7" w:rsidSect="003B4E04">
          <w:type w:val="continuous"/>
          <w:pgSz w:w="11906" w:h="16838" w:code="9"/>
          <w:pgMar w:top="1080" w:right="907" w:bottom="1440" w:left="907" w:header="720" w:footer="720" w:gutter="0"/>
          <w:cols w:num="2" w:space="360"/>
          <w:docGrid w:linePitch="360"/>
        </w:sectPr>
      </w:pPr>
      <w:r w:rsidRPr="003311B7">
        <w:rPr>
          <w:rFonts w:eastAsia="SimSun"/>
          <w:b/>
          <w:noProof w:val="0"/>
          <w:color w:val="FF0000"/>
          <w:spacing w:val="-1"/>
          <w:sz w:val="22"/>
          <w:szCs w:val="22"/>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Pr="003311B7">
        <w:rPr>
          <w:rFonts w:eastAsia="SimSun"/>
          <w:b/>
          <w:noProof w:val="0"/>
          <w:color w:val="FF0000"/>
          <w:spacing w:val="-1"/>
          <w:sz w:val="22"/>
          <w:szCs w:val="22"/>
          <w:lang w:eastAsia="x-none"/>
        </w:rPr>
        <w:t>may</w:t>
      </w:r>
      <w:r w:rsidRPr="003311B7">
        <w:rPr>
          <w:rFonts w:eastAsia="SimSun"/>
          <w:b/>
          <w:noProof w:val="0"/>
          <w:color w:val="FF0000"/>
          <w:spacing w:val="-1"/>
          <w:sz w:val="22"/>
          <w:szCs w:val="22"/>
          <w:lang w:val="x-none" w:eastAsia="x-none"/>
        </w:rPr>
        <w:t xml:space="preserve"> result in your paper not being published.</w:t>
      </w:r>
    </w:p>
    <w:p w14:paraId="6E9A8BA6" w14:textId="0E450B88" w:rsidR="00735FF7" w:rsidRPr="003311B7" w:rsidRDefault="00735FF7" w:rsidP="00735FF7">
      <w:pPr>
        <w:rPr>
          <w:sz w:val="22"/>
          <w:szCs w:val="22"/>
        </w:rPr>
      </w:pPr>
      <w:r w:rsidRPr="003311B7">
        <w:rPr>
          <w:noProof/>
          <w:sz w:val="22"/>
          <w:szCs w:val="22"/>
        </w:rPr>
        <mc:AlternateContent>
          <mc:Choice Requires="wps">
            <w:drawing>
              <wp:anchor distT="0" distB="0" distL="114300" distR="114300" simplePos="0" relativeHeight="251659264" behindDoc="1" locked="0" layoutInCell="1" allowOverlap="1" wp14:anchorId="46C6E3AD" wp14:editId="7513A8F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7194D0C" w14:textId="77777777" w:rsidR="00735FF7" w:rsidRDefault="00735FF7" w:rsidP="00735FF7">
                            <w:pPr>
                              <w:pStyle w:val="BodyText"/>
                            </w:pPr>
                            <w:r>
                              <w:t>We suggest that you use a text box to insert a graphic (which is ideally a 300 dpi TIFF or EPS file, with all fonts embedded) because, in an MSW document, this method is somewhat more stable than directly inserting a picture.</w:t>
                            </w:r>
                          </w:p>
                          <w:p w14:paraId="00ADA01A" w14:textId="77777777" w:rsidR="00735FF7" w:rsidRDefault="00735FF7" w:rsidP="00735FF7">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C6E3AD" id="_x0000_t202" coordsize="21600,21600" o:spt="202" path="m,l,21600r21600,l21600,xe">
                <v:stroke joinstyle="miter"/>
                <v:path gradientshapeok="t" o:connecttype="rect"/>
              </v:shapetype>
              <v:shape id="Text Box 2"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57194D0C" w14:textId="77777777" w:rsidR="00735FF7" w:rsidRDefault="00735FF7" w:rsidP="00735FF7">
                      <w:pPr>
                        <w:pStyle w:val="BodyText"/>
                      </w:pPr>
                      <w:r>
                        <w:t>We suggest that you use a text box to insert a graphic (which is ideally a 300 dpi TIFF or EPS file, with all fonts embedded) because, in an MSW document, this method is somewhat more stable than directly inserting a picture.</w:t>
                      </w:r>
                    </w:p>
                    <w:p w14:paraId="00ADA01A" w14:textId="77777777" w:rsidR="00735FF7" w:rsidRDefault="00735FF7" w:rsidP="00735FF7">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14:paraId="19FCDD5C" w14:textId="3CEA1DA5" w:rsidR="00735FF7" w:rsidRPr="003311B7" w:rsidRDefault="00735FF7">
      <w:pPr>
        <w:rPr>
          <w:sz w:val="22"/>
          <w:szCs w:val="22"/>
        </w:rPr>
      </w:pPr>
    </w:p>
    <w:sectPr w:rsidR="00735FF7" w:rsidRPr="003311B7" w:rsidSect="003B4E04">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C564B" w14:textId="77777777" w:rsidR="001A3B3D" w:rsidRPr="006F6D3D" w:rsidRDefault="00C6034D" w:rsidP="0056610F">
    <w:pPr>
      <w:pStyle w:val="Footer"/>
      <w:jc w:val="left"/>
      <w:rPr>
        <w:sz w:val="16"/>
        <w:szCs w:val="16"/>
      </w:rPr>
    </w:pPr>
    <w:r w:rsidRPr="006F6D3D">
      <w:rPr>
        <w:sz w:val="16"/>
        <w:szCs w:val="16"/>
      </w:rPr>
      <w:t>XXX-X-XXXX-XXXX-X/XX/$XX.00 ©20XX IEEE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332"/>
    <w:multiLevelType w:val="hybridMultilevel"/>
    <w:tmpl w:val="ECB818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021574"/>
    <w:multiLevelType w:val="hybridMultilevel"/>
    <w:tmpl w:val="62F83E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96FF4"/>
    <w:multiLevelType w:val="hybridMultilevel"/>
    <w:tmpl w:val="B61E503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291CA6"/>
    <w:multiLevelType w:val="hybridMultilevel"/>
    <w:tmpl w:val="6CAEE872"/>
    <w:lvl w:ilvl="0" w:tplc="4CE8E330">
      <w:start w:val="3"/>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ECF2E23"/>
    <w:multiLevelType w:val="hybridMultilevel"/>
    <w:tmpl w:val="602AB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7"/>
  </w:num>
  <w:num w:numId="5">
    <w:abstractNumId w:val="9"/>
  </w:num>
  <w:num w:numId="6">
    <w:abstractNumId w:val="6"/>
  </w:num>
  <w:num w:numId="7">
    <w:abstractNumId w:val="1"/>
  </w:num>
  <w:num w:numId="8">
    <w:abstractNumId w:val="10"/>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F7"/>
    <w:rsid w:val="000C10C6"/>
    <w:rsid w:val="00171FC1"/>
    <w:rsid w:val="003311B7"/>
    <w:rsid w:val="0051265C"/>
    <w:rsid w:val="005C3C19"/>
    <w:rsid w:val="006079C1"/>
    <w:rsid w:val="00693A88"/>
    <w:rsid w:val="006F092F"/>
    <w:rsid w:val="00735FF7"/>
    <w:rsid w:val="007B3F6E"/>
    <w:rsid w:val="008B0CF8"/>
    <w:rsid w:val="008C080D"/>
    <w:rsid w:val="00A20CE8"/>
    <w:rsid w:val="00BE5845"/>
    <w:rsid w:val="00C04070"/>
    <w:rsid w:val="00C3478B"/>
    <w:rsid w:val="00C6034D"/>
    <w:rsid w:val="00CD2950"/>
    <w:rsid w:val="00D26305"/>
    <w:rsid w:val="00E138BE"/>
    <w:rsid w:val="00E91DE3"/>
    <w:rsid w:val="00EA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389A"/>
  <w15:chartTrackingRefBased/>
  <w15:docId w15:val="{A73CA6AC-D748-416A-8AE7-95ADA057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FF7"/>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735FF7"/>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735FF7"/>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735FF7"/>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735FF7"/>
    <w:pPr>
      <w:numPr>
        <w:ilvl w:val="3"/>
        <w:numId w:val="3"/>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735FF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35FF7"/>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735FF7"/>
    <w:rPr>
      <w:rFonts w:ascii="Times New Roman" w:eastAsia="SimSun" w:hAnsi="Times New Roman" w:cs="Times New Roman"/>
      <w:spacing w:val="-1"/>
      <w:sz w:val="20"/>
      <w:szCs w:val="20"/>
      <w:lang w:val="x-none" w:eastAsia="x-none"/>
    </w:rPr>
  </w:style>
  <w:style w:type="character" w:customStyle="1" w:styleId="Heading1Char">
    <w:name w:val="Heading 1 Char"/>
    <w:basedOn w:val="DefaultParagraphFont"/>
    <w:link w:val="Heading1"/>
    <w:rsid w:val="00735FF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35FF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35FF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35FF7"/>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735FF7"/>
    <w:rPr>
      <w:rFonts w:ascii="Times New Roman" w:eastAsia="SimSun" w:hAnsi="Times New Roman" w:cs="Times New Roman"/>
      <w:smallCaps/>
      <w:noProof/>
      <w:sz w:val="20"/>
      <w:szCs w:val="20"/>
    </w:rPr>
  </w:style>
  <w:style w:type="paragraph" w:customStyle="1" w:styleId="Abstract">
    <w:name w:val="Abstract"/>
    <w:rsid w:val="00735FF7"/>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735FF7"/>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735FF7"/>
    <w:pPr>
      <w:numPr>
        <w:numId w:val="1"/>
      </w:numPr>
      <w:tabs>
        <w:tab w:val="clear" w:pos="648"/>
      </w:tabs>
      <w:ind w:left="576" w:hanging="288"/>
    </w:pPr>
  </w:style>
  <w:style w:type="paragraph" w:customStyle="1" w:styleId="equation">
    <w:name w:val="equation"/>
    <w:basedOn w:val="Normal"/>
    <w:rsid w:val="00735FF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35FF7"/>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735FF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35FF7"/>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735FF7"/>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735FF7"/>
    <w:rPr>
      <w:b/>
      <w:bCs/>
      <w:sz w:val="16"/>
      <w:szCs w:val="16"/>
    </w:rPr>
  </w:style>
  <w:style w:type="paragraph" w:customStyle="1" w:styleId="tablecolsubhead">
    <w:name w:val="table col subhead"/>
    <w:basedOn w:val="tablecolhead"/>
    <w:rsid w:val="00735FF7"/>
    <w:rPr>
      <w:i/>
      <w:iCs/>
      <w:sz w:val="15"/>
      <w:szCs w:val="15"/>
    </w:rPr>
  </w:style>
  <w:style w:type="paragraph" w:customStyle="1" w:styleId="tablecopy">
    <w:name w:val="table copy"/>
    <w:rsid w:val="00735FF7"/>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735FF7"/>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735FF7"/>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735FF7"/>
    <w:pPr>
      <w:spacing w:after="120"/>
      <w:ind w:firstLine="274"/>
    </w:pPr>
    <w:rPr>
      <w:i/>
    </w:rPr>
  </w:style>
  <w:style w:type="paragraph" w:styleId="Footer">
    <w:name w:val="footer"/>
    <w:basedOn w:val="Normal"/>
    <w:link w:val="FooterChar"/>
    <w:rsid w:val="00735FF7"/>
    <w:pPr>
      <w:tabs>
        <w:tab w:val="center" w:pos="4680"/>
        <w:tab w:val="right" w:pos="9360"/>
      </w:tabs>
    </w:pPr>
  </w:style>
  <w:style w:type="character" w:customStyle="1" w:styleId="FooterChar">
    <w:name w:val="Footer Char"/>
    <w:basedOn w:val="DefaultParagraphFont"/>
    <w:link w:val="Footer"/>
    <w:rsid w:val="00735FF7"/>
    <w:rPr>
      <w:rFonts w:ascii="Times New Roman" w:eastAsia="SimSun" w:hAnsi="Times New Roman" w:cs="Times New Roman"/>
      <w:sz w:val="20"/>
      <w:szCs w:val="20"/>
    </w:rPr>
  </w:style>
  <w:style w:type="character" w:customStyle="1" w:styleId="normaltextrun">
    <w:name w:val="normaltextrun"/>
    <w:basedOn w:val="DefaultParagraphFont"/>
    <w:rsid w:val="007B3F6E"/>
  </w:style>
  <w:style w:type="character" w:customStyle="1" w:styleId="eop">
    <w:name w:val="eop"/>
    <w:basedOn w:val="DefaultParagraphFont"/>
    <w:rsid w:val="007B3F6E"/>
  </w:style>
  <w:style w:type="paragraph" w:styleId="ListParagraph">
    <w:name w:val="List Paragraph"/>
    <w:basedOn w:val="Normal"/>
    <w:uiPriority w:val="34"/>
    <w:qFormat/>
    <w:rsid w:val="00171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6620F5-CE9F-4BA8-809C-3D6DA6A33B5D}"/>
</file>

<file path=customXml/itemProps2.xml><?xml version="1.0" encoding="utf-8"?>
<ds:datastoreItem xmlns:ds="http://schemas.openxmlformats.org/officeDocument/2006/customXml" ds:itemID="{4CFCC2C3-6498-4CF8-B2EC-3FA9CC6D8465}"/>
</file>

<file path=customXml/itemProps3.xml><?xml version="1.0" encoding="utf-8"?>
<ds:datastoreItem xmlns:ds="http://schemas.openxmlformats.org/officeDocument/2006/customXml" ds:itemID="{FBC8E3E6-AA48-467B-9CEB-975769BC7343}"/>
</file>

<file path=docProps/app.xml><?xml version="1.0" encoding="utf-8"?>
<Properties xmlns="http://schemas.openxmlformats.org/officeDocument/2006/extended-properties" xmlns:vt="http://schemas.openxmlformats.org/officeDocument/2006/docPropsVTypes">
  <Template>Normal.dotm</Template>
  <TotalTime>188</TotalTime>
  <Pages>4</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4</cp:revision>
  <dcterms:created xsi:type="dcterms:W3CDTF">2022-02-27T00:00:00Z</dcterms:created>
  <dcterms:modified xsi:type="dcterms:W3CDTF">2022-02-28T03:03:00Z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