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 w:eastAsia="宋体"/>
          <w:sz w:val="24"/>
        </w:rPr>
      </w:pPr>
      <w:bookmarkStart w:id="0" w:name="_Toc1513"/>
      <w:bookmarkStart w:id="1" w:name="_Toc1918"/>
      <w:r>
        <w:rPr>
          <w:rFonts w:hint="eastAsia" w:ascii="宋体" w:hAnsi="宋体" w:eastAsia="宋体"/>
          <w:sz w:val="24"/>
        </w:rPr>
        <w:t>4.2传质单元高度的计算</w:t>
      </w:r>
      <w:bookmarkEnd w:id="0"/>
      <w:bookmarkEnd w:id="1"/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气相总传质单元高度采用修正的恩田关联式计算</w:t>
      </w: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position w:val="-32"/>
          <w:sz w:val="24"/>
        </w:rPr>
        <w:object>
          <v:shape id="_x0000_i1025" o:spt="75" alt="" type="#_x0000_t75" style="height:38pt;width:289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查表(常见材质的临界表面张力值) </w:t>
      </w:r>
      <w:r>
        <w:rPr>
          <w:rFonts w:hint="eastAsia" w:ascii="宋体" w:hAnsi="宋体" w:eastAsia="宋体"/>
          <w:position w:val="-12"/>
          <w:sz w:val="24"/>
        </w:rPr>
        <w:object>
          <v:shape id="_x0000_i1026" o:spt="75" type="#_x0000_t75" style="height:18pt;width:154pt;" o:ole="t" filled="f" o:preferrelative="t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/>
          <w:sz w:val="24"/>
        </w:rPr>
        <w:t>，</w:t>
      </w:r>
      <w:r>
        <w:rPr>
          <w:rFonts w:hint="eastAsia" w:ascii="宋体" w:hAnsi="宋体" w:eastAsia="宋体"/>
          <w:position w:val="-10"/>
          <w:sz w:val="24"/>
        </w:rPr>
        <w:object>
          <v:shape id="_x0000_i1027" o:spt="75" type="#_x0000_t75" style="height:17pt;width:163pt;" o:ole="t" filled="f" o:preferrelative="t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液体质量通量为</w:t>
      </w:r>
      <w:r>
        <w:rPr>
          <w:rFonts w:hint="eastAsia" w:ascii="宋体" w:hAnsi="宋体" w:eastAsia="宋体"/>
          <w:position w:val="-54"/>
          <w:sz w:val="24"/>
        </w:rPr>
        <w:object>
          <v:shape id="_x0000_i1028" o:spt="75" alt="" type="#_x0000_t75" style="height:46pt;width:22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position w:val="-46"/>
          <w:sz w:val="24"/>
        </w:rPr>
        <w:object>
          <v:shape id="_x0000_i1029" o:spt="75" type="#_x0000_t75" style="height:52pt;width:47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 w:eastAsia="宋体"/>
          <w:sz w:val="28"/>
          <w:szCs w:val="28"/>
        </w:rPr>
        <w:t>a</w:t>
      </w:r>
      <w:r>
        <w:rPr>
          <w:rFonts w:hint="eastAsia" w:ascii="宋体" w:hAnsi="宋体" w:eastAsia="宋体"/>
          <w:sz w:val="28"/>
          <w:szCs w:val="28"/>
          <w:vertAlign w:val="subscript"/>
        </w:rPr>
        <w:t>w</w:t>
      </w:r>
      <w:r>
        <w:rPr>
          <w:rFonts w:hint="eastAsia" w:ascii="宋体" w:hAnsi="宋体" w:eastAsia="宋体"/>
          <w:sz w:val="28"/>
          <w:szCs w:val="28"/>
        </w:rPr>
        <w:t>=a</w:t>
      </w:r>
      <w:r>
        <w:rPr>
          <w:rFonts w:hint="eastAsia" w:ascii="宋体" w:hAnsi="宋体" w:eastAsia="宋体"/>
          <w:sz w:val="28"/>
          <w:szCs w:val="28"/>
          <w:vertAlign w:val="subscript"/>
        </w:rPr>
        <w:t>t</w:t>
      </w:r>
      <w:r>
        <w:rPr>
          <w:rFonts w:hint="eastAsia" w:ascii="宋体" w:hAnsi="宋体" w:eastAsia="宋体"/>
          <w:sz w:val="28"/>
          <w:szCs w:val="28"/>
        </w:rPr>
        <w:t>×</w:t>
      </w:r>
      <w:r>
        <w:rPr>
          <w:rFonts w:hint="eastAsia" w:ascii="宋体" w:hAnsi="宋体"/>
          <w:sz w:val="28"/>
          <w:szCs w:val="28"/>
          <w:lang w:val="en-US" w:eastAsia="zh-CN"/>
        </w:rPr>
        <w:t>0.4295</w:t>
      </w:r>
      <w:r>
        <w:rPr>
          <w:rFonts w:hint="eastAsia" w:ascii="宋体" w:hAnsi="宋体" w:eastAsia="宋体"/>
          <w:sz w:val="28"/>
          <w:szCs w:val="28"/>
        </w:rPr>
        <w:t>=132.5×0</w:t>
      </w:r>
      <w:r>
        <w:rPr>
          <w:rFonts w:hint="eastAsia" w:ascii="宋体" w:hAnsi="宋体"/>
          <w:sz w:val="28"/>
          <w:szCs w:val="28"/>
          <w:lang w:val="en-US" w:eastAsia="zh-CN"/>
        </w:rPr>
        <w:t>.4295=56.91</w:t>
      </w:r>
      <w:r>
        <w:rPr>
          <w:rFonts w:hint="eastAsia" w:ascii="宋体" w:hAnsi="宋体" w:eastAsia="宋体"/>
          <w:sz w:val="28"/>
          <w:szCs w:val="28"/>
        </w:rPr>
        <w:t>(m</w:t>
      </w:r>
      <w:r>
        <w:rPr>
          <w:rFonts w:hint="eastAsia" w:ascii="宋体" w:hAnsi="宋体" w:eastAsia="宋体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²/m</w:t>
      </w:r>
      <w:r>
        <w:rPr>
          <w:rFonts w:hint="eastAsia" w:ascii="宋体" w:hAnsi="宋体" w:eastAsia="宋体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³)</w:t>
      </w: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气体质量通量为</w:t>
      </w:r>
      <w:r>
        <w:rPr>
          <w:rFonts w:hint="eastAsia" w:ascii="宋体" w:hAnsi="宋体" w:eastAsia="宋体"/>
          <w:position w:val="-54"/>
          <w:sz w:val="24"/>
        </w:rPr>
        <w:object>
          <v:shape id="_x0000_i1030" o:spt="75" type="#_x0000_t75" style="height:46pt;width:22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气膜吸收系数由下式计算</w:t>
      </w:r>
      <w:bookmarkStart w:id="2" w:name="_GoBack"/>
      <w:bookmarkEnd w:id="2"/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position w:val="-30"/>
          <w:sz w:val="24"/>
        </w:rPr>
        <w:object>
          <v:shape id="_x0000_i1031" o:spt="75" alt="" type="#_x0000_t75" style="height:34pt;width:183.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position w:val="-48"/>
          <w:sz w:val="24"/>
        </w:rPr>
        <w:object>
          <v:shape id="_x0000_i1032" o:spt="75" type="#_x0000_t75" style="height:54pt;width:31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液膜吸收系数由下式计算</w:t>
      </w: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position w:val="-30"/>
          <w:sz w:val="24"/>
        </w:rPr>
        <w:object>
          <v:shape id="_x0000_i1033" o:spt="75" type="#_x0000_t75" style="height:34pt;width:197.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 w:eastAsia="宋体"/>
          <w:sz w:val="24"/>
        </w:rPr>
        <w:t xml:space="preserve">                      </w:t>
      </w:r>
      <w:r>
        <w:rPr>
          <w:rFonts w:hint="eastAsia" w:ascii="宋体" w:hAnsi="宋体" w:eastAsia="宋体"/>
          <w:position w:val="-44"/>
          <w:sz w:val="24"/>
        </w:rPr>
        <w:object>
          <v:shape id="_x0000_i1034" o:spt="75" type="#_x0000_t75" style="height:49.95pt;width:31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由</w:t>
      </w:r>
      <w:r>
        <w:rPr>
          <w:rFonts w:hint="eastAsia" w:ascii="宋体" w:hAnsi="宋体" w:eastAsia="宋体"/>
          <w:position w:val="-12"/>
          <w:sz w:val="24"/>
        </w:rPr>
        <w:object>
          <v:shape id="_x0000_i1035" o:spt="75" type="#_x0000_t75" style="height:19pt;width:75pt;" o:ole="t" filled="f" o:preferrelative="t" stroked="f" coordsize="21600,21600">
            <v:path/>
            <v:fill on="f" focussize="0,0"/>
            <v:stroke on="f"/>
            <v:imagedata r:id="rId25" o:title=""/>
            <o:lock v:ext="edit" grouping="f" rotation="f" text="f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rPr>
          <w:rFonts w:hint="eastAsia" w:ascii="宋体" w:hAnsi="宋体" w:eastAsia="宋体"/>
          <w:sz w:val="24"/>
        </w:rPr>
        <w:t>，查附</w:t>
      </w:r>
      <w:r>
        <w:rPr>
          <w:rFonts w:hint="eastAsia" w:ascii="宋体" w:hAnsi="宋体" w:eastAsia="宋体"/>
          <w:position w:val="-8"/>
          <w:sz w:val="24"/>
        </w:rPr>
        <w:object>
          <v:shape id="_x0000_i1036" o:spt="75" type="#_x0000_t75" style="height:15.75pt;width:20.75pt;" o:ole="t" filled="f" o:preferrelative="t" stroked="f" coordsize="21600,21600">
            <v:path/>
            <v:fill on="f" focussize="0,0"/>
            <v:stroke on="f"/>
            <v:imagedata r:id="rId27" o:title=""/>
            <o:lock v:ext="edit" grouping="f" rotation="f" text="f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 w:eastAsia="宋体"/>
          <w:sz w:val="24"/>
        </w:rPr>
        <w:t xml:space="preserve">得， </w:t>
      </w:r>
      <w:r>
        <w:rPr>
          <w:rFonts w:hint="eastAsia" w:ascii="宋体" w:hAnsi="宋体" w:eastAsia="宋体"/>
          <w:position w:val="-10"/>
          <w:sz w:val="24"/>
        </w:rPr>
        <w:object>
          <v:shape id="_x0000_i1037" o:spt="75" type="#_x0000_t75" style="height:16pt;width:42.95pt;" o:ole="t" filled="f" o:preferrelative="t" stroked="f" coordsize="21600,21600">
            <v:path/>
            <v:fill on="f" focussize="0,0"/>
            <v:stroke on="f"/>
            <v:imagedata r:id="rId29" o:title=""/>
            <o:lock v:ext="edit" grouping="f" rotation="f" text="f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则</w:t>
      </w:r>
      <w:r>
        <w:rPr>
          <w:rFonts w:hint="eastAsia" w:ascii="宋体" w:hAnsi="宋体" w:eastAsia="宋体"/>
          <w:position w:val="-12"/>
          <w:sz w:val="24"/>
        </w:rPr>
        <w:object>
          <v:shape id="_x0000_i1038" o:spt="75" type="#_x0000_t75" style="height:19pt;width:303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position w:val="-12"/>
          <w:sz w:val="24"/>
        </w:rPr>
        <w:object>
          <v:shape id="_x0000_i1039" o:spt="75" type="#_x0000_t75" style="height:19pt;width:25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2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因为</w:t>
      </w:r>
      <w:r>
        <w:rPr>
          <w:rFonts w:hint="eastAsia" w:ascii="宋体" w:hAnsi="宋体" w:eastAsia="宋体"/>
          <w:position w:val="-30"/>
          <w:sz w:val="24"/>
        </w:rPr>
        <w:object>
          <v:shape id="_x0000_i1040" o:spt="75" type="#_x0000_t75" style="height:33.9pt;width:94.5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4">
            <o:LockedField>false</o:LockedField>
          </o:OLEObject>
        </w:object>
      </w:r>
      <w:r>
        <w:rPr>
          <w:rFonts w:hint="eastAsia" w:ascii="宋体" w:hAnsi="宋体" w:eastAsia="宋体"/>
          <w:sz w:val="24"/>
        </w:rPr>
        <w:t>，故需要校正。</w:t>
      </w: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由</w:t>
      </w:r>
      <w:r>
        <w:rPr>
          <w:rFonts w:hint="eastAsia" w:ascii="宋体" w:hAnsi="宋体" w:eastAsia="宋体"/>
          <w:position w:val="-10"/>
          <w:sz w:val="24"/>
        </w:rPr>
        <w:object>
          <v:shape id="_x0000_i1041" o:spt="75" type="#_x0000_t75" style="height:17pt;width:9pt;" o:ole="t" filled="f" o:preferrelative="t" stroked="f" coordsize="21600,21600">
            <v:path/>
            <v:fill on="f" focussize="0,0"/>
            <v:stroke on="f"/>
            <v:imagedata r:id="rId37" o:title=""/>
            <o:lock v:ext="edit" grouping="f" rotation="f" text="f" aspectratio="t"/>
            <w10:wrap type="none"/>
            <w10:anchorlock/>
          </v:shape>
          <o:OLEObject Type="Embed" ProgID="Equation.3" ShapeID="_x0000_i1041" DrawAspect="Content" ObjectID="_1468075741" r:id="rId36">
            <o:LockedField>false</o:LockedField>
          </o:OLEObject>
        </w:object>
      </w:r>
      <w:r>
        <w:rPr>
          <w:rFonts w:hint="eastAsia" w:ascii="宋体" w:hAnsi="宋体" w:eastAsia="宋体"/>
          <w:position w:val="-32"/>
          <w:sz w:val="24"/>
        </w:rPr>
        <w:object>
          <v:shape id="_x0000_i1042" o:spt="75" type="#_x0000_t75" style="height:38pt;width:157pt;" o:ole="t" filled="f" o:preferrelative="t" stroked="f" coordsize="21600,21600">
            <v:path/>
            <v:fill on="f" focussize="0,0"/>
            <v:stroke on="f"/>
            <v:imagedata r:id="rId39" o:title=""/>
            <o:lock v:ext="edit" grouping="f" rotation="f" text="f" aspectratio="t"/>
            <w10:wrap type="none"/>
            <w10:anchorlock/>
          </v:shape>
          <o:OLEObject Type="Embed" ProgID="Equation.3" ShapeID="_x0000_i1042" DrawAspect="Content" ObjectID="_1468075742" r:id="rId38">
            <o:LockedField>false</o:LockedField>
          </o:OLEObject>
        </w:object>
      </w:r>
      <w:r>
        <w:rPr>
          <w:rFonts w:hint="eastAsia" w:ascii="宋体" w:hAnsi="宋体" w:eastAsia="宋体"/>
          <w:sz w:val="24"/>
        </w:rPr>
        <w:t>，</w:t>
      </w:r>
      <w:r>
        <w:rPr>
          <w:rFonts w:hint="eastAsia" w:ascii="宋体" w:hAnsi="宋体" w:eastAsia="宋体"/>
          <w:position w:val="-32"/>
          <w:sz w:val="24"/>
        </w:rPr>
        <w:object>
          <v:shape id="_x0000_i1043" o:spt="75" type="#_x0000_t75" style="height:38pt;width:157pt;" o:ole="t" filled="f" o:preferrelative="t" stroked="f" coordsize="21600,21600">
            <v:path/>
            <v:fill on="f" focussize="0,0"/>
            <v:stroke on="f"/>
            <v:imagedata r:id="rId41" o:title=""/>
            <o:lock v:ext="edit" grouping="f" rotation="f" text="f" aspectratio="t"/>
            <w10:wrap type="none"/>
            <w10:anchorlock/>
          </v:shape>
          <o:OLEObject Type="Embed" ProgID="Equation.3" ShapeID="_x0000_i1043" DrawAspect="Content" ObjectID="_1468075743" r:id="rId40">
            <o:LockedField>false</o:LockedField>
          </o:OLEObject>
        </w:object>
      </w:r>
      <w:r>
        <w:rPr>
          <w:rFonts w:hint="eastAsia" w:ascii="宋体" w:hAnsi="宋体" w:eastAsia="宋体"/>
          <w:sz w:val="24"/>
        </w:rPr>
        <w:t xml:space="preserve">，得  </w:t>
      </w: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position w:val="-12"/>
          <w:sz w:val="24"/>
        </w:rPr>
        <w:object>
          <v:shape id="_x0000_i1044" o:spt="75" type="#_x0000_t75" style="height:23pt;width:294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2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position w:val="-10"/>
          <w:sz w:val="24"/>
        </w:rPr>
        <w:object>
          <v:shape id="_x0000_i1045" o:spt="75" type="#_x0000_t75" style="height:22pt;width:262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4">
            <o:LockedField>false</o:LockedField>
          </o:OLEObject>
        </w:object>
      </w:r>
      <w:r>
        <w:rPr>
          <w:rFonts w:hint="eastAsia" w:ascii="宋体" w:hAnsi="宋体" w:eastAsia="宋体"/>
          <w:sz w:val="24"/>
        </w:rPr>
        <w:t xml:space="preserve">  则有</w:t>
      </w: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position w:val="-66"/>
          <w:sz w:val="24"/>
        </w:rPr>
        <w:object>
          <v:shape id="_x0000_i1046" o:spt="75" type="#_x0000_t75" style="height:52pt;width:343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6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由</w:t>
      </w:r>
      <w:r>
        <w:rPr>
          <w:rFonts w:hint="eastAsia" w:ascii="宋体" w:hAnsi="宋体" w:eastAsia="宋体"/>
          <w:position w:val="-54"/>
          <w:sz w:val="24"/>
        </w:rPr>
        <w:object>
          <v:shape id="_x0000_i1047" o:spt="75" type="#_x0000_t75" style="height:46pt;width:327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8">
            <o:LockedField>false</o:LockedField>
          </o:OLEObject>
        </w:obje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JiMzBjMDBiMmJkYzAyNDJlZDY0YzY5NzdkOGJiZTAifQ=="/>
  </w:docVars>
  <w:rsids>
    <w:rsidRoot w:val="142E7791"/>
    <w:rsid w:val="142E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0" Type="http://schemas.openxmlformats.org/officeDocument/2006/relationships/fontTable" Target="fontTable.xml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2024-09-09T06:57:00Z</dcterms:created>
  <dc:creator>HP</dc:creator>
  <cp:lastModifiedBy>HP</cp:lastModifiedBy>
  <dcterms:modified xsi:type="dcterms:W3CDTF">2024-09-09T06:57:52Z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6C202EF814004D1784AEF8E88E2E5A32_11</vt:lpwstr>
  </property>
</Properties>
</file>