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612130" cy="3973830"/>
            <wp:effectExtent b="0" l="0" r="0" t="0"/>
            <wp:docPr id="21274722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1.- c) Para encontrar la correlaciòn entre variables, en otras palabras, para modelar la relaciòn entre dos variables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2.- b) la variable dependiente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3.- a) Mètodo de mìnimos cuadrados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612130" cy="4185920"/>
            <wp:effectExtent b="0" l="0" r="0" t="0"/>
            <wp:docPr id="21274722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4.- a) Entre -1 y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5.- a) no hay correlaciòn entre las variables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6.- a) porcentaje de varianza explicada por el modelo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612130" cy="4102100"/>
            <wp:effectExtent b="0" l="0" r="0" t="0"/>
            <wp:docPr id="21274722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7.- 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8.- 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9.- 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612130" cy="1252855"/>
            <wp:effectExtent b="0" l="0" r="0" t="0"/>
            <wp:docPr id="21274722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10.-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c715V+z7ZcuZcRDgJsxz6ipqNg==">CgMxLjA4AHIhMWtSYlVLSVBFdFRRMVFBcHBRbzZLZVg1R2lpblEtMUF0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2023-05-18T23:59:00Z</dcterms:created>
  <dc:creator>Iván González</dc:creator>
</cp:coreProperties>
</file>