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683F" w14:textId="65CD7E8E" w:rsidR="00D4310E" w:rsidRPr="00D4310E" w:rsidRDefault="00D4310E" w:rsidP="00D4310E">
      <w:pPr>
        <w:tabs>
          <w:tab w:val="left" w:pos="4990"/>
        </w:tabs>
        <w:rPr>
          <w:rFonts w:ascii="Times New Roman" w:hAnsi="Times New Roman" w:cs="Times New Roman" w:hint="eastAsia"/>
          <w:sz w:val="20"/>
          <w:szCs w:val="20"/>
        </w:rPr>
      </w:pPr>
      <w:r w:rsidRPr="00D4310E">
        <w:rPr>
          <w:rFonts w:ascii="Times New Roman" w:hAnsi="Times New Roman" w:cs="Times New Roman" w:hint="eastAsia"/>
          <w:sz w:val="20"/>
          <w:szCs w:val="20"/>
        </w:rPr>
        <w:t>3.1 Task</w:t>
      </w:r>
    </w:p>
    <w:p w14:paraId="7FC27245" w14:textId="1BADA360" w:rsidR="00D4310E" w:rsidRPr="00D4310E" w:rsidRDefault="00D4310E" w:rsidP="00D4310E">
      <w:pPr>
        <w:tabs>
          <w:tab w:val="left" w:pos="4990"/>
        </w:tabs>
        <w:rPr>
          <w:rFonts w:ascii="Times New Roman" w:hAnsi="Times New Roman" w:cs="Times New Roman"/>
          <w:sz w:val="20"/>
          <w:szCs w:val="20"/>
        </w:rPr>
      </w:pPr>
      <w:r w:rsidRPr="00D4310E">
        <w:rPr>
          <w:rFonts w:ascii="Times New Roman" w:hAnsi="Times New Roman" w:cs="Times New Roman"/>
          <w:sz w:val="20"/>
          <w:szCs w:val="20"/>
        </w:rPr>
        <w:t xml:space="preserve">We formulate </w:t>
      </w:r>
      <w:r w:rsidRPr="00D4310E">
        <w:rPr>
          <w:rFonts w:ascii="Times New Roman" w:hAnsi="Times New Roman" w:cs="Times New Roman"/>
          <w:b/>
          <w:bCs/>
          <w:sz w:val="20"/>
          <w:szCs w:val="20"/>
        </w:rPr>
        <w:t>click-through rate (CTR)</w:t>
      </w:r>
      <w:r w:rsidRPr="00D4310E">
        <w:rPr>
          <w:rFonts w:ascii="Times New Roman" w:hAnsi="Times New Roman" w:cs="Times New Roman"/>
          <w:sz w:val="20"/>
          <w:szCs w:val="20"/>
        </w:rPr>
        <w:t xml:space="preserve"> prediction as a binary classification task. Given a user </w:t>
      </w:r>
      <m:oMath>
        <m:r>
          <w:rPr>
            <w:rFonts w:ascii="Cambria Math" w:hAnsi="Cambria Math" w:cs="Times New Roman"/>
            <w:sz w:val="20"/>
            <w:szCs w:val="20"/>
          </w:rPr>
          <m:t>u</m:t>
        </m:r>
      </m:oMath>
      <w:r w:rsidRPr="00D4310E">
        <w:rPr>
          <w:rFonts w:ascii="Times New Roman" w:hAnsi="Times New Roman" w:cs="Times New Roman"/>
          <w:sz w:val="20"/>
          <w:szCs w:val="20"/>
        </w:rPr>
        <w:t xml:space="preserve">, a candidate item </w:t>
      </w:r>
      <m:oMath>
        <m:r>
          <w:rPr>
            <w:rFonts w:ascii="Cambria Math" w:hAnsi="Cambria Math" w:cs="Times New Roman"/>
            <w:sz w:val="20"/>
            <w:szCs w:val="20"/>
          </w:rPr>
          <m:t>i</m:t>
        </m:r>
      </m:oMath>
      <w:r w:rsidRPr="00D4310E">
        <w:rPr>
          <w:rFonts w:ascii="Times New Roman" w:hAnsi="Times New Roman" w:cs="Times New Roman"/>
          <w:sz w:val="20"/>
          <w:szCs w:val="20"/>
        </w:rPr>
        <w:t xml:space="preserve">, and the user's historical behavior sequences across </w:t>
      </w:r>
      <m:oMath>
        <m:r>
          <w:rPr>
            <w:rFonts w:ascii="Cambria Math" w:hAnsi="Cambria Math" w:cs="Times New Roman"/>
            <w:sz w:val="20"/>
            <w:szCs w:val="20"/>
          </w:rPr>
          <m:t>D=4</m:t>
        </m:r>
      </m:oMath>
      <w:r w:rsidRPr="00D4310E">
        <w:rPr>
          <w:rFonts w:ascii="Times New Roman" w:hAnsi="Times New Roman" w:cs="Times New Roman"/>
          <w:sz w:val="20"/>
          <w:szCs w:val="20"/>
        </w:rPr>
        <w:t xml:space="preserve">heterogeneous domains </w:t>
      </w:r>
      <m:oMath>
        <m:r>
          <w:rPr>
            <w:rFonts w:ascii="Cambria Math" w:hAnsi="Cambria Math" w:cs="Times New Roman"/>
            <w:sz w:val="20"/>
            <w:szCs w:val="20"/>
          </w:rPr>
          <m:t>S={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d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}</m:t>
        </m:r>
      </m:oMath>
      <w:r w:rsidRPr="00D4310E">
        <w:rPr>
          <w:rFonts w:ascii="Times New Roman" w:hAnsi="Times New Roman" w:cs="Times New Roman"/>
          <w:sz w:val="20"/>
          <w:szCs w:val="20"/>
        </w:rPr>
        <w:t>, the model outputs a click probability</w:t>
      </w:r>
    </w:p>
    <w:p w14:paraId="78E4F5EC" w14:textId="475C9097" w:rsidR="00D4310E" w:rsidRPr="00D4310E" w:rsidRDefault="00D4310E" w:rsidP="00D4310E">
      <w:pPr>
        <w:tabs>
          <w:tab w:val="left" w:pos="4990"/>
        </w:tabs>
        <w:rPr>
          <w:rFonts w:ascii="Times New Roman" w:hAnsi="Times New Roman" w:cs="Times New Roman"/>
          <w:sz w:val="20"/>
          <w:szCs w:val="20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acc>
          <m:r>
            <w:rPr>
              <w:rFonts w:ascii="Cambria Math" w:hAnsi="Cambria Math" w:cs="Times New Roman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θ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u,i,S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0,1</m:t>
              </m:r>
            </m:e>
          </m:d>
        </m:oMath>
      </m:oMathPara>
    </w:p>
    <w:p w14:paraId="7F307062" w14:textId="22CBEF14" w:rsidR="00D4310E" w:rsidRPr="00D4310E" w:rsidRDefault="00D4310E" w:rsidP="00D4310E">
      <w:pPr>
        <w:tabs>
          <w:tab w:val="left" w:pos="4990"/>
        </w:tabs>
        <w:rPr>
          <w:rFonts w:ascii="Times New Roman" w:hAnsi="Times New Roman" w:cs="Times New Roman"/>
          <w:sz w:val="20"/>
          <w:szCs w:val="20"/>
        </w:rPr>
      </w:pPr>
      <w:r w:rsidRPr="00D4310E">
        <w:rPr>
          <w:rFonts w:ascii="Times New Roman" w:hAnsi="Times New Roman" w:cs="Times New Roman"/>
          <w:sz w:val="20"/>
          <w:szCs w:val="20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θ</m:t>
            </m:r>
          </m:sub>
        </m:sSub>
      </m:oMath>
      <w:r w:rsidRPr="00D4310E">
        <w:rPr>
          <w:rFonts w:ascii="Times New Roman" w:hAnsi="Times New Roman" w:cs="Times New Roman"/>
          <w:sz w:val="20"/>
          <w:szCs w:val="20"/>
        </w:rPr>
        <w:t xml:space="preserve">denotes the parameterized model with learnable parameters </w:t>
      </w:r>
      <m:oMath>
        <m:r>
          <w:rPr>
            <w:rFonts w:ascii="Cambria Math" w:hAnsi="Cambria Math" w:cs="Times New Roman"/>
            <w:sz w:val="20"/>
            <w:szCs w:val="20"/>
          </w:rPr>
          <m:t>θ</m:t>
        </m:r>
      </m:oMath>
      <w:r w:rsidRPr="00D4310E">
        <w:rPr>
          <w:rFonts w:ascii="Times New Roman" w:hAnsi="Times New Roman" w:cs="Times New Roman"/>
          <w:sz w:val="20"/>
          <w:szCs w:val="20"/>
        </w:rPr>
        <w:t>. The model is trained by minimizing the standard binary cross-entropy loss</w:t>
      </w:r>
    </w:p>
    <w:p w14:paraId="1EAC9E53" w14:textId="4BB65338" w:rsidR="00D4310E" w:rsidRPr="00D4310E" w:rsidRDefault="00D4310E" w:rsidP="00D4310E">
      <w:pPr>
        <w:tabs>
          <w:tab w:val="left" w:pos="4990"/>
        </w:tabs>
        <w:rPr>
          <w:rFonts w:ascii="Times New Roman" w:hAnsi="Times New Roman" w:cs="Times New Roman"/>
          <w:sz w:val="20"/>
          <w:szCs w:val="20"/>
        </w:rPr>
      </w:pPr>
      <m:oMathPara>
        <m:oMath>
          <m:r>
            <m:rPr>
              <m:scr m:val="script"/>
            </m:rPr>
            <w:rPr>
              <w:rFonts w:ascii="Cambria Math" w:hAnsi="Cambria Math" w:cs="Times New Roman"/>
              <w:sz w:val="20"/>
              <w:szCs w:val="20"/>
            </w:rPr>
            <m:t>L=-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Name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</m:e>
                  </m:func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log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 </m:t>
                  </m:r>
                </m:e>
              </m:d>
            </m:e>
          </m:nary>
        </m:oMath>
      </m:oMathPara>
    </w:p>
    <w:p w14:paraId="127BFC47" w14:textId="3903CE33" w:rsidR="00D4310E" w:rsidRPr="00D4310E" w:rsidRDefault="00D4310E" w:rsidP="00D4310E">
      <w:pPr>
        <w:tabs>
          <w:tab w:val="left" w:pos="4990"/>
        </w:tabs>
        <w:rPr>
          <w:rFonts w:ascii="Times New Roman" w:hAnsi="Times New Roman" w:cs="Times New Roman"/>
          <w:sz w:val="20"/>
          <w:szCs w:val="20"/>
        </w:rPr>
      </w:pPr>
      <w:r w:rsidRPr="00D4310E">
        <w:rPr>
          <w:rFonts w:ascii="Times New Roman" w:hAnsi="Times New Roman" w:cs="Times New Roman"/>
          <w:sz w:val="20"/>
          <w:szCs w:val="20"/>
        </w:rPr>
        <w:t xml:space="preserve">where </w:t>
      </w:r>
      <m:oMath>
        <m:r>
          <w:rPr>
            <w:rFonts w:ascii="Cambria Math" w:hAnsi="Cambria Math" w:cs="Times New Roman"/>
            <w:sz w:val="20"/>
            <w:szCs w:val="20"/>
          </w:rPr>
          <m:t>y∈{0,1}</m:t>
        </m:r>
      </m:oMath>
      <w:r w:rsidRPr="00D4310E">
        <w:rPr>
          <w:rFonts w:ascii="Times New Roman" w:hAnsi="Times New Roman" w:cs="Times New Roman"/>
          <w:sz w:val="20"/>
          <w:szCs w:val="20"/>
        </w:rPr>
        <w:t xml:space="preserve">is the ground-truth label indicating whether the impression resulted in a click, and </w:t>
      </w:r>
      <m:oMath>
        <m:r>
          <w:rPr>
            <w:rFonts w:ascii="Cambria Math" w:hAnsi="Cambria Math" w:cs="Times New Roman"/>
            <w:sz w:val="20"/>
            <w:szCs w:val="20"/>
          </w:rPr>
          <m:t>N</m:t>
        </m:r>
      </m:oMath>
      <w:r w:rsidRPr="00D4310E">
        <w:rPr>
          <w:rFonts w:ascii="Times New Roman" w:hAnsi="Times New Roman" w:cs="Times New Roman"/>
          <w:sz w:val="20"/>
          <w:szCs w:val="20"/>
        </w:rPr>
        <w:t>is the number of training samples. At inference time, predicted probabilities are used to rank candidate items; the system is evaluated by the area under the ROC curve (AUC), subject to the official latency constraint imposed by the competition organizers.</w:t>
      </w:r>
    </w:p>
    <w:p w14:paraId="3D76984F" w14:textId="77777777" w:rsidR="00D4310E" w:rsidRPr="00D4310E" w:rsidRDefault="00D4310E" w:rsidP="00D4310E">
      <w:pPr>
        <w:tabs>
          <w:tab w:val="left" w:pos="4990"/>
        </w:tabs>
        <w:rPr>
          <w:rFonts w:ascii="Times New Roman" w:hAnsi="Times New Roman" w:cs="Times New Roman"/>
          <w:sz w:val="20"/>
          <w:szCs w:val="20"/>
        </w:rPr>
      </w:pPr>
    </w:p>
    <w:p w14:paraId="55388BAF" w14:textId="4282E7F3" w:rsidR="00D4310E" w:rsidRPr="00D4310E" w:rsidRDefault="00D4310E" w:rsidP="00D4310E">
      <w:pPr>
        <w:tabs>
          <w:tab w:val="left" w:pos="4990"/>
        </w:tabs>
        <w:rPr>
          <w:rFonts w:ascii="Times New Roman" w:hAnsi="Times New Roman" w:cs="Times New Roman"/>
          <w:sz w:val="20"/>
          <w:szCs w:val="20"/>
        </w:rPr>
      </w:pPr>
      <w:r w:rsidRPr="00D4310E">
        <w:rPr>
          <w:rFonts w:ascii="Times New Roman" w:hAnsi="Times New Roman" w:cs="Times New Roman" w:hint="eastAsia"/>
          <w:sz w:val="20"/>
          <w:szCs w:val="20"/>
        </w:rPr>
        <w:t>3.2 Dataset</w:t>
      </w:r>
    </w:p>
    <w:p w14:paraId="41952C15" w14:textId="77777777" w:rsidR="00D4310E" w:rsidRPr="00D4310E" w:rsidRDefault="00D4310E" w:rsidP="00D4310E">
      <w:pPr>
        <w:pStyle w:val="font-claude-response-body"/>
        <w:rPr>
          <w:sz w:val="20"/>
          <w:szCs w:val="20"/>
        </w:rPr>
      </w:pPr>
      <w:r w:rsidRPr="00D4310E">
        <w:rPr>
          <w:sz w:val="20"/>
          <w:szCs w:val="20"/>
        </w:rPr>
        <w:t xml:space="preserve">We use the </w:t>
      </w:r>
      <w:r w:rsidRPr="00D4310E">
        <w:rPr>
          <w:rStyle w:val="Emphasis"/>
          <w:sz w:val="20"/>
          <w:szCs w:val="20"/>
        </w:rPr>
        <w:t>TAAC 2026 Academic Track</w:t>
      </w:r>
      <w:r w:rsidRPr="00D4310E">
        <w:rPr>
          <w:sz w:val="20"/>
          <w:szCs w:val="20"/>
        </w:rPr>
        <w:t xml:space="preserve"> dataset, which consists of approximately one million impression records derived from real-world Tencent advertising logs. Each record corresponds to a single (user, item, timestamp) impression, augmented with the user's preceding behavior across multiple domains.</w:t>
      </w:r>
    </w:p>
    <w:p w14:paraId="12C8E87A" w14:textId="5643F156" w:rsidR="00D4310E" w:rsidRPr="00D4310E" w:rsidRDefault="00D4310E" w:rsidP="00D4310E">
      <w:pPr>
        <w:pStyle w:val="font-claude-response-body"/>
        <w:rPr>
          <w:sz w:val="20"/>
          <w:szCs w:val="20"/>
        </w:rPr>
      </w:pPr>
      <w:r w:rsidRPr="00D4310E">
        <w:rPr>
          <w:sz w:val="20"/>
          <w:szCs w:val="20"/>
        </w:rPr>
        <w:t xml:space="preserve">The dataset is </w:t>
      </w:r>
      <w:r w:rsidRPr="00D4310E">
        <w:rPr>
          <w:rStyle w:val="Emphasis"/>
          <w:sz w:val="20"/>
          <w:szCs w:val="20"/>
        </w:rPr>
        <w:t>fully anonymized</w:t>
      </w:r>
      <w:r w:rsidRPr="00D4310E">
        <w:rPr>
          <w:sz w:val="20"/>
          <w:szCs w:val="20"/>
        </w:rPr>
        <w:t xml:space="preserve">: all sparse features are mapped to integer IDs, all dense features are presented as fixed-length float vectors, and no raw content (text, images, URLs) or personally identifiable information is preserved. </w:t>
      </w:r>
      <w:r w:rsidRPr="00D4310E">
        <w:rPr>
          <w:sz w:val="20"/>
          <w:szCs w:val="20"/>
        </w:rPr>
        <w:t>Therefore</w:t>
      </w:r>
      <w:r w:rsidRPr="00D4310E">
        <w:rPr>
          <w:sz w:val="20"/>
          <w:szCs w:val="20"/>
        </w:rPr>
        <w:t xml:space="preserve">, </w:t>
      </w:r>
      <w:r w:rsidRPr="00D4310E">
        <w:rPr>
          <w:rStyle w:val="Emphasis"/>
          <w:sz w:val="20"/>
          <w:szCs w:val="20"/>
        </w:rPr>
        <w:t>pre-trained language or vision models cannot be leveraged</w:t>
      </w:r>
      <w:r w:rsidRPr="00D4310E">
        <w:rPr>
          <w:sz w:val="20"/>
          <w:szCs w:val="20"/>
        </w:rPr>
        <w:t xml:space="preserve"> for feature extraction — methodological contributions must come from architecture design rather than external knowledge transfer.</w:t>
      </w:r>
    </w:p>
    <w:p w14:paraId="31B91444" w14:textId="7E1415E5" w:rsidR="00996087" w:rsidRDefault="00996087" w:rsidP="00996087">
      <w:pPr>
        <w:tabs>
          <w:tab w:val="left" w:pos="1772"/>
        </w:tabs>
        <w:rPr>
          <w:rFonts w:ascii="Times New Roman" w:hAnsi="Times New Roman" w:cs="Times New Roman"/>
          <w:sz w:val="20"/>
          <w:szCs w:val="20"/>
        </w:rPr>
      </w:pPr>
    </w:p>
    <w:p w14:paraId="7BAC547A" w14:textId="1FBB5CAA" w:rsidR="00996087" w:rsidRDefault="00996087" w:rsidP="00996087">
      <w:pPr>
        <w:tabs>
          <w:tab w:val="left" w:pos="1772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3.3 Schema </w:t>
      </w:r>
    </w:p>
    <w:p w14:paraId="3D4732A3" w14:textId="77777777" w:rsidR="00996087" w:rsidRPr="00996087" w:rsidRDefault="00996087" w:rsidP="00996087">
      <w:pPr>
        <w:pStyle w:val="font-claude-response-body"/>
        <w:rPr>
          <w:sz w:val="20"/>
          <w:szCs w:val="20"/>
        </w:rPr>
      </w:pPr>
      <w:r w:rsidRPr="00996087">
        <w:rPr>
          <w:sz w:val="20"/>
          <w:szCs w:val="20"/>
        </w:rPr>
        <w:t xml:space="preserve">Each record is stored in a </w:t>
      </w:r>
      <w:r w:rsidRPr="00996087">
        <w:rPr>
          <w:rStyle w:val="Emphasis"/>
          <w:sz w:val="20"/>
          <w:szCs w:val="20"/>
        </w:rPr>
        <w:t>flat schema of 120 columns</w:t>
      </w:r>
      <w:r w:rsidRPr="00996087">
        <w:rPr>
          <w:sz w:val="20"/>
          <w:szCs w:val="20"/>
        </w:rPr>
        <w:t>, partitioned into six categories (Table 1): five ID/label columns, 46 user integer features (35 scalar + 11 multi-value), 10 user dense features, 14 item integer features, zero item dense features, and 45 domain sequence features distributed across four behavioral domains.</w:t>
      </w:r>
    </w:p>
    <w:p w14:paraId="6F6E7925" w14:textId="77777777" w:rsidR="00996087" w:rsidRDefault="00996087" w:rsidP="00996087">
      <w:pPr>
        <w:pStyle w:val="font-claude-response-body"/>
        <w:rPr>
          <w:sz w:val="20"/>
          <w:szCs w:val="20"/>
        </w:rPr>
      </w:pPr>
      <w:r w:rsidRPr="00996087">
        <w:rPr>
          <w:sz w:val="20"/>
          <w:szCs w:val="20"/>
        </w:rPr>
        <w:t xml:space="preserve">A distinctive feature of the schema is the </w:t>
      </w:r>
      <w:r w:rsidRPr="00996087">
        <w:rPr>
          <w:rStyle w:val="Emphasis"/>
          <w:sz w:val="20"/>
          <w:szCs w:val="20"/>
        </w:rPr>
        <w:t>aligned (key, value) structure</w:t>
      </w:r>
      <w:r w:rsidRPr="00996087">
        <w:rPr>
          <w:sz w:val="20"/>
          <w:szCs w:val="20"/>
        </w:rPr>
        <w:t xml:space="preserve">: eight of the ten user-dense columns are </w:t>
      </w:r>
      <w:r w:rsidRPr="00996087">
        <w:rPr>
          <w:rStyle w:val="Emphasis"/>
          <w:sz w:val="20"/>
          <w:szCs w:val="20"/>
        </w:rPr>
        <w:t>positionally aligned</w:t>
      </w:r>
      <w:r w:rsidRPr="00996087">
        <w:rPr>
          <w:sz w:val="20"/>
          <w:szCs w:val="20"/>
        </w:rPr>
        <w:t xml:space="preserve"> with their integer counterparts, encoding per-element behavioral statistics (e.g., dwell time, interaction score) for the corresponding entity IDs.</w:t>
      </w:r>
    </w:p>
    <w:p w14:paraId="1AA53C6E" w14:textId="77777777" w:rsidR="00996087" w:rsidRDefault="00996087" w:rsidP="00996087">
      <w:pPr>
        <w:pStyle w:val="font-claude-response-body"/>
        <w:rPr>
          <w:sz w:val="20"/>
          <w:szCs w:val="20"/>
        </w:rPr>
      </w:pPr>
    </w:p>
    <w:p w14:paraId="6DFE965F" w14:textId="1C547A25" w:rsidR="00996087" w:rsidRDefault="00996087" w:rsidP="00996087">
      <w:pPr>
        <w:pStyle w:val="font-claude-response-body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3.4 </w:t>
      </w:r>
    </w:p>
    <w:p w14:paraId="4C558BE8" w14:textId="77777777" w:rsidR="00996087" w:rsidRDefault="00996087" w:rsidP="00996087">
      <w:pPr>
        <w:pStyle w:val="font-claude-response-body"/>
        <w:rPr>
          <w:rFonts w:hint="eastAsia"/>
          <w:sz w:val="20"/>
          <w:szCs w:val="20"/>
        </w:rPr>
      </w:pPr>
    </w:p>
    <w:p w14:paraId="065B456F" w14:textId="4C0BE6DA" w:rsidR="00996087" w:rsidRPr="00996087" w:rsidRDefault="00996087" w:rsidP="00996087">
      <w:pPr>
        <w:pStyle w:val="font-claude-response-body"/>
        <w:rPr>
          <w:rFonts w:hint="eastAsia"/>
          <w:sz w:val="20"/>
          <w:szCs w:val="20"/>
        </w:rPr>
      </w:pPr>
    </w:p>
    <w:sectPr w:rsidR="00996087" w:rsidRPr="0099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30"/>
    <w:rsid w:val="001C3C80"/>
    <w:rsid w:val="00632EAD"/>
    <w:rsid w:val="00760230"/>
    <w:rsid w:val="00996087"/>
    <w:rsid w:val="00D4310E"/>
    <w:rsid w:val="00FB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E7A6"/>
  <w15:chartTrackingRefBased/>
  <w15:docId w15:val="{EADDD1DF-EEF8-DC40-BEB7-A4D11F66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3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32EAD"/>
    <w:rPr>
      <w:color w:val="666666"/>
    </w:rPr>
  </w:style>
  <w:style w:type="character" w:customStyle="1" w:styleId="mord">
    <w:name w:val="mord"/>
    <w:basedOn w:val="DefaultParagraphFont"/>
    <w:rsid w:val="00D4310E"/>
  </w:style>
  <w:style w:type="character" w:customStyle="1" w:styleId="mrel">
    <w:name w:val="mrel"/>
    <w:basedOn w:val="DefaultParagraphFont"/>
    <w:rsid w:val="00D4310E"/>
  </w:style>
  <w:style w:type="character" w:customStyle="1" w:styleId="mopen">
    <w:name w:val="mopen"/>
    <w:basedOn w:val="DefaultParagraphFont"/>
    <w:rsid w:val="00D4310E"/>
  </w:style>
  <w:style w:type="character" w:customStyle="1" w:styleId="mop">
    <w:name w:val="mop"/>
    <w:basedOn w:val="DefaultParagraphFont"/>
    <w:rsid w:val="00D4310E"/>
  </w:style>
  <w:style w:type="character" w:customStyle="1" w:styleId="vlist-s">
    <w:name w:val="vlist-s"/>
    <w:basedOn w:val="DefaultParagraphFont"/>
    <w:rsid w:val="00D4310E"/>
  </w:style>
  <w:style w:type="character" w:customStyle="1" w:styleId="mbin">
    <w:name w:val="mbin"/>
    <w:basedOn w:val="DefaultParagraphFont"/>
    <w:rsid w:val="00D4310E"/>
  </w:style>
  <w:style w:type="character" w:customStyle="1" w:styleId="mclose">
    <w:name w:val="mclose"/>
    <w:basedOn w:val="DefaultParagraphFont"/>
    <w:rsid w:val="00D4310E"/>
  </w:style>
  <w:style w:type="character" w:customStyle="1" w:styleId="token">
    <w:name w:val="token"/>
    <w:basedOn w:val="DefaultParagraphFont"/>
    <w:rsid w:val="00D4310E"/>
  </w:style>
  <w:style w:type="paragraph" w:customStyle="1" w:styleId="font-claude-response-body">
    <w:name w:val="font-claude-response-body"/>
    <w:basedOn w:val="Normal"/>
    <w:rsid w:val="00D4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431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Zijian Xu</dc:creator>
  <cp:keywords/>
  <dc:description/>
  <cp:lastModifiedBy>Zijian Xu</cp:lastModifiedBy>
  <cp:revision>3</cp:revision>
  <dcterms:created xsi:type="dcterms:W3CDTF">2026-05-05T11:25:00Z</dcterms:created>
  <dcterms:modified xsi:type="dcterms:W3CDTF">2026-05-05T16:23:00Z</dcterms:modified>
</cp:coreProperties>
</file>