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F2" w:rsidRPr="00490B1D" w:rsidRDefault="002E3CF2" w:rsidP="00570C0E">
      <w:pPr>
        <w:widowControl/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</w:p>
    <w:p w:rsidR="009E682C" w:rsidRPr="00490B1D" w:rsidRDefault="009E682C" w:rsidP="00570C0E">
      <w:pPr>
        <w:widowControl/>
        <w:spacing w:line="360" w:lineRule="auto"/>
        <w:jc w:val="center"/>
        <w:rPr>
          <w:rFonts w:asciiTheme="majorBidi" w:hAnsiTheme="majorBidi" w:cstheme="majorBidi"/>
          <w:b/>
          <w:bCs/>
          <w:color w:val="660033"/>
        </w:rPr>
      </w:pPr>
    </w:p>
    <w:p w:rsidR="00912704" w:rsidRPr="00490B1D" w:rsidRDefault="00912704" w:rsidP="00570C0E">
      <w:pPr>
        <w:widowControl/>
        <w:spacing w:line="360" w:lineRule="auto"/>
        <w:jc w:val="center"/>
        <w:rPr>
          <w:rFonts w:asciiTheme="majorBidi" w:hAnsiTheme="majorBidi" w:cstheme="majorBidi"/>
          <w:b/>
          <w:bCs/>
          <w:color w:val="660033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>Note d’information</w:t>
      </w:r>
      <w:r w:rsidR="0069792B"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du Haut-commissariat au Plan</w:t>
      </w:r>
    </w:p>
    <w:p w:rsidR="00912704" w:rsidRPr="00490B1D" w:rsidRDefault="00097300" w:rsidP="00570C0E">
      <w:pPr>
        <w:widowControl/>
        <w:spacing w:line="360" w:lineRule="auto"/>
        <w:jc w:val="center"/>
        <w:rPr>
          <w:rFonts w:asciiTheme="majorBidi" w:hAnsiTheme="majorBidi" w:cstheme="majorBidi"/>
          <w:b/>
          <w:bCs/>
          <w:color w:val="660033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>R</w:t>
      </w:r>
      <w:r w:rsidR="00912704"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ésultats de l’enquête de conjoncture auprès des ménages </w:t>
      </w:r>
    </w:p>
    <w:p w:rsidR="00912704" w:rsidRPr="00490B1D" w:rsidRDefault="00F04852" w:rsidP="00570C0E">
      <w:pPr>
        <w:widowControl/>
        <w:spacing w:line="360" w:lineRule="auto"/>
        <w:jc w:val="center"/>
        <w:rPr>
          <w:rFonts w:asciiTheme="majorBidi" w:hAnsiTheme="majorBidi" w:cstheme="majorBidi"/>
          <w:b/>
          <w:bCs/>
          <w:color w:val="660033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>Deuxième</w:t>
      </w:r>
      <w:r w:rsidR="00E22192"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trimestre de</w:t>
      </w:r>
      <w:r w:rsidR="00546559"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l’année</w:t>
      </w:r>
      <w:r w:rsidR="008D0E76"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 xml:space="preserve"> </w:t>
      </w:r>
      <w:r w:rsidR="004C1BAB" w:rsidRPr="00490B1D">
        <w:rPr>
          <w:rFonts w:asciiTheme="majorBidi" w:hAnsiTheme="majorBidi" w:cstheme="majorBidi"/>
          <w:b/>
          <w:bCs/>
          <w:color w:val="660033"/>
          <w:sz w:val="26"/>
          <w:szCs w:val="26"/>
        </w:rPr>
        <w:t>2023</w:t>
      </w:r>
    </w:p>
    <w:p w:rsidR="00570C0E" w:rsidRPr="00490B1D" w:rsidRDefault="00CE03F5" w:rsidP="00570C0E">
      <w:pPr>
        <w:widowControl/>
        <w:spacing w:line="360" w:lineRule="auto"/>
        <w:jc w:val="both"/>
        <w:rPr>
          <w:rFonts w:asciiTheme="majorBidi" w:hAnsiTheme="majorBidi" w:cstheme="majorBidi"/>
          <w:b/>
          <w:color w:val="000000" w:themeColor="text1"/>
          <w:rtl/>
        </w:rPr>
      </w:pPr>
      <w:r>
        <w:rPr>
          <w:rFonts w:asciiTheme="majorBidi" w:hAnsiTheme="majorBidi" w:cstheme="majorBidi"/>
          <w:b/>
          <w:color w:val="000000" w:themeColor="text1"/>
        </w:rPr>
        <w:t xml:space="preserve">     </w:t>
      </w:r>
    </w:p>
    <w:p w:rsidR="00F808DA" w:rsidRPr="00490B1D" w:rsidRDefault="005E2815" w:rsidP="00570C0E">
      <w:pPr>
        <w:widowControl/>
        <w:spacing w:line="360" w:lineRule="auto"/>
        <w:jc w:val="both"/>
        <w:rPr>
          <w:rFonts w:asciiTheme="majorBidi" w:hAnsiTheme="majorBidi" w:cstheme="majorBidi"/>
          <w:b/>
          <w:color w:val="000000" w:themeColor="text1"/>
        </w:rPr>
      </w:pPr>
      <w:r w:rsidRPr="00490B1D">
        <w:rPr>
          <w:rFonts w:asciiTheme="majorBidi" w:hAnsiTheme="majorBidi" w:cstheme="majorBidi"/>
          <w:b/>
          <w:color w:val="000000" w:themeColor="text1"/>
        </w:rPr>
        <w:t xml:space="preserve">Les </w:t>
      </w:r>
      <w:r w:rsidR="00A45128" w:rsidRPr="00490B1D">
        <w:rPr>
          <w:rFonts w:asciiTheme="majorBidi" w:hAnsiTheme="majorBidi" w:cstheme="majorBidi"/>
          <w:b/>
          <w:color w:val="000000" w:themeColor="text1"/>
        </w:rPr>
        <w:t xml:space="preserve">résultats de l’enquête permanente de conjoncture auprès des ménages, menée par le HCP, </w:t>
      </w:r>
      <w:r w:rsidRPr="00490B1D">
        <w:rPr>
          <w:rFonts w:asciiTheme="majorBidi" w:hAnsiTheme="majorBidi" w:cstheme="majorBidi"/>
          <w:b/>
          <w:color w:val="000000" w:themeColor="text1"/>
        </w:rPr>
        <w:t>montrent</w:t>
      </w:r>
      <w:r w:rsidR="002A5928" w:rsidRPr="00490B1D">
        <w:rPr>
          <w:rFonts w:asciiTheme="majorBidi" w:hAnsiTheme="majorBidi" w:cstheme="majorBidi"/>
          <w:b/>
          <w:color w:val="000000" w:themeColor="text1"/>
        </w:rPr>
        <w:t xml:space="preserve"> qu’au </w:t>
      </w:r>
      <w:r w:rsidR="00F04852" w:rsidRPr="00490B1D">
        <w:rPr>
          <w:rFonts w:asciiTheme="majorBidi" w:hAnsiTheme="majorBidi" w:cstheme="majorBidi"/>
          <w:b/>
          <w:color w:val="000000" w:themeColor="text1"/>
        </w:rPr>
        <w:t>deuxième</w:t>
      </w:r>
      <w:r w:rsidR="00D55501" w:rsidRPr="00490B1D">
        <w:rPr>
          <w:rFonts w:asciiTheme="majorBidi" w:hAnsiTheme="majorBidi" w:cstheme="majorBidi"/>
          <w:b/>
          <w:color w:val="000000" w:themeColor="text1"/>
        </w:rPr>
        <w:t xml:space="preserve"> trimestre</w:t>
      </w:r>
      <w:r w:rsidR="002A5928" w:rsidRPr="00490B1D">
        <w:rPr>
          <w:rFonts w:asciiTheme="majorBidi" w:hAnsiTheme="majorBidi" w:cstheme="majorBidi"/>
          <w:b/>
          <w:color w:val="000000" w:themeColor="text1"/>
        </w:rPr>
        <w:t xml:space="preserve"> de </w:t>
      </w:r>
      <w:r w:rsidR="004C1BAB" w:rsidRPr="00490B1D">
        <w:rPr>
          <w:rFonts w:asciiTheme="majorBidi" w:hAnsiTheme="majorBidi" w:cstheme="majorBidi"/>
          <w:b/>
          <w:color w:val="000000" w:themeColor="text1"/>
        </w:rPr>
        <w:t>2023</w:t>
      </w:r>
      <w:r w:rsidR="00761D08" w:rsidRPr="00490B1D">
        <w:rPr>
          <w:rFonts w:asciiTheme="majorBidi" w:hAnsiTheme="majorBidi" w:cstheme="majorBidi"/>
          <w:b/>
          <w:color w:val="000000" w:themeColor="text1"/>
        </w:rPr>
        <w:t>,</w:t>
      </w:r>
      <w:r w:rsidR="002A5928" w:rsidRPr="00490B1D">
        <w:rPr>
          <w:rFonts w:asciiTheme="majorBidi" w:hAnsiTheme="majorBidi" w:cstheme="majorBidi"/>
          <w:b/>
          <w:color w:val="000000" w:themeColor="text1"/>
        </w:rPr>
        <w:t xml:space="preserve"> le moral des ménages</w:t>
      </w:r>
      <w:r w:rsidR="00AB6B36" w:rsidRPr="00490B1D">
        <w:rPr>
          <w:rFonts w:asciiTheme="majorBidi" w:hAnsiTheme="majorBidi" w:cstheme="majorBidi"/>
          <w:b/>
          <w:color w:val="000000" w:themeColor="text1"/>
        </w:rPr>
        <w:t xml:space="preserve"> poursuit sa </w:t>
      </w:r>
      <w:r w:rsidR="00CD17D5" w:rsidRPr="00490B1D">
        <w:rPr>
          <w:rFonts w:asciiTheme="majorBidi" w:hAnsiTheme="majorBidi" w:cstheme="majorBidi"/>
          <w:b/>
          <w:color w:val="000000" w:themeColor="text1"/>
        </w:rPr>
        <w:t xml:space="preserve">tendance baissière </w:t>
      </w:r>
      <w:r w:rsidR="00F808DA" w:rsidRPr="00490B1D">
        <w:rPr>
          <w:rFonts w:asciiTheme="majorBidi" w:hAnsiTheme="majorBidi" w:cstheme="majorBidi"/>
          <w:b/>
          <w:color w:val="000000" w:themeColor="text1"/>
        </w:rPr>
        <w:t>pour atteindre son niveau le plus bas depuis le début de l’enquête en 2008.</w:t>
      </w:r>
    </w:p>
    <w:p w:rsidR="001930B7" w:rsidRPr="00490B1D" w:rsidRDefault="001930B7" w:rsidP="00570C0E">
      <w:pPr>
        <w:widowControl/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</w:p>
    <w:p w:rsidR="000838BF" w:rsidRPr="00490B1D" w:rsidRDefault="00580123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>L'indice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de confiance des ménages (ICM) s’établit à </w:t>
      </w:r>
      <w:r w:rsidR="004C1BAB" w:rsidRPr="00490B1D">
        <w:rPr>
          <w:rFonts w:asciiTheme="majorBidi" w:hAnsiTheme="majorBidi" w:cstheme="majorBidi"/>
          <w:color w:val="000000" w:themeColor="text1"/>
        </w:rPr>
        <w:t>45,4</w:t>
      </w:r>
      <w:r w:rsidR="004C1BAB" w:rsidRPr="00490B1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F04852" w:rsidRPr="00490B1D">
        <w:rPr>
          <w:rFonts w:asciiTheme="majorBidi" w:hAnsiTheme="majorBidi" w:cstheme="majorBidi"/>
          <w:color w:val="000000" w:themeColor="text1"/>
        </w:rPr>
        <w:t>points</w:t>
      </w:r>
      <w:r w:rsidR="00CD17D5" w:rsidRPr="00490B1D">
        <w:rPr>
          <w:rFonts w:asciiTheme="majorBidi" w:hAnsiTheme="majorBidi" w:cstheme="majorBidi"/>
          <w:color w:val="000000" w:themeColor="text1"/>
        </w:rPr>
        <w:t xml:space="preserve"> au lieu de </w:t>
      </w:r>
      <w:r w:rsidR="004C1BAB" w:rsidRPr="00490B1D">
        <w:rPr>
          <w:rFonts w:asciiTheme="majorBidi" w:hAnsiTheme="majorBidi" w:cstheme="majorBidi"/>
          <w:color w:val="000000" w:themeColor="text1"/>
        </w:rPr>
        <w:t>46,3</w:t>
      </w:r>
      <w:r w:rsidR="004C1BAB" w:rsidRPr="00490B1D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Pr="00490B1D">
        <w:rPr>
          <w:rFonts w:asciiTheme="majorBidi" w:hAnsiTheme="majorBidi" w:cstheme="majorBidi"/>
          <w:color w:val="000000" w:themeColor="text1"/>
        </w:rPr>
        <w:t xml:space="preserve">points enregistrés le trimestre </w:t>
      </w:r>
      <w:r w:rsidR="000838BF" w:rsidRPr="00490B1D">
        <w:rPr>
          <w:rFonts w:asciiTheme="majorBidi" w:hAnsiTheme="majorBidi" w:cstheme="majorBidi"/>
          <w:color w:val="000000" w:themeColor="text1"/>
        </w:rPr>
        <w:t>précéd</w:t>
      </w:r>
      <w:r w:rsidR="00BC42E9" w:rsidRPr="00490B1D">
        <w:rPr>
          <w:rFonts w:asciiTheme="majorBidi" w:hAnsiTheme="majorBidi" w:cstheme="majorBidi"/>
          <w:color w:val="000000" w:themeColor="text1"/>
        </w:rPr>
        <w:t>e</w:t>
      </w:r>
      <w:r w:rsidR="000838BF" w:rsidRPr="00490B1D">
        <w:rPr>
          <w:rFonts w:asciiTheme="majorBidi" w:hAnsiTheme="majorBidi" w:cstheme="majorBidi"/>
          <w:color w:val="000000" w:themeColor="text1"/>
        </w:rPr>
        <w:t>nt</w:t>
      </w:r>
      <w:r w:rsidRPr="00490B1D">
        <w:rPr>
          <w:rFonts w:asciiTheme="majorBidi" w:hAnsiTheme="majorBidi" w:cstheme="majorBidi"/>
          <w:color w:val="000000" w:themeColor="text1"/>
        </w:rPr>
        <w:t xml:space="preserve"> et</w:t>
      </w:r>
      <w:r w:rsidR="004C1BAB" w:rsidRPr="00490B1D">
        <w:rPr>
          <w:rFonts w:asciiTheme="majorBidi" w:hAnsiTheme="majorBidi" w:cstheme="majorBidi"/>
          <w:color w:val="000000" w:themeColor="text1"/>
        </w:rPr>
        <w:t xml:space="preserve"> 50,1 </w:t>
      </w:r>
      <w:r w:rsidRPr="00490B1D">
        <w:rPr>
          <w:rFonts w:asciiTheme="majorBidi" w:hAnsiTheme="majorBidi" w:cstheme="majorBidi"/>
          <w:color w:val="000000" w:themeColor="text1"/>
        </w:rPr>
        <w:t xml:space="preserve">points </w:t>
      </w:r>
      <w:r w:rsidR="00FA0B9D" w:rsidRPr="00490B1D">
        <w:rPr>
          <w:rFonts w:asciiTheme="majorBidi" w:hAnsiTheme="majorBidi" w:cstheme="majorBidi"/>
          <w:color w:val="000000" w:themeColor="text1"/>
        </w:rPr>
        <w:t>le même trimestre de l’année précédente</w:t>
      </w:r>
      <w:r w:rsidRPr="00490B1D">
        <w:rPr>
          <w:rFonts w:asciiTheme="majorBidi" w:hAnsiTheme="majorBidi" w:cstheme="majorBidi"/>
          <w:color w:val="000000" w:themeColor="text1"/>
        </w:rPr>
        <w:t>.</w:t>
      </w:r>
    </w:p>
    <w:p w:rsidR="004C1BAB" w:rsidRPr="00490B1D" w:rsidRDefault="004C1BAB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4C1BAB" w:rsidRPr="00490B1D" w:rsidRDefault="002830E2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Graphique 1 : Evolution de l'indice de confiance des ménages </w:t>
      </w:r>
    </w:p>
    <w:p w:rsidR="003F2957" w:rsidRPr="00490B1D" w:rsidRDefault="004C1BAB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570345" cy="4013200"/>
            <wp:effectExtent l="19050" t="0" r="20955" b="6350"/>
            <wp:docPr id="2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4591" w:rsidRPr="00490B1D" w:rsidRDefault="00354591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5203E1" w:rsidRPr="00490B1D" w:rsidRDefault="005203E1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color w:val="000000" w:themeColor="text1"/>
        </w:rPr>
      </w:pPr>
    </w:p>
    <w:p w:rsidR="00DE4509" w:rsidRPr="00490B1D" w:rsidRDefault="00DE4509" w:rsidP="00570C0E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spacing w:line="360" w:lineRule="auto"/>
        <w:jc w:val="center"/>
        <w:rPr>
          <w:rFonts w:asciiTheme="majorBidi" w:hAnsiTheme="majorBidi" w:cstheme="majorBidi"/>
          <w:color w:val="000000" w:themeColor="text1"/>
        </w:rPr>
      </w:pPr>
    </w:p>
    <w:p w:rsidR="008D3806" w:rsidRPr="00490B1D" w:rsidRDefault="006F1D72" w:rsidP="00570C0E">
      <w:pPr>
        <w:pStyle w:val="Paragraphedeliste"/>
        <w:numPr>
          <w:ilvl w:val="0"/>
          <w:numId w:val="9"/>
        </w:numPr>
        <w:spacing w:line="360" w:lineRule="auto"/>
        <w:ind w:left="284" w:hanging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bookmarkStart w:id="0" w:name="_Ref379209308"/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Evolution des </w:t>
      </w:r>
      <w:r w:rsidR="00860E86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composantes de</w:t>
      </w: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l'ICM</w:t>
      </w:r>
      <w:bookmarkEnd w:id="0"/>
    </w:p>
    <w:p w:rsidR="00C07FB5" w:rsidRPr="00490B1D" w:rsidRDefault="00722F6F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>L</w:t>
      </w:r>
      <w:r w:rsidR="00560ED1" w:rsidRPr="00490B1D">
        <w:rPr>
          <w:rFonts w:asciiTheme="majorBidi" w:hAnsiTheme="majorBidi" w:cstheme="majorBidi"/>
          <w:color w:val="000000" w:themeColor="text1"/>
        </w:rPr>
        <w:t xml:space="preserve">es composantes </w:t>
      </w:r>
      <w:r w:rsidRPr="00490B1D">
        <w:rPr>
          <w:rFonts w:asciiTheme="majorBidi" w:hAnsiTheme="majorBidi" w:cstheme="majorBidi"/>
          <w:color w:val="000000" w:themeColor="text1"/>
        </w:rPr>
        <w:t xml:space="preserve">de l’ICM </w:t>
      </w:r>
      <w:r w:rsidR="00560ED1" w:rsidRPr="00490B1D">
        <w:rPr>
          <w:rFonts w:asciiTheme="majorBidi" w:hAnsiTheme="majorBidi" w:cstheme="majorBidi"/>
          <w:color w:val="000000" w:themeColor="text1"/>
        </w:rPr>
        <w:t>portent sur la perception par les ménages de l’évolution du niveau de vie</w:t>
      </w:r>
      <w:r w:rsidR="005C2EDD" w:rsidRPr="00490B1D">
        <w:rPr>
          <w:rFonts w:asciiTheme="majorBidi" w:hAnsiTheme="majorBidi" w:cstheme="majorBidi"/>
          <w:color w:val="000000" w:themeColor="text1"/>
        </w:rPr>
        <w:t>,</w:t>
      </w:r>
      <w:r w:rsidR="00560ED1" w:rsidRPr="00490B1D">
        <w:rPr>
          <w:rFonts w:asciiTheme="majorBidi" w:hAnsiTheme="majorBidi" w:cstheme="majorBidi"/>
          <w:color w:val="000000" w:themeColor="text1"/>
        </w:rPr>
        <w:t xml:space="preserve"> du chômage, de </w:t>
      </w:r>
      <w:r w:rsidR="008F33D5" w:rsidRPr="00490B1D">
        <w:rPr>
          <w:rFonts w:asciiTheme="majorBidi" w:hAnsiTheme="majorBidi" w:cstheme="majorBidi"/>
          <w:color w:val="000000" w:themeColor="text1"/>
        </w:rPr>
        <w:t>l’opportunité</w:t>
      </w:r>
      <w:r w:rsidR="00560ED1" w:rsidRPr="00490B1D">
        <w:rPr>
          <w:rFonts w:asciiTheme="majorBidi" w:hAnsiTheme="majorBidi" w:cstheme="majorBidi"/>
          <w:color w:val="000000" w:themeColor="text1"/>
        </w:rPr>
        <w:t xml:space="preserve"> à </w:t>
      </w:r>
      <w:r w:rsidR="008F33D5" w:rsidRPr="00490B1D">
        <w:rPr>
          <w:rFonts w:asciiTheme="majorBidi" w:hAnsiTheme="majorBidi" w:cstheme="majorBidi"/>
          <w:color w:val="000000" w:themeColor="text1"/>
        </w:rPr>
        <w:t>effectuer des achats de</w:t>
      </w:r>
      <w:r w:rsidR="00560ED1" w:rsidRPr="00490B1D">
        <w:rPr>
          <w:rFonts w:asciiTheme="majorBidi" w:hAnsiTheme="majorBidi" w:cstheme="majorBidi"/>
          <w:color w:val="000000" w:themeColor="text1"/>
        </w:rPr>
        <w:t xml:space="preserve"> biens</w:t>
      </w:r>
      <w:r w:rsidR="00C07FB5" w:rsidRPr="00490B1D">
        <w:rPr>
          <w:rFonts w:asciiTheme="majorBidi" w:hAnsiTheme="majorBidi" w:cstheme="majorBidi"/>
          <w:color w:val="000000" w:themeColor="text1"/>
        </w:rPr>
        <w:t xml:space="preserve"> durables et de </w:t>
      </w:r>
      <w:r w:rsidR="00560ED1" w:rsidRPr="00490B1D">
        <w:rPr>
          <w:rFonts w:asciiTheme="majorBidi" w:hAnsiTheme="majorBidi" w:cstheme="majorBidi"/>
          <w:color w:val="000000" w:themeColor="text1"/>
        </w:rPr>
        <w:t>leur situation financière.</w:t>
      </w:r>
    </w:p>
    <w:p w:rsidR="001161F3" w:rsidRPr="00490B1D" w:rsidRDefault="00F87F4A" w:rsidP="00570C0E">
      <w:pPr>
        <w:pStyle w:val="Paragraphedeliste"/>
        <w:numPr>
          <w:ilvl w:val="0"/>
          <w:numId w:val="8"/>
        </w:numPr>
        <w:spacing w:before="240" w:line="360" w:lineRule="auto"/>
        <w:ind w:left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Ressenti par les ménages d’une détérioration des niveaux de vie </w:t>
      </w:r>
    </w:p>
    <w:p w:rsidR="001161F3" w:rsidRPr="00490B1D" w:rsidRDefault="00580123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 xml:space="preserve">Au </w:t>
      </w:r>
      <w:r w:rsidR="00F04852" w:rsidRPr="00490B1D">
        <w:rPr>
          <w:rFonts w:asciiTheme="majorBidi" w:hAnsiTheme="majorBidi" w:cstheme="majorBidi"/>
          <w:color w:val="000000" w:themeColor="text1"/>
        </w:rPr>
        <w:t>deuxième</w:t>
      </w:r>
      <w:r w:rsidR="00D55501" w:rsidRPr="00490B1D">
        <w:rPr>
          <w:rFonts w:asciiTheme="majorBidi" w:hAnsiTheme="majorBidi" w:cstheme="majorBidi"/>
          <w:color w:val="000000" w:themeColor="text1"/>
        </w:rPr>
        <w:t xml:space="preserve"> trimestre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707360" w:rsidRPr="00490B1D">
        <w:rPr>
          <w:rFonts w:asciiTheme="majorBidi" w:hAnsiTheme="majorBidi" w:cstheme="majorBidi"/>
          <w:color w:val="000000" w:themeColor="text1"/>
        </w:rPr>
        <w:t>de</w:t>
      </w:r>
      <w:r w:rsidR="00DA178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4C1BAB" w:rsidRPr="00490B1D">
        <w:rPr>
          <w:rFonts w:asciiTheme="majorBidi" w:hAnsiTheme="majorBidi" w:cstheme="majorBidi"/>
          <w:color w:val="000000" w:themeColor="text1"/>
        </w:rPr>
        <w:t>2023</w:t>
      </w:r>
      <w:r w:rsidRPr="00490B1D">
        <w:rPr>
          <w:rFonts w:asciiTheme="majorBidi" w:hAnsiTheme="majorBidi" w:cstheme="majorBidi"/>
          <w:color w:val="000000" w:themeColor="text1"/>
        </w:rPr>
        <w:t xml:space="preserve">, </w:t>
      </w:r>
      <w:r w:rsidR="00CC4120" w:rsidRPr="00490B1D">
        <w:rPr>
          <w:rFonts w:asciiTheme="majorBidi" w:hAnsiTheme="majorBidi" w:cstheme="majorBidi"/>
          <w:color w:val="000000" w:themeColor="text1"/>
        </w:rPr>
        <w:t>87,3%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Pr="00490B1D">
        <w:rPr>
          <w:rFonts w:asciiTheme="majorBidi" w:hAnsiTheme="majorBidi" w:cstheme="majorBidi"/>
          <w:color w:val="000000" w:themeColor="text1"/>
        </w:rPr>
        <w:t xml:space="preserve">des ménages déclarent une dégradation du niveau de vie au cours des 12 derniers mois, </w:t>
      </w:r>
      <w:r w:rsidR="00CC4120" w:rsidRPr="00490B1D">
        <w:rPr>
          <w:rFonts w:asciiTheme="majorBidi" w:hAnsiTheme="majorBidi" w:cstheme="majorBidi"/>
          <w:color w:val="000000" w:themeColor="text1"/>
        </w:rPr>
        <w:t>10,0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Pr="00490B1D">
        <w:rPr>
          <w:rFonts w:asciiTheme="majorBidi" w:hAnsiTheme="majorBidi" w:cstheme="majorBidi"/>
          <w:color w:val="000000" w:themeColor="text1"/>
        </w:rPr>
        <w:t xml:space="preserve">un maintien au même niveau et </w:t>
      </w:r>
      <w:r w:rsidR="00CC4120" w:rsidRPr="00490B1D">
        <w:rPr>
          <w:rFonts w:asciiTheme="majorBidi" w:hAnsiTheme="majorBidi" w:cstheme="majorBidi"/>
          <w:color w:val="000000" w:themeColor="text1"/>
        </w:rPr>
        <w:t>2,7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Pr="00490B1D">
        <w:rPr>
          <w:rFonts w:asciiTheme="majorBidi" w:hAnsiTheme="majorBidi" w:cstheme="majorBidi"/>
          <w:color w:val="000000" w:themeColor="text1"/>
        </w:rPr>
        <w:t>une amélioration. Le solde d’opinion sur l’évolution passée du niveau de vie est resté négatif</w:t>
      </w:r>
      <w:r w:rsidR="008450B0" w:rsidRPr="00490B1D">
        <w:rPr>
          <w:rFonts w:asciiTheme="majorBidi" w:hAnsiTheme="majorBidi" w:cstheme="majorBidi"/>
          <w:color w:val="000000" w:themeColor="text1"/>
        </w:rPr>
        <w:t xml:space="preserve"> et atteint son niveau le plus bas avec</w:t>
      </w:r>
      <w:r w:rsidRPr="00490B1D">
        <w:rPr>
          <w:rFonts w:asciiTheme="majorBidi" w:hAnsiTheme="majorBidi" w:cstheme="majorBidi"/>
          <w:color w:val="000000" w:themeColor="text1"/>
        </w:rPr>
        <w:t xml:space="preserve"> moins </w:t>
      </w:r>
      <w:r w:rsidR="004F6318" w:rsidRPr="00490B1D">
        <w:rPr>
          <w:rFonts w:asciiTheme="majorBidi" w:hAnsiTheme="majorBidi" w:cstheme="majorBidi"/>
          <w:color w:val="000000" w:themeColor="text1"/>
        </w:rPr>
        <w:t>84,6</w:t>
      </w:r>
      <w:r w:rsidR="003B3D47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Pr="00490B1D">
        <w:rPr>
          <w:rFonts w:asciiTheme="majorBidi" w:hAnsiTheme="majorBidi" w:cstheme="majorBidi"/>
          <w:color w:val="000000" w:themeColor="text1"/>
        </w:rPr>
        <w:t>points</w:t>
      </w:r>
      <w:r w:rsidR="00CD5F53" w:rsidRPr="00490B1D">
        <w:rPr>
          <w:rFonts w:asciiTheme="majorBidi" w:hAnsiTheme="majorBidi" w:cstheme="majorBidi"/>
          <w:color w:val="000000" w:themeColor="text1"/>
        </w:rPr>
        <w:t xml:space="preserve">, contre moins </w:t>
      </w:r>
      <w:r w:rsidR="004F6318" w:rsidRPr="00490B1D">
        <w:rPr>
          <w:rFonts w:asciiTheme="majorBidi" w:hAnsiTheme="majorBidi" w:cstheme="majorBidi"/>
          <w:color w:val="000000" w:themeColor="text1"/>
        </w:rPr>
        <w:t xml:space="preserve">81,5 </w:t>
      </w:r>
      <w:r w:rsidR="00CD5F53" w:rsidRPr="00490B1D">
        <w:rPr>
          <w:rFonts w:asciiTheme="majorBidi" w:hAnsiTheme="majorBidi" w:cstheme="majorBidi"/>
          <w:color w:val="000000" w:themeColor="text1"/>
        </w:rPr>
        <w:t xml:space="preserve">points </w:t>
      </w:r>
      <w:r w:rsidR="0005569E" w:rsidRPr="00490B1D">
        <w:rPr>
          <w:rFonts w:asciiTheme="majorBidi" w:hAnsiTheme="majorBidi" w:cstheme="majorBidi"/>
          <w:color w:val="000000" w:themeColor="text1"/>
        </w:rPr>
        <w:t>au trimestre</w:t>
      </w:r>
      <w:r w:rsidR="00CD5F53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E061AE" w:rsidRPr="00490B1D">
        <w:rPr>
          <w:rFonts w:asciiTheme="majorBidi" w:hAnsiTheme="majorBidi" w:cstheme="majorBidi"/>
          <w:color w:val="000000" w:themeColor="text1"/>
        </w:rPr>
        <w:t>précédent</w:t>
      </w:r>
      <w:r w:rsidR="00CD5F53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05569E" w:rsidRPr="00490B1D">
        <w:rPr>
          <w:rFonts w:asciiTheme="majorBidi" w:hAnsiTheme="majorBidi" w:cstheme="majorBidi"/>
          <w:color w:val="000000" w:themeColor="text1"/>
        </w:rPr>
        <w:t>et moins</w:t>
      </w:r>
      <w:r w:rsidR="00CD5F53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4F6318" w:rsidRPr="00490B1D">
        <w:rPr>
          <w:rFonts w:asciiTheme="majorBidi" w:hAnsiTheme="majorBidi" w:cstheme="majorBidi"/>
          <w:color w:val="000000" w:themeColor="text1"/>
        </w:rPr>
        <w:t xml:space="preserve">73 </w:t>
      </w:r>
      <w:r w:rsidR="00CD5F53" w:rsidRPr="00490B1D">
        <w:rPr>
          <w:rFonts w:asciiTheme="majorBidi" w:hAnsiTheme="majorBidi" w:cstheme="majorBidi"/>
          <w:color w:val="000000" w:themeColor="text1"/>
        </w:rPr>
        <w:t>points au même trimestre de l’année passée</w:t>
      </w:r>
      <w:r w:rsidRPr="00490B1D">
        <w:rPr>
          <w:rFonts w:asciiTheme="majorBidi" w:hAnsiTheme="majorBidi" w:cstheme="majorBidi"/>
          <w:color w:val="000000" w:themeColor="text1"/>
        </w:rPr>
        <w:t>.</w:t>
      </w:r>
      <w:r w:rsidR="00E22F4A" w:rsidRPr="00490B1D">
        <w:rPr>
          <w:rFonts w:asciiTheme="majorBidi" w:hAnsiTheme="majorBidi" w:cstheme="majorBidi"/>
          <w:color w:val="000000" w:themeColor="text1"/>
        </w:rPr>
        <w:t xml:space="preserve"> </w:t>
      </w:r>
    </w:p>
    <w:p w:rsidR="00203316" w:rsidRPr="00490B1D" w:rsidRDefault="00203316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164979" w:rsidRPr="00490B1D" w:rsidRDefault="00EB605E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>S’agissant de l’évolution du niveau de vie a</w:t>
      </w:r>
      <w:r w:rsidR="00580123" w:rsidRPr="00490B1D">
        <w:rPr>
          <w:rFonts w:asciiTheme="majorBidi" w:hAnsiTheme="majorBidi" w:cstheme="majorBidi"/>
          <w:color w:val="000000" w:themeColor="text1"/>
        </w:rPr>
        <w:t xml:space="preserve">u cours des 12 prochains mois, </w:t>
      </w:r>
      <w:r w:rsidR="00CC4120" w:rsidRPr="00490B1D">
        <w:rPr>
          <w:rFonts w:asciiTheme="majorBidi" w:hAnsiTheme="majorBidi" w:cstheme="majorBidi"/>
          <w:color w:val="000000" w:themeColor="text1"/>
        </w:rPr>
        <w:t>53,4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580123" w:rsidRPr="00490B1D">
        <w:rPr>
          <w:rFonts w:asciiTheme="majorBidi" w:hAnsiTheme="majorBidi" w:cstheme="majorBidi"/>
          <w:color w:val="000000" w:themeColor="text1"/>
        </w:rPr>
        <w:t xml:space="preserve">des ménages s’attendent à une dégradation, </w:t>
      </w:r>
      <w:r w:rsidR="00CC4120" w:rsidRPr="00490B1D">
        <w:rPr>
          <w:rFonts w:asciiTheme="majorBidi" w:hAnsiTheme="majorBidi" w:cstheme="majorBidi"/>
          <w:color w:val="000000" w:themeColor="text1"/>
        </w:rPr>
        <w:t>36,9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0F2E6E" w:rsidRPr="00490B1D">
        <w:rPr>
          <w:rFonts w:asciiTheme="majorBidi" w:hAnsiTheme="majorBidi" w:cstheme="majorBidi"/>
          <w:color w:val="000000" w:themeColor="text1"/>
        </w:rPr>
        <w:t>à un maintien au même nive</w:t>
      </w:r>
      <w:r w:rsidR="00580123" w:rsidRPr="00490B1D">
        <w:rPr>
          <w:rFonts w:asciiTheme="majorBidi" w:hAnsiTheme="majorBidi" w:cstheme="majorBidi"/>
          <w:color w:val="000000" w:themeColor="text1"/>
        </w:rPr>
        <w:t xml:space="preserve">au et </w:t>
      </w:r>
      <w:r w:rsidR="00CC4120" w:rsidRPr="00490B1D">
        <w:rPr>
          <w:rFonts w:asciiTheme="majorBidi" w:hAnsiTheme="majorBidi" w:cstheme="majorBidi"/>
          <w:color w:val="000000" w:themeColor="text1"/>
        </w:rPr>
        <w:t xml:space="preserve">9,7 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580123" w:rsidRPr="00490B1D">
        <w:rPr>
          <w:rFonts w:asciiTheme="majorBidi" w:hAnsiTheme="majorBidi" w:cstheme="majorBidi"/>
          <w:color w:val="000000" w:themeColor="text1"/>
        </w:rPr>
        <w:t>à une amélioration. Le solde d’opinion relatif à cet indicateur</w:t>
      </w:r>
      <w:r w:rsidR="008E39FA" w:rsidRPr="00490B1D">
        <w:rPr>
          <w:rFonts w:asciiTheme="majorBidi" w:hAnsiTheme="majorBidi" w:cstheme="majorBidi"/>
          <w:color w:val="000000" w:themeColor="text1"/>
        </w:rPr>
        <w:t xml:space="preserve"> s’établit à moins </w:t>
      </w:r>
      <w:r w:rsidR="004F6318" w:rsidRPr="00490B1D">
        <w:rPr>
          <w:rFonts w:asciiTheme="majorBidi" w:hAnsiTheme="majorBidi" w:cstheme="majorBidi"/>
          <w:color w:val="000000" w:themeColor="text1"/>
        </w:rPr>
        <w:t xml:space="preserve">43,7 </w:t>
      </w:r>
      <w:r w:rsidR="00EE43E3" w:rsidRPr="00490B1D">
        <w:rPr>
          <w:rFonts w:asciiTheme="majorBidi" w:hAnsiTheme="majorBidi" w:cstheme="majorBidi"/>
          <w:color w:val="000000" w:themeColor="text1"/>
        </w:rPr>
        <w:t>points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EE43E3" w:rsidRPr="00490B1D">
        <w:rPr>
          <w:rFonts w:asciiTheme="majorBidi" w:hAnsiTheme="majorBidi" w:cstheme="majorBidi"/>
          <w:color w:val="000000" w:themeColor="text1"/>
        </w:rPr>
        <w:t>enregistrant ainsi</w:t>
      </w:r>
      <w:r w:rsidR="00BC4900" w:rsidRPr="00490B1D">
        <w:rPr>
          <w:rFonts w:asciiTheme="majorBidi" w:hAnsiTheme="majorBidi" w:cstheme="majorBidi"/>
          <w:color w:val="000000" w:themeColor="text1"/>
        </w:rPr>
        <w:t>,</w:t>
      </w:r>
      <w:r w:rsidR="00313C10" w:rsidRPr="00490B1D">
        <w:rPr>
          <w:rFonts w:asciiTheme="majorBidi" w:hAnsiTheme="majorBidi" w:cstheme="majorBidi"/>
          <w:color w:val="000000" w:themeColor="text1"/>
        </w:rPr>
        <w:t xml:space="preserve"> une </w:t>
      </w:r>
      <w:r w:rsidR="00C43D6B" w:rsidRPr="00490B1D">
        <w:rPr>
          <w:rFonts w:asciiTheme="majorBidi" w:hAnsiTheme="majorBidi" w:cstheme="majorBidi"/>
          <w:color w:val="000000" w:themeColor="text1"/>
        </w:rPr>
        <w:t>dégradation</w:t>
      </w:r>
      <w:r w:rsidR="00313C1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8F12AA" w:rsidRPr="00490B1D">
        <w:rPr>
          <w:rFonts w:asciiTheme="majorBidi" w:hAnsiTheme="majorBidi" w:cstheme="majorBidi"/>
          <w:color w:val="000000" w:themeColor="text1"/>
        </w:rPr>
        <w:t xml:space="preserve">aussi bien </w:t>
      </w:r>
      <w:r w:rsidR="00164979" w:rsidRPr="00490B1D">
        <w:rPr>
          <w:rFonts w:asciiTheme="majorBidi" w:hAnsiTheme="majorBidi" w:cstheme="majorBidi"/>
          <w:color w:val="000000" w:themeColor="text1"/>
        </w:rPr>
        <w:t xml:space="preserve">par rapport au trimestre </w:t>
      </w:r>
      <w:r w:rsidR="000F2E6E" w:rsidRPr="00490B1D">
        <w:rPr>
          <w:rFonts w:asciiTheme="majorBidi" w:hAnsiTheme="majorBidi" w:cstheme="majorBidi"/>
          <w:color w:val="000000" w:themeColor="text1"/>
        </w:rPr>
        <w:t>précédent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8F12AA" w:rsidRPr="00490B1D">
        <w:rPr>
          <w:rFonts w:asciiTheme="majorBidi" w:hAnsiTheme="majorBidi" w:cstheme="majorBidi"/>
          <w:color w:val="000000" w:themeColor="text1"/>
        </w:rPr>
        <w:t>que</w:t>
      </w:r>
      <w:r w:rsidR="00C43D6B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164979" w:rsidRPr="00490B1D">
        <w:rPr>
          <w:rFonts w:asciiTheme="majorBidi" w:hAnsiTheme="majorBidi" w:cstheme="majorBidi"/>
          <w:color w:val="000000" w:themeColor="text1"/>
        </w:rPr>
        <w:t xml:space="preserve">par rapport </w:t>
      </w:r>
      <w:r w:rsidR="0082003B" w:rsidRPr="00490B1D">
        <w:rPr>
          <w:rFonts w:asciiTheme="majorBidi" w:hAnsiTheme="majorBidi" w:cstheme="majorBidi"/>
          <w:color w:val="000000" w:themeColor="text1"/>
        </w:rPr>
        <w:t>au même trimestre de l’année précédente</w:t>
      </w:r>
      <w:r w:rsidR="00164979" w:rsidRPr="00490B1D">
        <w:rPr>
          <w:rFonts w:asciiTheme="majorBidi" w:hAnsiTheme="majorBidi" w:cstheme="majorBidi"/>
          <w:color w:val="000000" w:themeColor="text1"/>
        </w:rPr>
        <w:t xml:space="preserve"> où il </w:t>
      </w:r>
      <w:r w:rsidR="00427977" w:rsidRPr="00490B1D">
        <w:rPr>
          <w:rFonts w:asciiTheme="majorBidi" w:hAnsiTheme="majorBidi" w:cstheme="majorBidi"/>
          <w:color w:val="000000" w:themeColor="text1"/>
        </w:rPr>
        <w:t>était à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8E39FA" w:rsidRPr="00490B1D">
        <w:rPr>
          <w:rFonts w:asciiTheme="majorBidi" w:hAnsiTheme="majorBidi" w:cstheme="majorBidi"/>
          <w:color w:val="000000" w:themeColor="text1"/>
        </w:rPr>
        <w:t xml:space="preserve">moins </w:t>
      </w:r>
      <w:r w:rsidR="004F6318" w:rsidRPr="00490B1D">
        <w:rPr>
          <w:rFonts w:asciiTheme="majorBidi" w:hAnsiTheme="majorBidi" w:cstheme="majorBidi"/>
          <w:color w:val="000000" w:themeColor="text1"/>
        </w:rPr>
        <w:t xml:space="preserve">38,8 </w:t>
      </w:r>
      <w:r w:rsidR="00580123" w:rsidRPr="00490B1D">
        <w:rPr>
          <w:rFonts w:asciiTheme="majorBidi" w:hAnsiTheme="majorBidi" w:cstheme="majorBidi"/>
          <w:color w:val="000000" w:themeColor="text1"/>
        </w:rPr>
        <w:t xml:space="preserve">points et </w:t>
      </w:r>
      <w:r w:rsidR="00427977" w:rsidRPr="00490B1D">
        <w:rPr>
          <w:rFonts w:asciiTheme="majorBidi" w:hAnsiTheme="majorBidi" w:cstheme="majorBidi"/>
          <w:color w:val="000000" w:themeColor="text1"/>
        </w:rPr>
        <w:t>à</w:t>
      </w:r>
      <w:r w:rsidR="008E39FA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4F6318" w:rsidRPr="00490B1D">
        <w:rPr>
          <w:rFonts w:asciiTheme="majorBidi" w:hAnsiTheme="majorBidi" w:cstheme="majorBidi"/>
          <w:color w:val="000000" w:themeColor="text1"/>
        </w:rPr>
        <w:t>moins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4F6318" w:rsidRPr="00490B1D">
        <w:rPr>
          <w:rFonts w:asciiTheme="majorBidi" w:hAnsiTheme="majorBidi" w:cstheme="majorBidi"/>
          <w:color w:val="000000" w:themeColor="text1"/>
        </w:rPr>
        <w:t xml:space="preserve">34,3 </w:t>
      </w:r>
      <w:r w:rsidR="00580123" w:rsidRPr="00490B1D">
        <w:rPr>
          <w:rFonts w:asciiTheme="majorBidi" w:hAnsiTheme="majorBidi" w:cstheme="majorBidi"/>
          <w:color w:val="000000" w:themeColor="text1"/>
        </w:rPr>
        <w:t xml:space="preserve">points </w:t>
      </w:r>
      <w:r w:rsidR="00164979" w:rsidRPr="00490B1D">
        <w:rPr>
          <w:rFonts w:asciiTheme="majorBidi" w:hAnsiTheme="majorBidi" w:cstheme="majorBidi"/>
          <w:color w:val="000000" w:themeColor="text1"/>
        </w:rPr>
        <w:t xml:space="preserve">respectivement. </w:t>
      </w:r>
    </w:p>
    <w:p w:rsidR="00A669E3" w:rsidRPr="00490B1D" w:rsidRDefault="002830E2" w:rsidP="00570C0E">
      <w:pPr>
        <w:spacing w:before="24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Graphique 2 : Perception par les ménages de l'évolution passée et future du niveau de vie (soldes d'opinions)</w:t>
      </w:r>
    </w:p>
    <w:p w:rsidR="00A669E3" w:rsidRPr="00490B1D" w:rsidRDefault="00A669E3" w:rsidP="00570C0E">
      <w:pPr>
        <w:spacing w:before="24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543344" cy="3595591"/>
            <wp:effectExtent l="19050" t="0" r="9856" b="4859"/>
            <wp:docPr id="8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30E2" w:rsidRPr="00490B1D" w:rsidRDefault="002830E2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F87F4A" w:rsidRPr="00490B1D" w:rsidRDefault="00F87F4A" w:rsidP="00570C0E">
      <w:pPr>
        <w:pStyle w:val="Paragraphedeliste"/>
        <w:numPr>
          <w:ilvl w:val="0"/>
          <w:numId w:val="8"/>
        </w:numPr>
        <w:spacing w:before="240" w:line="360" w:lineRule="auto"/>
        <w:ind w:left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Evolution du chômage : perceptions </w:t>
      </w:r>
      <w:r w:rsidR="00F808DA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négative</w:t>
      </w: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  </w:t>
      </w:r>
    </w:p>
    <w:p w:rsidR="00172005" w:rsidRPr="00490B1D" w:rsidRDefault="00580123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 xml:space="preserve">Au </w:t>
      </w:r>
      <w:r w:rsidR="00F04852" w:rsidRPr="00490B1D">
        <w:rPr>
          <w:rFonts w:asciiTheme="majorBidi" w:hAnsiTheme="majorBidi" w:cstheme="majorBidi"/>
          <w:color w:val="000000" w:themeColor="text1"/>
        </w:rPr>
        <w:t>deuxième</w:t>
      </w:r>
      <w:r w:rsidR="00D55501" w:rsidRPr="00490B1D">
        <w:rPr>
          <w:rFonts w:asciiTheme="majorBidi" w:hAnsiTheme="majorBidi" w:cstheme="majorBidi"/>
          <w:color w:val="000000" w:themeColor="text1"/>
        </w:rPr>
        <w:t xml:space="preserve"> trimestre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707360" w:rsidRPr="00490B1D">
        <w:rPr>
          <w:rFonts w:asciiTheme="majorBidi" w:hAnsiTheme="majorBidi" w:cstheme="majorBidi"/>
          <w:color w:val="000000" w:themeColor="text1"/>
        </w:rPr>
        <w:t>de</w:t>
      </w:r>
      <w:r w:rsidR="00DA178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4C1BAB" w:rsidRPr="00490B1D">
        <w:rPr>
          <w:rFonts w:asciiTheme="majorBidi" w:hAnsiTheme="majorBidi" w:cstheme="majorBidi"/>
          <w:color w:val="000000" w:themeColor="text1"/>
        </w:rPr>
        <w:t>2023</w:t>
      </w:r>
      <w:r w:rsidRPr="00490B1D">
        <w:rPr>
          <w:rFonts w:asciiTheme="majorBidi" w:hAnsiTheme="majorBidi" w:cstheme="majorBidi"/>
          <w:color w:val="000000" w:themeColor="text1"/>
        </w:rPr>
        <w:t>,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CC4120" w:rsidRPr="00490B1D">
        <w:rPr>
          <w:rFonts w:asciiTheme="majorBidi" w:hAnsiTheme="majorBidi" w:cstheme="majorBidi"/>
          <w:color w:val="000000" w:themeColor="text1"/>
        </w:rPr>
        <w:t>85,3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44099F" w:rsidRPr="00490B1D">
        <w:rPr>
          <w:rFonts w:asciiTheme="majorBidi" w:hAnsiTheme="majorBidi" w:cstheme="majorBidi"/>
          <w:color w:val="000000" w:themeColor="text1"/>
        </w:rPr>
        <w:t xml:space="preserve">contre </w:t>
      </w:r>
      <w:r w:rsidR="00CC4120" w:rsidRPr="00490B1D">
        <w:rPr>
          <w:rFonts w:asciiTheme="majorBidi" w:hAnsiTheme="majorBidi" w:cstheme="majorBidi"/>
          <w:color w:val="000000" w:themeColor="text1"/>
        </w:rPr>
        <w:t>4,9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44099F" w:rsidRPr="00490B1D">
        <w:rPr>
          <w:rFonts w:asciiTheme="majorBidi" w:hAnsiTheme="majorBidi" w:cstheme="majorBidi"/>
          <w:color w:val="000000" w:themeColor="text1"/>
        </w:rPr>
        <w:t>des ménages s’attendent à une hausse du chômage au cours des 12 prochains mois</w:t>
      </w:r>
      <w:r w:rsidR="00AE721E" w:rsidRPr="00490B1D">
        <w:rPr>
          <w:rFonts w:asciiTheme="majorBidi" w:hAnsiTheme="majorBidi" w:cstheme="majorBidi"/>
          <w:color w:val="000000" w:themeColor="text1"/>
        </w:rPr>
        <w:t xml:space="preserve">. </w:t>
      </w:r>
      <w:r w:rsidRPr="00490B1D">
        <w:rPr>
          <w:rFonts w:asciiTheme="majorBidi" w:hAnsiTheme="majorBidi" w:cstheme="majorBidi"/>
          <w:color w:val="000000" w:themeColor="text1"/>
        </w:rPr>
        <w:t xml:space="preserve">Le solde d’opinion est resté ainsi négatif à moins </w:t>
      </w:r>
      <w:r w:rsidR="00954956" w:rsidRPr="00490B1D">
        <w:rPr>
          <w:rFonts w:asciiTheme="majorBidi" w:hAnsiTheme="majorBidi" w:cstheme="majorBidi"/>
          <w:color w:val="000000" w:themeColor="text1"/>
        </w:rPr>
        <w:t>80,4</w:t>
      </w:r>
      <w:r w:rsidR="00954956" w:rsidRPr="00490B1D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  <w:r w:rsidRPr="00490B1D">
        <w:rPr>
          <w:rFonts w:asciiTheme="majorBidi" w:hAnsiTheme="majorBidi" w:cstheme="majorBidi"/>
          <w:color w:val="000000" w:themeColor="text1"/>
        </w:rPr>
        <w:t>points</w:t>
      </w:r>
      <w:r w:rsidR="00C142AB" w:rsidRPr="00490B1D">
        <w:rPr>
          <w:rFonts w:asciiTheme="majorBidi" w:hAnsiTheme="majorBidi" w:cstheme="majorBidi"/>
          <w:color w:val="000000" w:themeColor="text1"/>
        </w:rPr>
        <w:t xml:space="preserve"> contre</w:t>
      </w:r>
      <w:r w:rsidRPr="00490B1D">
        <w:rPr>
          <w:rFonts w:asciiTheme="majorBidi" w:hAnsiTheme="majorBidi" w:cstheme="majorBidi"/>
          <w:color w:val="000000" w:themeColor="text1"/>
        </w:rPr>
        <w:t xml:space="preserve"> moins </w:t>
      </w:r>
      <w:r w:rsidR="00954956" w:rsidRPr="00490B1D">
        <w:rPr>
          <w:rFonts w:asciiTheme="majorBidi" w:hAnsiTheme="majorBidi" w:cstheme="majorBidi"/>
          <w:color w:val="000000" w:themeColor="text1"/>
        </w:rPr>
        <w:t>81,4</w:t>
      </w:r>
      <w:r w:rsidR="00954956" w:rsidRPr="00490B1D">
        <w:rPr>
          <w:rFonts w:asciiTheme="majorBidi" w:hAnsiTheme="majorBidi" w:cstheme="majorBidi"/>
          <w:color w:val="000000"/>
          <w:sz w:val="18"/>
          <w:szCs w:val="18"/>
        </w:rPr>
        <w:t xml:space="preserve"> </w:t>
      </w:r>
      <w:r w:rsidRPr="00490B1D">
        <w:rPr>
          <w:rFonts w:asciiTheme="majorBidi" w:hAnsiTheme="majorBidi" w:cstheme="majorBidi"/>
          <w:color w:val="000000" w:themeColor="text1"/>
        </w:rPr>
        <w:t xml:space="preserve">points </w:t>
      </w:r>
      <w:r w:rsidR="00C142AB" w:rsidRPr="00490B1D">
        <w:rPr>
          <w:rFonts w:asciiTheme="majorBidi" w:hAnsiTheme="majorBidi" w:cstheme="majorBidi"/>
          <w:color w:val="000000" w:themeColor="text1"/>
        </w:rPr>
        <w:t xml:space="preserve">un trimestre auparavant et moins </w:t>
      </w:r>
      <w:r w:rsidR="00954956" w:rsidRPr="00490B1D">
        <w:rPr>
          <w:rFonts w:asciiTheme="majorBidi" w:hAnsiTheme="majorBidi" w:cstheme="majorBidi"/>
          <w:color w:val="000000" w:themeColor="text1"/>
        </w:rPr>
        <w:t xml:space="preserve">81,1 </w:t>
      </w:r>
      <w:r w:rsidRPr="00490B1D">
        <w:rPr>
          <w:rFonts w:asciiTheme="majorBidi" w:hAnsiTheme="majorBidi" w:cstheme="majorBidi"/>
          <w:color w:val="000000" w:themeColor="text1"/>
        </w:rPr>
        <w:t>points</w:t>
      </w:r>
      <w:r w:rsidR="00C142AB" w:rsidRPr="00490B1D">
        <w:rPr>
          <w:rFonts w:asciiTheme="majorBidi" w:hAnsiTheme="majorBidi" w:cstheme="majorBidi"/>
          <w:color w:val="000000" w:themeColor="text1"/>
        </w:rPr>
        <w:t xml:space="preserve"> un an auparavant</w:t>
      </w:r>
      <w:r w:rsidRPr="00490B1D">
        <w:rPr>
          <w:rFonts w:asciiTheme="majorBidi" w:hAnsiTheme="majorBidi" w:cstheme="majorBidi"/>
          <w:color w:val="000000" w:themeColor="text1"/>
        </w:rPr>
        <w:t>.</w:t>
      </w:r>
    </w:p>
    <w:p w:rsidR="00570C0E" w:rsidRPr="00490B1D" w:rsidRDefault="00570C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</w:p>
    <w:p w:rsidR="00FC470E" w:rsidRPr="00490B1D" w:rsidRDefault="002830E2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Graphique 3 : Perception par les ménages de l'évolution du nombre de chômeurs         (soldes d'opinions)</w:t>
      </w:r>
    </w:p>
    <w:p w:rsidR="00184134" w:rsidRPr="00490B1D" w:rsidRDefault="00FC47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437630" cy="3613150"/>
            <wp:effectExtent l="19050" t="0" r="20320" b="6350"/>
            <wp:docPr id="12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30E2" w:rsidRPr="00490B1D" w:rsidRDefault="002830E2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CE5F9D" w:rsidRPr="00490B1D" w:rsidRDefault="00A33336" w:rsidP="00570C0E">
      <w:pPr>
        <w:pStyle w:val="Paragraphedeliste"/>
        <w:numPr>
          <w:ilvl w:val="0"/>
          <w:numId w:val="8"/>
        </w:numPr>
        <w:tabs>
          <w:tab w:val="left" w:pos="709"/>
        </w:tabs>
        <w:spacing w:before="240" w:line="360" w:lineRule="auto"/>
        <w:ind w:left="-76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>Une c</w:t>
      </w:r>
      <w:r w:rsidR="003541C4"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onjoncture </w:t>
      </w:r>
      <w:r w:rsidR="00051A04" w:rsidRPr="00490B1D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perçue comme peu favorable à </w:t>
      </w:r>
      <w:r w:rsidR="00051A04"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>l</w:t>
      </w:r>
      <w:r w:rsidR="00051A04" w:rsidRPr="00490B1D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’achat des biens durables </w:t>
      </w:r>
    </w:p>
    <w:p w:rsidR="003D0AF3" w:rsidRPr="00490B1D" w:rsidRDefault="00580123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 xml:space="preserve">Au </w:t>
      </w:r>
      <w:r w:rsidR="00F04852" w:rsidRPr="00490B1D">
        <w:rPr>
          <w:rFonts w:asciiTheme="majorBidi" w:hAnsiTheme="majorBidi" w:cstheme="majorBidi"/>
          <w:color w:val="000000" w:themeColor="text1"/>
        </w:rPr>
        <w:t>deuxième</w:t>
      </w:r>
      <w:r w:rsidR="00D55501" w:rsidRPr="00490B1D">
        <w:rPr>
          <w:rFonts w:asciiTheme="majorBidi" w:hAnsiTheme="majorBidi" w:cstheme="majorBidi"/>
          <w:color w:val="000000" w:themeColor="text1"/>
        </w:rPr>
        <w:t xml:space="preserve"> trimestre</w:t>
      </w:r>
      <w:r w:rsidR="00AE721E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707360" w:rsidRPr="00490B1D">
        <w:rPr>
          <w:rFonts w:asciiTheme="majorBidi" w:hAnsiTheme="majorBidi" w:cstheme="majorBidi"/>
          <w:color w:val="000000" w:themeColor="text1"/>
        </w:rPr>
        <w:t>de</w:t>
      </w:r>
      <w:r w:rsidR="00DA178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4C1BAB" w:rsidRPr="00490B1D">
        <w:rPr>
          <w:rFonts w:asciiTheme="majorBidi" w:hAnsiTheme="majorBidi" w:cstheme="majorBidi"/>
          <w:color w:val="000000" w:themeColor="text1"/>
        </w:rPr>
        <w:t>2023</w:t>
      </w:r>
      <w:r w:rsidRPr="00490B1D">
        <w:rPr>
          <w:rFonts w:asciiTheme="majorBidi" w:hAnsiTheme="majorBidi" w:cstheme="majorBidi"/>
          <w:color w:val="000000" w:themeColor="text1"/>
        </w:rPr>
        <w:t xml:space="preserve">, </w:t>
      </w:r>
      <w:r w:rsidR="00CC4120" w:rsidRPr="00490B1D">
        <w:rPr>
          <w:rFonts w:asciiTheme="majorBidi" w:hAnsiTheme="majorBidi" w:cstheme="majorBidi"/>
          <w:color w:val="000000" w:themeColor="text1"/>
        </w:rPr>
        <w:t xml:space="preserve">78,8 </w:t>
      </w:r>
      <w:r w:rsidR="00E067D0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Pr="00490B1D">
        <w:rPr>
          <w:rFonts w:asciiTheme="majorBidi" w:hAnsiTheme="majorBidi" w:cstheme="majorBidi"/>
          <w:color w:val="000000" w:themeColor="text1"/>
        </w:rPr>
        <w:t xml:space="preserve">contre </w:t>
      </w:r>
      <w:r w:rsidR="00CC4120" w:rsidRPr="00490B1D">
        <w:rPr>
          <w:rFonts w:asciiTheme="majorBidi" w:hAnsiTheme="majorBidi" w:cstheme="majorBidi"/>
          <w:color w:val="000000" w:themeColor="text1"/>
        </w:rPr>
        <w:t>9,9</w:t>
      </w:r>
      <w:r w:rsidR="00E067D0" w:rsidRPr="00490B1D">
        <w:rPr>
          <w:rFonts w:asciiTheme="majorBidi" w:hAnsiTheme="majorBidi" w:cstheme="majorBidi"/>
          <w:color w:val="000000" w:themeColor="text1"/>
        </w:rPr>
        <w:t>%</w:t>
      </w:r>
      <w:r w:rsidRPr="00490B1D">
        <w:rPr>
          <w:rFonts w:asciiTheme="majorBidi" w:hAnsiTheme="majorBidi" w:cstheme="majorBidi"/>
          <w:color w:val="000000" w:themeColor="text1"/>
        </w:rPr>
        <w:t xml:space="preserve"> des ménages considèrent que le moment n’est pas opportun pour effectuer des achats de biens durables. </w:t>
      </w:r>
      <w:r w:rsidR="004C6EE9" w:rsidRPr="00490B1D">
        <w:rPr>
          <w:rFonts w:asciiTheme="majorBidi" w:hAnsiTheme="majorBidi" w:cstheme="majorBidi"/>
          <w:color w:val="000000" w:themeColor="text1"/>
        </w:rPr>
        <w:t>Le solde d’opinion de cet indicateur est resté ainsi négatif à moins 68,9 points contre moins 69,8 points un trimestre auparavant et moins 69,1 points un an auparavant.</w:t>
      </w:r>
    </w:p>
    <w:p w:rsidR="004C6EE9" w:rsidRPr="00490B1D" w:rsidRDefault="004C6EE9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1161F3" w:rsidRPr="00490B1D" w:rsidRDefault="002830E2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lastRenderedPageBreak/>
        <w:t>Graphique 4 : Perception par les ménages de l'opportunité d'achat des biens durables  (soldes d'opinions)</w:t>
      </w:r>
    </w:p>
    <w:p w:rsidR="00FC470E" w:rsidRPr="00490B1D" w:rsidRDefault="00FC47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283187" cy="3085106"/>
            <wp:effectExtent l="19050" t="0" r="22363" b="994"/>
            <wp:docPr id="13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30E2" w:rsidRPr="00490B1D" w:rsidRDefault="002830E2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2830E2" w:rsidRPr="00490B1D" w:rsidRDefault="002830E2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noProof/>
          <w:color w:val="000000" w:themeColor="text1"/>
        </w:rPr>
      </w:pPr>
    </w:p>
    <w:p w:rsidR="00935CD9" w:rsidRPr="00490B1D" w:rsidRDefault="00C11D92" w:rsidP="00570C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>Les ménages s'attendent à</w:t>
      </w:r>
      <w:r w:rsidR="00294426"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une dégradation de </w:t>
      </w:r>
      <w:r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leur situation financière </w:t>
      </w:r>
    </w:p>
    <w:p w:rsidR="00C11D92" w:rsidRPr="00490B1D" w:rsidRDefault="00C11D92" w:rsidP="00570C0E">
      <w:pPr>
        <w:pStyle w:val="Paragraphedeliste"/>
        <w:tabs>
          <w:tab w:val="left" w:pos="709"/>
        </w:tabs>
        <w:spacing w:before="240" w:line="360" w:lineRule="auto"/>
        <w:ind w:left="-76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CC4120" w:rsidRPr="00490B1D" w:rsidRDefault="00516548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</w:t>
      </w:r>
      <w:r w:rsidR="00F0485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deuxième</w:t>
      </w:r>
      <w:r w:rsidR="00D55501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trimestre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0736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</w:t>
      </w:r>
      <w:r w:rsidR="00DA178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C1BAB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2023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, </w:t>
      </w:r>
      <w:r w:rsidR="00CC412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53,</w:t>
      </w:r>
      <w:r w:rsidR="00101DD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</w:t>
      </w:r>
      <w:r w:rsidR="00DC0DC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des ménages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estiment que leurs revenus couvrent leurs dépenses, </w:t>
      </w:r>
      <w:r w:rsidR="00CC412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44,0 </w:t>
      </w:r>
      <w:r w:rsidR="00DC0DC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déclarent s’endetter ou puiser dans leur épargne et </w:t>
      </w:r>
      <w:r w:rsidR="00CC412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2,</w:t>
      </w:r>
      <w:r w:rsidR="00101DD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6</w:t>
      </w:r>
      <w:r w:rsidR="00DC0DC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affirment épargner une partie de leur revenu.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Le solde d’opinion </w:t>
      </w:r>
      <w:r w:rsidR="007A29D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relatif à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la situation financière actuelle des ménages est resté ainsi négatif, à moins </w:t>
      </w:r>
      <w:r w:rsidR="00B656D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41,4</w:t>
      </w:r>
      <w:r w:rsidR="00005AAD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03B6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D90C0D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contre </w:t>
      </w:r>
      <w:r w:rsidR="00A5425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moins </w:t>
      </w:r>
      <w:r w:rsidR="00D5012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42 </w:t>
      </w:r>
      <w:r w:rsidR="005B09C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A5425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le trimestre </w:t>
      </w:r>
      <w:r w:rsidR="0005351F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précédent</w:t>
      </w:r>
      <w:r w:rsidR="00A5425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et moins </w:t>
      </w:r>
      <w:r w:rsidR="00B656D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42,</w:t>
      </w:r>
      <w:r w:rsidR="00AA6F71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9</w:t>
      </w:r>
      <w:r w:rsidR="00B656D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B09C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E1663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B1090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le même trimestre de l’année précédente</w:t>
      </w:r>
      <w:r w:rsidR="00A5425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.</w:t>
      </w:r>
    </w:p>
    <w:p w:rsidR="00527651" w:rsidRPr="00490B1D" w:rsidRDefault="00035053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>Quant à</w:t>
      </w:r>
      <w:r w:rsidR="002B7C12" w:rsidRPr="00490B1D">
        <w:rPr>
          <w:rFonts w:asciiTheme="majorBidi" w:hAnsiTheme="majorBidi" w:cstheme="majorBidi"/>
          <w:color w:val="000000" w:themeColor="text1"/>
        </w:rPr>
        <w:t xml:space="preserve"> l’évolution de</w:t>
      </w:r>
      <w:r w:rsidR="00F45C72" w:rsidRPr="00490B1D">
        <w:rPr>
          <w:rFonts w:asciiTheme="majorBidi" w:hAnsiTheme="majorBidi" w:cstheme="majorBidi"/>
          <w:color w:val="000000" w:themeColor="text1"/>
        </w:rPr>
        <w:t xml:space="preserve"> leur </w:t>
      </w:r>
      <w:r w:rsidR="0016780D" w:rsidRPr="00490B1D">
        <w:rPr>
          <w:rFonts w:asciiTheme="majorBidi" w:hAnsiTheme="majorBidi" w:cstheme="majorBidi"/>
          <w:color w:val="000000" w:themeColor="text1"/>
        </w:rPr>
        <w:t>situation financière</w:t>
      </w:r>
      <w:r w:rsidR="00F45C72" w:rsidRPr="00490B1D">
        <w:rPr>
          <w:rFonts w:asciiTheme="majorBidi" w:hAnsiTheme="majorBidi" w:cstheme="majorBidi"/>
          <w:color w:val="000000" w:themeColor="text1"/>
        </w:rPr>
        <w:t xml:space="preserve"> au cours des 12 derniers mois</w:t>
      </w:r>
      <w:r w:rsidR="0016780D" w:rsidRPr="00490B1D">
        <w:rPr>
          <w:rFonts w:asciiTheme="majorBidi" w:hAnsiTheme="majorBidi" w:cstheme="majorBidi"/>
          <w:color w:val="000000" w:themeColor="text1"/>
        </w:rPr>
        <w:t xml:space="preserve">, </w:t>
      </w:r>
      <w:r w:rsidR="00CC4120" w:rsidRPr="00490B1D">
        <w:rPr>
          <w:rFonts w:asciiTheme="majorBidi" w:hAnsiTheme="majorBidi" w:cstheme="majorBidi"/>
          <w:color w:val="000000" w:themeColor="text1"/>
        </w:rPr>
        <w:t>60,6</w:t>
      </w:r>
      <w:r w:rsidR="00D61D3A" w:rsidRPr="00490B1D">
        <w:rPr>
          <w:rFonts w:asciiTheme="majorBidi" w:hAnsiTheme="majorBidi" w:cstheme="majorBidi"/>
          <w:color w:val="000000" w:themeColor="text1"/>
        </w:rPr>
        <w:t>%</w:t>
      </w:r>
      <w:r w:rsidR="005D3956" w:rsidRPr="00490B1D">
        <w:rPr>
          <w:rFonts w:asciiTheme="majorBidi" w:hAnsiTheme="majorBidi" w:cstheme="majorBidi"/>
          <w:color w:val="000000" w:themeColor="text1"/>
        </w:rPr>
        <w:t xml:space="preserve"> contre </w:t>
      </w:r>
      <w:r w:rsidR="00CC4120" w:rsidRPr="00490B1D">
        <w:rPr>
          <w:rFonts w:asciiTheme="majorBidi" w:hAnsiTheme="majorBidi" w:cstheme="majorBidi"/>
          <w:color w:val="000000" w:themeColor="text1"/>
        </w:rPr>
        <w:t>3,3</w:t>
      </w:r>
      <w:r w:rsidR="00D61D3A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16780D" w:rsidRPr="00490B1D">
        <w:rPr>
          <w:rFonts w:asciiTheme="majorBidi" w:hAnsiTheme="majorBidi" w:cstheme="majorBidi"/>
          <w:color w:val="000000" w:themeColor="text1"/>
        </w:rPr>
        <w:t xml:space="preserve">des ménages considèrent qu’elle </w:t>
      </w:r>
      <w:r w:rsidR="00540BE7" w:rsidRPr="00490B1D">
        <w:rPr>
          <w:rFonts w:asciiTheme="majorBidi" w:hAnsiTheme="majorBidi" w:cstheme="majorBidi"/>
          <w:color w:val="000000" w:themeColor="text1"/>
        </w:rPr>
        <w:t>s’est dégradée</w:t>
      </w:r>
      <w:r w:rsidR="00BE624F" w:rsidRPr="00490B1D">
        <w:rPr>
          <w:rFonts w:asciiTheme="majorBidi" w:hAnsiTheme="majorBidi" w:cstheme="majorBidi"/>
          <w:color w:val="000000" w:themeColor="text1"/>
        </w:rPr>
        <w:t xml:space="preserve">. </w:t>
      </w:r>
      <w:r w:rsidR="00F7332B" w:rsidRPr="00490B1D">
        <w:rPr>
          <w:rFonts w:asciiTheme="majorBidi" w:hAnsiTheme="majorBidi" w:cstheme="majorBidi"/>
          <w:color w:val="000000" w:themeColor="text1"/>
        </w:rPr>
        <w:t xml:space="preserve">Le solde d’opinion de cet indicateur </w:t>
      </w:r>
      <w:r w:rsidR="00AA6F71" w:rsidRPr="00490B1D">
        <w:rPr>
          <w:rFonts w:asciiTheme="majorBidi" w:hAnsiTheme="majorBidi" w:cstheme="majorBidi"/>
          <w:color w:val="000000" w:themeColor="text1"/>
        </w:rPr>
        <w:t>est resté ainsi négatif, à</w:t>
      </w:r>
      <w:r w:rsidR="00F7332B" w:rsidRPr="00490B1D">
        <w:rPr>
          <w:rFonts w:asciiTheme="majorBidi" w:hAnsiTheme="majorBidi" w:cstheme="majorBidi"/>
          <w:color w:val="000000" w:themeColor="text1"/>
        </w:rPr>
        <w:t xml:space="preserve"> moins </w:t>
      </w:r>
      <w:r w:rsidR="0005569E" w:rsidRPr="00490B1D">
        <w:rPr>
          <w:rFonts w:asciiTheme="majorBidi" w:hAnsiTheme="majorBidi" w:cstheme="majorBidi"/>
          <w:color w:val="000000" w:themeColor="text1"/>
        </w:rPr>
        <w:t>57,3 points</w:t>
      </w:r>
      <w:r w:rsidR="00AA6F71" w:rsidRPr="00490B1D">
        <w:rPr>
          <w:rFonts w:asciiTheme="majorBidi" w:hAnsiTheme="majorBidi" w:cstheme="majorBidi"/>
          <w:color w:val="000000" w:themeColor="text1"/>
        </w:rPr>
        <w:t xml:space="preserve"> contre </w:t>
      </w:r>
      <w:r w:rsidR="00F7332B" w:rsidRPr="00490B1D">
        <w:rPr>
          <w:rFonts w:asciiTheme="majorBidi" w:hAnsiTheme="majorBidi" w:cstheme="majorBidi"/>
          <w:color w:val="000000" w:themeColor="text1"/>
        </w:rPr>
        <w:t>moins 57,2 points le trimestre précédent et moins 48,7 points une année auparavant</w:t>
      </w:r>
      <w:r w:rsidR="00203316" w:rsidRPr="00490B1D">
        <w:rPr>
          <w:rFonts w:asciiTheme="majorBidi" w:hAnsiTheme="majorBidi" w:cstheme="majorBidi"/>
          <w:color w:val="000000" w:themeColor="text1"/>
        </w:rPr>
        <w:t>.</w:t>
      </w:r>
    </w:p>
    <w:p w:rsidR="00CC4120" w:rsidRPr="00490B1D" w:rsidRDefault="00CC4120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CC4120" w:rsidRDefault="00491FB6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 xml:space="preserve">S’agissant </w:t>
      </w:r>
      <w:r w:rsidR="00B56764" w:rsidRPr="00490B1D">
        <w:rPr>
          <w:rFonts w:asciiTheme="majorBidi" w:hAnsiTheme="majorBidi" w:cstheme="majorBidi"/>
          <w:color w:val="000000" w:themeColor="text1"/>
        </w:rPr>
        <w:t xml:space="preserve">de l’évolution </w:t>
      </w:r>
      <w:r w:rsidR="00D41CA0" w:rsidRPr="00490B1D">
        <w:rPr>
          <w:rFonts w:asciiTheme="majorBidi" w:hAnsiTheme="majorBidi" w:cstheme="majorBidi"/>
          <w:color w:val="000000" w:themeColor="text1"/>
        </w:rPr>
        <w:t>de leur situation financière</w:t>
      </w:r>
      <w:r w:rsidR="0096087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B56764" w:rsidRPr="00490B1D">
        <w:rPr>
          <w:rFonts w:asciiTheme="majorBidi" w:hAnsiTheme="majorBidi" w:cstheme="majorBidi"/>
          <w:color w:val="000000" w:themeColor="text1"/>
        </w:rPr>
        <w:t>au cours des 12 prochains mois,</w:t>
      </w:r>
      <w:r w:rsidR="00960870"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CC4120" w:rsidRPr="00490B1D">
        <w:rPr>
          <w:rFonts w:asciiTheme="majorBidi" w:hAnsiTheme="majorBidi" w:cstheme="majorBidi"/>
          <w:color w:val="000000" w:themeColor="text1"/>
        </w:rPr>
        <w:t xml:space="preserve">18,5 </w:t>
      </w:r>
      <w:r w:rsidR="00D61D3A" w:rsidRPr="00490B1D">
        <w:rPr>
          <w:rFonts w:asciiTheme="majorBidi" w:hAnsiTheme="majorBidi" w:cstheme="majorBidi"/>
          <w:color w:val="000000" w:themeColor="text1"/>
        </w:rPr>
        <w:t xml:space="preserve">% </w:t>
      </w:r>
      <w:r w:rsidR="00A5145B" w:rsidRPr="00490B1D">
        <w:rPr>
          <w:rFonts w:asciiTheme="majorBidi" w:hAnsiTheme="majorBidi" w:cstheme="majorBidi"/>
          <w:color w:val="000000" w:themeColor="text1"/>
        </w:rPr>
        <w:t xml:space="preserve">des ménages s’attendent à une amélioration de leur situation financière, </w:t>
      </w:r>
      <w:r w:rsidR="00CC4120" w:rsidRPr="00490B1D">
        <w:rPr>
          <w:rFonts w:asciiTheme="majorBidi" w:hAnsiTheme="majorBidi" w:cstheme="majorBidi"/>
          <w:color w:val="000000" w:themeColor="text1"/>
        </w:rPr>
        <w:t xml:space="preserve">56,9 </w:t>
      </w:r>
      <w:r w:rsidR="00A5145B" w:rsidRPr="00490B1D">
        <w:rPr>
          <w:rFonts w:asciiTheme="majorBidi" w:hAnsiTheme="majorBidi" w:cstheme="majorBidi"/>
          <w:color w:val="000000" w:themeColor="text1"/>
        </w:rPr>
        <w:t xml:space="preserve">% à un maintien au même niveau et </w:t>
      </w:r>
      <w:r w:rsidR="00DB1DEA" w:rsidRPr="00490B1D">
        <w:rPr>
          <w:rFonts w:asciiTheme="majorBidi" w:hAnsiTheme="majorBidi" w:cstheme="majorBidi"/>
          <w:color w:val="000000" w:themeColor="text1"/>
        </w:rPr>
        <w:t>24,6</w:t>
      </w:r>
      <w:r w:rsidR="00D61D3A" w:rsidRPr="00490B1D">
        <w:rPr>
          <w:rFonts w:asciiTheme="majorBidi" w:hAnsiTheme="majorBidi" w:cstheme="majorBidi"/>
          <w:color w:val="000000" w:themeColor="text1"/>
        </w:rPr>
        <w:t>%</w:t>
      </w:r>
      <w:r w:rsidR="00A5145B" w:rsidRPr="00490B1D">
        <w:rPr>
          <w:rFonts w:asciiTheme="majorBidi" w:hAnsiTheme="majorBidi" w:cstheme="majorBidi"/>
          <w:color w:val="000000" w:themeColor="text1"/>
        </w:rPr>
        <w:t xml:space="preserve"> à une dégradation</w:t>
      </w:r>
      <w:r w:rsidR="00F45C72" w:rsidRPr="00490B1D">
        <w:rPr>
          <w:rFonts w:asciiTheme="majorBidi" w:hAnsiTheme="majorBidi" w:cstheme="majorBidi"/>
          <w:color w:val="000000" w:themeColor="text1"/>
        </w:rPr>
        <w:t xml:space="preserve">. </w:t>
      </w:r>
      <w:r w:rsidR="00AB3BAE" w:rsidRPr="00490B1D">
        <w:rPr>
          <w:rFonts w:asciiTheme="majorBidi" w:hAnsiTheme="majorBidi" w:cstheme="majorBidi"/>
          <w:color w:val="000000" w:themeColor="text1"/>
        </w:rPr>
        <w:t xml:space="preserve">Le solde d’opinion de cet indicateur est resté </w:t>
      </w:r>
      <w:r w:rsidR="0005569E" w:rsidRPr="00490B1D">
        <w:rPr>
          <w:rFonts w:asciiTheme="majorBidi" w:hAnsiTheme="majorBidi" w:cstheme="majorBidi"/>
          <w:color w:val="000000" w:themeColor="text1"/>
        </w:rPr>
        <w:t>négatif avec</w:t>
      </w:r>
      <w:r w:rsidR="00AB3BAE" w:rsidRPr="00490B1D">
        <w:rPr>
          <w:rFonts w:asciiTheme="majorBidi" w:hAnsiTheme="majorBidi" w:cstheme="majorBidi"/>
          <w:color w:val="000000" w:themeColor="text1"/>
        </w:rPr>
        <w:t xml:space="preserve"> moins 6,1 </w:t>
      </w:r>
      <w:r w:rsidR="0005569E" w:rsidRPr="00490B1D">
        <w:rPr>
          <w:rFonts w:asciiTheme="majorBidi" w:hAnsiTheme="majorBidi" w:cstheme="majorBidi"/>
          <w:color w:val="000000" w:themeColor="text1"/>
        </w:rPr>
        <w:t>points enregistrant</w:t>
      </w:r>
      <w:r w:rsidR="00AB3BAE" w:rsidRPr="00490B1D">
        <w:rPr>
          <w:rFonts w:asciiTheme="majorBidi" w:hAnsiTheme="majorBidi" w:cstheme="majorBidi"/>
          <w:color w:val="000000" w:themeColor="text1"/>
        </w:rPr>
        <w:t xml:space="preserve"> une dégradation aussi bien par rapport au trimestre précédent que par rapport au même trimestre de l’année précédente où il s’est établit à moins 5,2 points et à moins 0,1 points respectivement. </w:t>
      </w:r>
    </w:p>
    <w:p w:rsidR="0005569E" w:rsidRPr="00490B1D" w:rsidRDefault="0005569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2830E2" w:rsidRPr="00490B1D" w:rsidRDefault="002830E2" w:rsidP="0005569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Graphique 5 : Perception par les ménages de leurs situations financières         (soldes d'opinions) </w:t>
      </w:r>
    </w:p>
    <w:p w:rsidR="00FC470E" w:rsidRPr="00490B1D" w:rsidRDefault="00FC47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:rsidR="00EB147E" w:rsidRPr="00490B1D" w:rsidRDefault="00FC470E" w:rsidP="00570C0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604387" cy="3953399"/>
            <wp:effectExtent l="19050" t="0" r="25013" b="9001"/>
            <wp:docPr id="14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30E2" w:rsidRPr="00490B1D" w:rsidRDefault="002830E2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Source : HCP, Enquête permanente de conjoncture auprès des ménages</w:t>
      </w:r>
    </w:p>
    <w:p w:rsidR="00294426" w:rsidRPr="00490B1D" w:rsidRDefault="00294426" w:rsidP="00570C0E">
      <w:pPr>
        <w:widowControl/>
        <w:spacing w:before="240" w:line="360" w:lineRule="auto"/>
        <w:jc w:val="center"/>
        <w:rPr>
          <w:rFonts w:asciiTheme="majorBidi" w:hAnsiTheme="majorBidi" w:cstheme="majorBidi"/>
          <w:noProof/>
          <w:color w:val="000000" w:themeColor="text1"/>
        </w:rPr>
      </w:pPr>
    </w:p>
    <w:p w:rsidR="000E21A1" w:rsidRPr="00490B1D" w:rsidRDefault="000E21A1" w:rsidP="00570C0E">
      <w:pPr>
        <w:pStyle w:val="Paragraphedeliste"/>
        <w:numPr>
          <w:ilvl w:val="0"/>
          <w:numId w:val="9"/>
        </w:numPr>
        <w:spacing w:line="360" w:lineRule="auto"/>
        <w:ind w:left="284" w:hanging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Evolution d’autres indicateurs </w:t>
      </w:r>
      <w:r w:rsidR="005D5DB2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trimestriels </w:t>
      </w:r>
      <w:r w:rsidR="00D75C4F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 la conjoncture</w:t>
      </w:r>
    </w:p>
    <w:p w:rsidR="00345EE0" w:rsidRPr="00490B1D" w:rsidRDefault="00D52D57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>L’enquête fournit également des données trimestrielles sur l</w:t>
      </w:r>
      <w:r w:rsidR="001F7D34" w:rsidRPr="00490B1D">
        <w:rPr>
          <w:rFonts w:asciiTheme="majorBidi" w:hAnsiTheme="majorBidi" w:cstheme="majorBidi"/>
          <w:color w:val="000000" w:themeColor="text1"/>
        </w:rPr>
        <w:t xml:space="preserve">a </w:t>
      </w:r>
      <w:r w:rsidRPr="00490B1D">
        <w:rPr>
          <w:rFonts w:asciiTheme="majorBidi" w:hAnsiTheme="majorBidi" w:cstheme="majorBidi"/>
          <w:color w:val="000000" w:themeColor="text1"/>
        </w:rPr>
        <w:t xml:space="preserve">perception des ménages relatives à d’autres aspects des conditions de vie. Il s’agit en particulier de la </w:t>
      </w:r>
      <w:r w:rsidR="001F7D34" w:rsidRPr="00490B1D">
        <w:rPr>
          <w:rFonts w:asciiTheme="majorBidi" w:hAnsiTheme="majorBidi" w:cstheme="majorBidi"/>
          <w:color w:val="000000" w:themeColor="text1"/>
        </w:rPr>
        <w:t>capacité des ménages à épargner et</w:t>
      </w:r>
      <w:r w:rsidRPr="00490B1D">
        <w:rPr>
          <w:rFonts w:asciiTheme="majorBidi" w:hAnsiTheme="majorBidi" w:cstheme="majorBidi"/>
          <w:color w:val="000000" w:themeColor="text1"/>
        </w:rPr>
        <w:t xml:space="preserve"> </w:t>
      </w:r>
      <w:r w:rsidR="0005569E" w:rsidRPr="00490B1D">
        <w:rPr>
          <w:rFonts w:asciiTheme="majorBidi" w:hAnsiTheme="majorBidi" w:cstheme="majorBidi"/>
          <w:color w:val="000000" w:themeColor="text1"/>
        </w:rPr>
        <w:t>de l’évolution</w:t>
      </w:r>
      <w:r w:rsidR="001F7D34" w:rsidRPr="00490B1D">
        <w:rPr>
          <w:rFonts w:asciiTheme="majorBidi" w:hAnsiTheme="majorBidi" w:cstheme="majorBidi"/>
          <w:color w:val="000000" w:themeColor="text1"/>
        </w:rPr>
        <w:t xml:space="preserve"> des prix des produits alimentaires</w:t>
      </w:r>
      <w:r w:rsidR="0071373B" w:rsidRPr="00490B1D">
        <w:rPr>
          <w:rFonts w:asciiTheme="majorBidi" w:hAnsiTheme="majorBidi" w:cstheme="majorBidi"/>
          <w:color w:val="000000" w:themeColor="text1"/>
        </w:rPr>
        <w:t xml:space="preserve">. </w:t>
      </w:r>
    </w:p>
    <w:p w:rsidR="004E7B02" w:rsidRPr="00490B1D" w:rsidRDefault="004E7B02" w:rsidP="00570C0E">
      <w:pPr>
        <w:widowControl/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277499" w:rsidRPr="00490B1D" w:rsidRDefault="00064654" w:rsidP="00570C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Capacité future à épargner : Perceptions </w:t>
      </w:r>
      <w:r w:rsidR="00277499"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>pessimiste</w:t>
      </w:r>
      <w:r w:rsidRPr="00490B1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 </w:t>
      </w:r>
    </w:p>
    <w:p w:rsidR="001161F3" w:rsidRPr="00490B1D" w:rsidRDefault="001161F3" w:rsidP="00570C0E">
      <w:pPr>
        <w:pStyle w:val="Paragraphedeliste"/>
        <w:spacing w:line="360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8450B0" w:rsidRPr="00490B1D" w:rsidRDefault="00AE5641" w:rsidP="0005569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</w:t>
      </w:r>
      <w:r w:rsidR="00F0485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deuxième</w:t>
      </w:r>
      <w:r w:rsidR="00D55501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trimestre</w:t>
      </w:r>
      <w:r w:rsidR="004E7B0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0736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</w:t>
      </w:r>
      <w:r w:rsidR="00DA178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C1BAB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2023</w:t>
      </w:r>
      <w:r w:rsidR="00D72CF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,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10,3</w:t>
      </w:r>
      <w:r w:rsidR="00D61D3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256C0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contre 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89,7</w:t>
      </w:r>
      <w:r w:rsidR="00D61D3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DE048F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des ménages</w:t>
      </w:r>
      <w:r w:rsidR="004E7B0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153FC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s’attendent à </w:t>
      </w:r>
      <w:r w:rsidR="00511C5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épargner au cours des 12 prochains </w:t>
      </w:r>
      <w:r w:rsidR="0005706F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mois</w:t>
      </w:r>
      <w:r w:rsidR="008450B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 .Le solde d’opinion </w:t>
      </w:r>
      <w:r w:rsidR="0005569E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relatif à cet indicateur</w:t>
      </w:r>
      <w:bookmarkStart w:id="1" w:name="_GoBack"/>
      <w:bookmarkEnd w:id="1"/>
      <w:r w:rsidR="008450B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est resté négatif et atteint son niveau le plus bas avec moins 79,4 points, contre moins 76,1 points </w:t>
      </w:r>
      <w:r w:rsidR="0005569E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au trimestre</w:t>
      </w:r>
      <w:r w:rsidR="008450B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précédent </w:t>
      </w:r>
      <w:r w:rsidR="0005569E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et moins</w:t>
      </w:r>
      <w:r w:rsidR="008450B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05569E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77,3 points</w:t>
      </w:r>
      <w:r w:rsidR="008450B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au même trimestre de l’année passée.</w:t>
      </w:r>
    </w:p>
    <w:p w:rsidR="00D25D67" w:rsidRPr="00490B1D" w:rsidRDefault="00D25D67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eastAsia="fr-FR"/>
        </w:rPr>
      </w:pPr>
    </w:p>
    <w:p w:rsidR="00570C0E" w:rsidRPr="00490B1D" w:rsidRDefault="00570C0E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</w:p>
    <w:p w:rsidR="00412CF2" w:rsidRPr="00490B1D" w:rsidRDefault="009D39AB" w:rsidP="00570C0E">
      <w:pPr>
        <w:pStyle w:val="Paragraphedeliste"/>
        <w:numPr>
          <w:ilvl w:val="0"/>
          <w:numId w:val="8"/>
        </w:numPr>
        <w:spacing w:before="240" w:line="360" w:lineRule="auto"/>
        <w:ind w:left="284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Ressenti de l’a</w:t>
      </w:r>
      <w:r w:rsidR="006821CC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ugmentation des </w:t>
      </w:r>
      <w:r w:rsidR="00261ED7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prix des produits alimentaires </w:t>
      </w:r>
      <w:r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par </w:t>
      </w:r>
      <w:r w:rsidR="00DF179B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la totalité d</w:t>
      </w:r>
      <w:r w:rsidR="003863D3" w:rsidRPr="00490B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es ménages</w:t>
      </w:r>
    </w:p>
    <w:p w:rsidR="00570C0E" w:rsidRPr="00490B1D" w:rsidRDefault="00570C0E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eastAsia="fr-FR"/>
        </w:rPr>
      </w:pPr>
    </w:p>
    <w:p w:rsidR="00B626B3" w:rsidRPr="00490B1D" w:rsidRDefault="00CE443B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</w:t>
      </w:r>
      <w:r w:rsidR="00F0485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deuxième</w:t>
      </w:r>
      <w:r w:rsidR="00D55501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trimestre</w:t>
      </w:r>
      <w:r w:rsidR="004E7B02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0736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de</w:t>
      </w:r>
      <w:r w:rsidR="00DA178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4C1BAB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2023</w:t>
      </w:r>
      <w:r w:rsidR="00985AB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, </w:t>
      </w:r>
      <w:r w:rsidR="00CE5F9D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la quasi-totalité des ménages (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98,1</w:t>
      </w:r>
      <w:r w:rsidR="003B3D4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</w:t>
      </w:r>
      <w:r w:rsidR="00CE5F9D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)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F72D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déclarent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A644C5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que les prix des produits alimentaires ont augmenté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EA013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au cours des </w:t>
      </w:r>
      <w:r w:rsidR="00E009EE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12 derniers mois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27BB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contre une proportion minime des ménages (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0,1 </w:t>
      </w:r>
      <w:r w:rsidR="003B3D4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</w:t>
      </w:r>
      <w:r w:rsidR="0060147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)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727BB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qui</w:t>
      </w:r>
      <w:r w:rsidR="00E53FA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F72D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ressentent leur</w:t>
      </w:r>
      <w:r w:rsidR="00932455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diminution</w:t>
      </w:r>
      <w:r w:rsidR="00D77F2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. </w:t>
      </w:r>
      <w:r w:rsidR="00B626B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Le solde d’opinion est resté ainsi négatif à moins 98 points, au lieu de moins 98,7 points un trimestre auparavant et moins 99,1 un an auparavant.</w:t>
      </w:r>
    </w:p>
    <w:p w:rsidR="00700125" w:rsidRPr="00490B1D" w:rsidRDefault="00700125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</w:p>
    <w:p w:rsidR="00887EA5" w:rsidRPr="00490B1D" w:rsidRDefault="00EB605E" w:rsidP="00570C0E">
      <w:pPr>
        <w:pStyle w:val="Paragraphedeliste"/>
        <w:spacing w:before="240" w:line="360" w:lineRule="auto"/>
        <w:ind w:left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</w:pPr>
      <w:r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Quant à l’évolution des prix des produits alimentaires a</w:t>
      </w:r>
      <w:r w:rsidR="004153FC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u cours des 12 prochains mois, 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72,5</w:t>
      </w:r>
      <w:r w:rsidR="00CE5F9D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des ménages s’attendent à une augmentation, 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22,</w:t>
      </w:r>
      <w:r w:rsidR="00DF179B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7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05569E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% à</w:t>
      </w:r>
      <w:r w:rsidR="00CE5F9D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un maintien au même niveau</w:t>
      </w:r>
      <w:r w:rsidR="001161F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et </w:t>
      </w:r>
      <w:r w:rsidR="004F6318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4,8</w:t>
      </w:r>
      <w:r w:rsidR="003B3D4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% </w:t>
      </w:r>
      <w:r w:rsidR="001161F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seulement à une diminution.</w:t>
      </w:r>
      <w:r w:rsidR="006E2B29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540BE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L</w:t>
      </w:r>
      <w:r w:rsidR="00376AC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e </w:t>
      </w:r>
      <w:r w:rsidR="00EA013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solde d’opinion</w:t>
      </w:r>
      <w:r w:rsidR="00A35DA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2A1529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est resté</w:t>
      </w:r>
      <w:r w:rsidR="00A35DA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1161F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ainsi </w:t>
      </w:r>
      <w:r w:rsidR="002A1529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négatif</w:t>
      </w:r>
      <w:r w:rsidR="001161F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2A1529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à</w:t>
      </w:r>
      <w:r w:rsidR="00EA79FB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moins </w:t>
      </w:r>
      <w:r w:rsidR="00887EA5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67,7 </w:t>
      </w:r>
      <w:r w:rsidR="00511BC9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points</w:t>
      </w:r>
      <w:r w:rsidR="00F933F4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, </w:t>
      </w:r>
      <w:r w:rsidR="00E1790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au lieu de</w:t>
      </w:r>
      <w:r w:rsidR="00540BE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moins </w:t>
      </w:r>
      <w:r w:rsidR="00887EA5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69,8 </w:t>
      </w:r>
      <w:r w:rsidR="00540BE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points </w:t>
      </w:r>
      <w:r w:rsidR="00E1790A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un trimestre</w:t>
      </w:r>
      <w:r w:rsidR="00A35DA0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</w:t>
      </w:r>
      <w:r w:rsidR="00FA52FF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auparavant</w:t>
      </w:r>
      <w:r w:rsidR="00CB5DC1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et moins </w:t>
      </w:r>
      <w:r w:rsidR="00887EA5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74,3 </w:t>
      </w:r>
      <w:r w:rsidR="001161F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un</w:t>
      </w:r>
      <w:r w:rsidR="00CB5DC1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an</w:t>
      </w:r>
      <w:r w:rsidR="001161F3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 xml:space="preserve"> auparavant</w:t>
      </w:r>
      <w:r w:rsidR="00540BE7" w:rsidRPr="00490B1D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fr-FR"/>
        </w:rPr>
        <w:t>.</w:t>
      </w:r>
    </w:p>
    <w:p w:rsidR="00527651" w:rsidRPr="00490B1D" w:rsidRDefault="002830E2" w:rsidP="00570C0E">
      <w:pPr>
        <w:spacing w:before="24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Graphique 6 :</w:t>
      </w:r>
      <w:r w:rsidRPr="00490B1D">
        <w:rPr>
          <w:rFonts w:asciiTheme="majorBidi" w:hAnsiTheme="majorBidi" w:cstheme="majorBidi"/>
          <w:b/>
          <w:bCs/>
          <w:color w:val="000000"/>
          <w:kern w:val="24"/>
          <w:sz w:val="28"/>
          <w:szCs w:val="28"/>
        </w:rPr>
        <w:t xml:space="preserve"> </w:t>
      </w: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Perception par les ménages des évolutions passée et future des prix des produits </w:t>
      </w:r>
      <w:r w:rsidR="0005569E"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alimentaires (</w:t>
      </w:r>
      <w:r w:rsidRPr="00490B1D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soldes d'opinions) </w:t>
      </w:r>
    </w:p>
    <w:p w:rsidR="00FC470E" w:rsidRPr="00490B1D" w:rsidRDefault="00FC470E" w:rsidP="00570C0E">
      <w:pPr>
        <w:spacing w:before="24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490B1D">
        <w:rPr>
          <w:rFonts w:asciiTheme="majorBidi" w:hAnsiTheme="majorBidi" w:cstheme="majorBidi"/>
          <w:b/>
          <w:bCs/>
          <w:noProof/>
          <w:color w:val="000000" w:themeColor="text1"/>
          <w:sz w:val="26"/>
          <w:szCs w:val="26"/>
        </w:rPr>
        <w:drawing>
          <wp:inline distT="0" distB="0" distL="0" distR="0">
            <wp:extent cx="6466840" cy="3695700"/>
            <wp:effectExtent l="19050" t="0" r="10160" b="0"/>
            <wp:docPr id="15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830E2" w:rsidRPr="00490B1D" w:rsidRDefault="002830E2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570C0E" w:rsidRPr="00490B1D" w:rsidRDefault="00570C0E" w:rsidP="00570C0E">
      <w:pPr>
        <w:spacing w:line="360" w:lineRule="auto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spacing w:line="360" w:lineRule="auto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spacing w:line="360" w:lineRule="auto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spacing w:line="360" w:lineRule="auto"/>
        <w:rPr>
          <w:rFonts w:asciiTheme="majorBidi" w:hAnsiTheme="majorBidi" w:cstheme="majorBidi"/>
          <w:color w:val="000000" w:themeColor="text1"/>
          <w:rtl/>
        </w:rPr>
      </w:pPr>
    </w:p>
    <w:p w:rsidR="00570C0E" w:rsidRPr="00490B1D" w:rsidRDefault="00570C0E" w:rsidP="00570C0E">
      <w:pPr>
        <w:spacing w:line="360" w:lineRule="auto"/>
        <w:rPr>
          <w:rFonts w:asciiTheme="majorBidi" w:hAnsiTheme="majorBidi" w:cstheme="majorBidi"/>
          <w:color w:val="000000" w:themeColor="text1"/>
          <w:rtl/>
        </w:rPr>
      </w:pPr>
    </w:p>
    <w:p w:rsidR="003A0725" w:rsidRPr="00490B1D" w:rsidRDefault="00C72318" w:rsidP="00570C0E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490B1D">
        <w:rPr>
          <w:rFonts w:asciiTheme="majorBidi" w:hAnsiTheme="majorBidi" w:cstheme="majorBidi"/>
          <w:color w:val="000000" w:themeColor="text1"/>
        </w:rPr>
        <w:t>Ci-</w:t>
      </w:r>
      <w:r w:rsidR="0005569E" w:rsidRPr="00490B1D">
        <w:rPr>
          <w:rFonts w:asciiTheme="majorBidi" w:hAnsiTheme="majorBidi" w:cstheme="majorBidi"/>
          <w:color w:val="000000" w:themeColor="text1"/>
        </w:rPr>
        <w:t>joint les</w:t>
      </w:r>
      <w:r w:rsidRPr="00490B1D">
        <w:rPr>
          <w:rFonts w:asciiTheme="majorBidi" w:hAnsiTheme="majorBidi" w:cstheme="majorBidi"/>
          <w:color w:val="000000" w:themeColor="text1"/>
        </w:rPr>
        <w:t xml:space="preserve"> détails des différents indicateurs et un rappel des principaux concepts.</w:t>
      </w:r>
    </w:p>
    <w:tbl>
      <w:tblPr>
        <w:tblpPr w:leftFromText="141" w:rightFromText="141" w:vertAnchor="text" w:horzAnchor="margin" w:tblpY="289"/>
        <w:tblW w:w="9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10"/>
      </w:tblGrid>
      <w:tr w:rsidR="003A0725" w:rsidRPr="00490B1D" w:rsidTr="00287AFB">
        <w:trPr>
          <w:trHeight w:val="8046"/>
        </w:trPr>
        <w:tc>
          <w:tcPr>
            <w:tcW w:w="9910" w:type="dxa"/>
          </w:tcPr>
          <w:p w:rsidR="000013E4" w:rsidRPr="00490B1D" w:rsidRDefault="000013E4" w:rsidP="00570C0E">
            <w:pPr>
              <w:spacing w:line="360" w:lineRule="auto"/>
              <w:ind w:left="36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</w:p>
          <w:p w:rsidR="00C51B7C" w:rsidRPr="00490B1D" w:rsidRDefault="00C51B7C" w:rsidP="00570C0E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 évolutions des composantes de l’ICM et des autres indicateurs de l’enquête, illustrées dans les graphiques, sont exprimées en termes de soldes d'opinions</w:t>
            </w:r>
          </w:p>
          <w:p w:rsidR="000013E4" w:rsidRPr="00490B1D" w:rsidRDefault="000013E4" w:rsidP="00570C0E">
            <w:pPr>
              <w:spacing w:line="360" w:lineRule="auto"/>
              <w:ind w:left="360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  <w:p w:rsidR="003A0725" w:rsidRPr="00490B1D" w:rsidRDefault="003A0725" w:rsidP="00570C0E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</w:rPr>
              <w:br w:type="page"/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Rappelons</w:t>
            </w:r>
            <w:r w:rsidR="00C51B7C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 par ailleurs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 que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 :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 questions abordées sont qualitatives à 3 modalités (amélioratio</w:t>
            </w:r>
            <w:r w:rsidR="00D72CF7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n, stagnation et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détérioration).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Les évolutions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se réfèrent à une période de 12 mois. Les résultats sont présentés sous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forme de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soldes (différence entre les pourcentages des réponses « amélioration »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et des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réponses «détérioration»). Le niveau des soldes n’est pas directement interprétable, c’est leur évolution qui est analysée. 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L’Indice de Confiance des Ménages (ICM) est calculé sur la base de sept indicateurs, quatre relatifs à la situation générale et trois à la situation propre du ménage :</w:t>
            </w:r>
          </w:p>
          <w:p w:rsidR="003A0725" w:rsidRPr="00490B1D" w:rsidRDefault="0005569E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évolution passée</w:t>
            </w:r>
            <w:r w:rsidR="003A0725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du niveau de vie ;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perspective d'évolution du niveau de vie ;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perspective d'évolution du nombre de chômeurs ;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opportunité d'achat de biens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durables ;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situation financière actuelle des ménages ;</w:t>
            </w:r>
          </w:p>
          <w:p w:rsidR="003A0725" w:rsidRPr="00490B1D" w:rsidRDefault="0005569E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évolution passée</w:t>
            </w:r>
            <w:r w:rsidR="003A0725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de la situation financière des ménages ;</w:t>
            </w:r>
          </w:p>
          <w:p w:rsidR="003A0725" w:rsidRPr="00490B1D" w:rsidRDefault="0005569E" w:rsidP="00570C0E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évolution future</w:t>
            </w:r>
            <w:r w:rsidR="003A0725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de la situation financière des ménages.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L’ICM est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la moyenne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arithmétique simple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des soldes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des 7 indicateurs, augmentée de 100, sa valeur varie ainsi de 0 à 200.</w:t>
            </w:r>
          </w:p>
          <w:p w:rsidR="003A0725" w:rsidRPr="00490B1D" w:rsidRDefault="003A0725" w:rsidP="00570C0E">
            <w:pPr>
              <w:pStyle w:val="Paragraphedeliste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Des tests statistiques de Fisher sur la série de l’indice de confiance des ménages</w:t>
            </w:r>
            <w:r w:rsidR="00B67B3D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durant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la période allant de 2008 à 201</w:t>
            </w:r>
            <w:r w:rsidR="00B67B3D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</w:t>
            </w: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, ont confirmé l’absence des variations saisonnières stables et mobiles.</w:t>
            </w:r>
          </w:p>
          <w:p w:rsidR="003A0725" w:rsidRPr="00490B1D" w:rsidRDefault="003A0725" w:rsidP="00570C0E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Pour plus d’informations sur les aspects méthodologiques de cette enquête, consulter le site web du HCP </w:t>
            </w:r>
            <w:r w:rsidR="0005569E" w:rsidRPr="00490B1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au </w:t>
            </w:r>
            <w:hyperlink r:id="rId14" w:history="1">
              <w:r w:rsidRPr="00490B1D">
                <w:rPr>
                  <w:rStyle w:val="Lienhypertexte"/>
                  <w:rFonts w:asciiTheme="majorBidi" w:hAnsiTheme="majorBidi" w:cstheme="majorBidi"/>
                  <w:color w:val="000000" w:themeColor="text1"/>
                  <w:sz w:val="20"/>
                  <w:szCs w:val="20"/>
                </w:rPr>
                <w:t>www.hcp.ma</w:t>
              </w:r>
            </w:hyperlink>
          </w:p>
        </w:tc>
      </w:tr>
    </w:tbl>
    <w:p w:rsidR="001F5970" w:rsidRPr="00490B1D" w:rsidRDefault="001F5970" w:rsidP="00570C0E">
      <w:pPr>
        <w:spacing w:line="360" w:lineRule="auto"/>
        <w:rPr>
          <w:rFonts w:asciiTheme="majorBidi" w:hAnsiTheme="majorBidi" w:cstheme="majorBidi"/>
        </w:rPr>
      </w:pPr>
    </w:p>
    <w:p w:rsidR="001F5970" w:rsidRPr="00490B1D" w:rsidRDefault="001F5970" w:rsidP="00570C0E">
      <w:pPr>
        <w:spacing w:line="360" w:lineRule="auto"/>
        <w:ind w:left="-142"/>
        <w:rPr>
          <w:rFonts w:asciiTheme="majorBidi" w:hAnsiTheme="majorBidi" w:cstheme="majorBidi"/>
          <w:b/>
          <w:color w:val="000000" w:themeColor="text1"/>
          <w:sz w:val="28"/>
          <w:szCs w:val="28"/>
        </w:rPr>
        <w:sectPr w:rsidR="001F5970" w:rsidRPr="00490B1D" w:rsidSect="005B1014">
          <w:footerReference w:type="default" r:id="rId15"/>
          <w:pgSz w:w="11906" w:h="16838" w:code="9"/>
          <w:pgMar w:top="1134" w:right="720" w:bottom="720" w:left="1077" w:header="709" w:footer="709" w:gutter="0"/>
          <w:cols w:space="708"/>
          <w:docGrid w:linePitch="360"/>
        </w:sectPr>
      </w:pPr>
    </w:p>
    <w:p w:rsidR="00A718F2" w:rsidRPr="00490B1D" w:rsidRDefault="00F80338" w:rsidP="00570C0E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lastRenderedPageBreak/>
        <w:t>Evolution</w:t>
      </w:r>
      <w:r w:rsidR="005D5B33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 de l’I</w:t>
      </w:r>
      <w:r w:rsidR="00C35BF2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ndice de </w:t>
      </w:r>
      <w:r w:rsidR="005D5B33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C</w:t>
      </w:r>
      <w:r w:rsidR="00C35BF2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onfiance des </w:t>
      </w:r>
      <w:r w:rsidR="005D5B33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M</w:t>
      </w:r>
      <w:r w:rsidR="00C35BF2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énages  (ICM) </w:t>
      </w:r>
      <w:r w:rsidR="005D5B33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et de ses composantes</w:t>
      </w:r>
      <w:r w:rsidR="00132D9E" w:rsidRPr="00490B1D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  </w:t>
      </w:r>
    </w:p>
    <w:p w:rsidR="004F42C1" w:rsidRPr="00490B1D" w:rsidRDefault="004F42C1" w:rsidP="00570C0E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tbl>
      <w:tblPr>
        <w:tblW w:w="16020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1431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9"/>
      </w:tblGrid>
      <w:tr w:rsidR="004F42C1" w:rsidRPr="00490B1D" w:rsidTr="00570C0E">
        <w:trPr>
          <w:gridAfter w:val="1"/>
          <w:wAfter w:w="9" w:type="dxa"/>
          <w:trHeight w:val="290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T1/16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T2/16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T3/16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T4/16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T1/17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T2/17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T3/17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T4/17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T1/18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T2/18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T3/18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T4/18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T1/19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T2/19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T3/19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T4/19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T1/20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T2/20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T3/20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T4/20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T1/21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T2/21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T3/21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T4/21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T1/22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T2/22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T3/22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T4/22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T1/23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871A7E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</w:pPr>
            <w:r w:rsidRPr="00871A7E">
              <w:rPr>
                <w:rFonts w:asciiTheme="majorBidi" w:hAnsiTheme="majorBidi" w:cstheme="majorBidi"/>
                <w:b/>
                <w:bCs/>
                <w:color w:val="000000"/>
                <w:sz w:val="12"/>
                <w:szCs w:val="12"/>
              </w:rPr>
              <w:t>T2/23</w:t>
            </w:r>
          </w:p>
        </w:tc>
      </w:tr>
      <w:tr w:rsidR="004F42C1" w:rsidRPr="00490B1D" w:rsidTr="00570C0E">
        <w:trPr>
          <w:gridAfter w:val="1"/>
          <w:wAfter w:w="9" w:type="dxa"/>
          <w:trHeight w:val="29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Indice de Confiance des Ménages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71,6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75,7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73,8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73,5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78,2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85,8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85,5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85,9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87,3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87,3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82,5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79,8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74,9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74,8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77,8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75,7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65,6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60,6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61,2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68,3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65,5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61,2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53,7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50,1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47,4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46,6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46,3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right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45,4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Perspective d'évolution du nombre de chômeur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-66,8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-64,9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-54,3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-59,9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-58,5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-54,5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-61,7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-75,6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-76,9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-71,8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-71,6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-78,3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-62,2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-78,3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-81,1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-83,5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-79,6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-81,4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-80,4</w:t>
            </w:r>
          </w:p>
        </w:tc>
      </w:tr>
      <w:tr w:rsidR="004F42C1" w:rsidRPr="00490B1D" w:rsidTr="00570C0E">
        <w:trPr>
          <w:gridAfter w:val="1"/>
          <w:wAfter w:w="9" w:type="dxa"/>
          <w:trHeight w:val="29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passée du niveau de vie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-22,9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-17,4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-17,5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-12,0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-13,3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-15,0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-25,4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-20,2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-20,0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-19,8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-24,8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-35,6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-46,6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-50,5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-50,8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-41,5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-66,8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-78,0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-81,5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-84,6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Perspective d'évolution du niveau de vie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-14,2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5,7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11,1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10,5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11,5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16,6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15,0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11,9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9,0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10,0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4,7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-11,4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-17,4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-17,4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13,2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0,2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9,3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-21,4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-34,3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-41,6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-38,8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-43,7</w:t>
            </w:r>
          </w:p>
        </w:tc>
      </w:tr>
      <w:tr w:rsidR="004F42C1" w:rsidRPr="00490B1D" w:rsidTr="00570C0E">
        <w:trPr>
          <w:gridAfter w:val="1"/>
          <w:wAfter w:w="9" w:type="dxa"/>
          <w:trHeight w:val="290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Opportunité d'achat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-40,2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-34,8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-40,5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-40,0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-28,2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-31,5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-25,6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-25,8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-30,2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-36,8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-36,3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-41,4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-29,2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-32,6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-68,0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-63,5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-61,2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-61,6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-65,6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-62,0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-62,8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-66,7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-68,9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Situation financière actuelle des ménages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-25,8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-28,7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-25,3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-22,6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-24,4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-24,1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-29,7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-28,4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-28,9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-30,8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-29,5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-26,4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-30,0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-31,5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-34,4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-38,0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-36,4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-40,4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-43,4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-42,9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-40,9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-42,1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-42,0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-41,4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passée de la situation financière des ménages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-22,8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-33,3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-26,8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-16,6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-14,5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-16,7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-18,1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-18,2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-20,7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-21,2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-24,2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-26,0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-22,1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-22,9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-27,0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-34,0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-39,9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-47,4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-50,0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-48,0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-49,0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-50,9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-48,7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-57,2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-57,3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future de la situation financière des ménages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2,3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5,0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6,5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13,4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22,1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19,6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19,2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25,9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28,1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18,2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20,7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18,3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12,8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15,9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-4,6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-11,9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0,6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21,2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14,8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15,1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15,1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8,3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-0,1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-6,1</w:t>
            </w:r>
          </w:p>
        </w:tc>
      </w:tr>
      <w:tr w:rsidR="004F42C1" w:rsidRPr="00490B1D" w:rsidTr="00570C0E">
        <w:trPr>
          <w:trHeight w:val="290"/>
        </w:trPr>
        <w:tc>
          <w:tcPr>
            <w:tcW w:w="1602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Autres soldes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future des prix des produits alimentaires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-79,3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-79,6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-84,0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-87,5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-83,3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-68,1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-64,6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-60,2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-67,6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-76,3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-73,6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-71,8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-67,7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Evolution  passée des prix des produits alimentaires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-85,5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-87,9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-87,3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-88,5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-88,2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-88,1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-90,3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-88,1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-88,9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-83,7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-85,1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-82,8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-67,6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-75,1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-74,0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-86,9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-95,9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-97,9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-98,8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-98,7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-98,0</w:t>
            </w:r>
          </w:p>
        </w:tc>
      </w:tr>
      <w:tr w:rsidR="004F42C1" w:rsidRPr="00490B1D" w:rsidTr="00570C0E">
        <w:trPr>
          <w:gridAfter w:val="1"/>
          <w:wAfter w:w="9" w:type="dxa"/>
          <w:trHeight w:val="421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</w:pPr>
            <w:r w:rsidRPr="00490B1D">
              <w:rPr>
                <w:rFonts w:asciiTheme="majorBidi" w:hAnsiTheme="majorBidi" w:cstheme="majorBidi"/>
                <w:b/>
                <w:bCs/>
                <w:color w:val="000000"/>
                <w:sz w:val="14"/>
                <w:szCs w:val="14"/>
              </w:rPr>
              <w:t>Capacité à épargner des ménages dans les mois à venir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-66,5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-67,9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-68,7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-64,1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-59,1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-55,7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-58,6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-54,5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-57,9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-64,6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-63,0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-62,9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-66,6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-64,4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-64,5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-65,8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-75,1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-65,8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-60,8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-67,2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-70,4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-69,5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-72,2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-78,0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-77,7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-76,1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2C1" w:rsidRPr="00490B1D" w:rsidRDefault="004F42C1" w:rsidP="00570C0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12"/>
                <w:szCs w:val="12"/>
              </w:rPr>
            </w:pPr>
            <w:r w:rsidRPr="00490B1D">
              <w:rPr>
                <w:rFonts w:asciiTheme="majorBidi" w:hAnsiTheme="majorBidi" w:cstheme="majorBidi"/>
                <w:color w:val="000000"/>
                <w:sz w:val="12"/>
                <w:szCs w:val="12"/>
              </w:rPr>
              <w:t>-79,4</w:t>
            </w:r>
          </w:p>
        </w:tc>
      </w:tr>
    </w:tbl>
    <w:p w:rsidR="00DE6C85" w:rsidRPr="00490B1D" w:rsidRDefault="00DE6C85" w:rsidP="00570C0E">
      <w:pPr>
        <w:widowControl/>
        <w:tabs>
          <w:tab w:val="left" w:pos="709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90B1D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Source : HCP, Enquête permanente de conjoncture auprès des ménages</w:t>
      </w:r>
    </w:p>
    <w:p w:rsidR="00A718F2" w:rsidRPr="00490B1D" w:rsidRDefault="00A718F2" w:rsidP="00570C0E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16"/>
          <w:szCs w:val="16"/>
        </w:rPr>
      </w:pPr>
    </w:p>
    <w:sectPr w:rsidR="00A718F2" w:rsidRPr="00490B1D" w:rsidSect="00A71494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583" w:rsidRDefault="00E33583" w:rsidP="00460705">
      <w:r>
        <w:separator/>
      </w:r>
    </w:p>
  </w:endnote>
  <w:endnote w:type="continuationSeparator" w:id="0">
    <w:p w:rsidR="00E33583" w:rsidRDefault="00E33583" w:rsidP="00460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132658"/>
      <w:docPartObj>
        <w:docPartGallery w:val="Page Numbers (Bottom of Page)"/>
        <w:docPartUnique/>
      </w:docPartObj>
    </w:sdtPr>
    <w:sdtContent>
      <w:p w:rsidR="00935CD9" w:rsidRDefault="000D286E">
        <w:pPr>
          <w:pStyle w:val="Pieddepage"/>
          <w:jc w:val="center"/>
        </w:pPr>
        <w:r>
          <w:fldChar w:fldCharType="begin"/>
        </w:r>
        <w:r w:rsidR="007B13FA">
          <w:instrText xml:space="preserve"> PAGE   \* MERGEFORMAT </w:instrText>
        </w:r>
        <w:r>
          <w:fldChar w:fldCharType="separate"/>
        </w:r>
        <w:r w:rsidR="00CE03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CD9" w:rsidRDefault="00935C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583" w:rsidRDefault="00E33583" w:rsidP="00460705">
      <w:r>
        <w:separator/>
      </w:r>
    </w:p>
  </w:footnote>
  <w:footnote w:type="continuationSeparator" w:id="0">
    <w:p w:rsidR="00E33583" w:rsidRDefault="00E33583" w:rsidP="004607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A8E"/>
    <w:multiLevelType w:val="hybridMultilevel"/>
    <w:tmpl w:val="DEAAA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02827"/>
    <w:multiLevelType w:val="hybridMultilevel"/>
    <w:tmpl w:val="651C7EFE"/>
    <w:lvl w:ilvl="0" w:tplc="B100CA10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8056781"/>
    <w:multiLevelType w:val="hybridMultilevel"/>
    <w:tmpl w:val="784EAA80"/>
    <w:lvl w:ilvl="0" w:tplc="6DD295CC">
      <w:start w:val="1"/>
      <w:numFmt w:val="decimal"/>
      <w:lvlText w:val="(%1)"/>
      <w:lvlJc w:val="left"/>
      <w:pPr>
        <w:ind w:left="720" w:hanging="360"/>
      </w:pPr>
      <w:rPr>
        <w:rFonts w:hint="default"/>
        <w:b/>
        <w:vertAlign w:val="superscrip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1432E"/>
    <w:multiLevelType w:val="hybridMultilevel"/>
    <w:tmpl w:val="0CEE6D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A122E6"/>
    <w:multiLevelType w:val="hybridMultilevel"/>
    <w:tmpl w:val="826865B6"/>
    <w:lvl w:ilvl="0" w:tplc="0616EC8E">
      <w:numFmt w:val="bullet"/>
      <w:lvlText w:val="-"/>
      <w:lvlJc w:val="left"/>
      <w:pPr>
        <w:ind w:left="1080" w:hanging="360"/>
      </w:pPr>
      <w:rPr>
        <w:rFonts w:ascii="Book Antiqua" w:eastAsia="Calibri" w:hAnsi="Book Antiqua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932AC5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032A5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51664"/>
    <w:multiLevelType w:val="hybridMultilevel"/>
    <w:tmpl w:val="23060486"/>
    <w:lvl w:ilvl="0" w:tplc="20AE1A2A">
      <w:start w:val="1"/>
      <w:numFmt w:val="decimal"/>
      <w:lvlText w:val="%1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CC54CD3"/>
    <w:multiLevelType w:val="hybridMultilevel"/>
    <w:tmpl w:val="0EF07944"/>
    <w:lvl w:ilvl="0" w:tplc="040C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C3212"/>
    <w:multiLevelType w:val="hybridMultilevel"/>
    <w:tmpl w:val="0EB82B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45C66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8527B"/>
    <w:multiLevelType w:val="multilevel"/>
    <w:tmpl w:val="61509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43E6100A"/>
    <w:multiLevelType w:val="hybridMultilevel"/>
    <w:tmpl w:val="F000AF92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498D60E8"/>
    <w:multiLevelType w:val="hybridMultilevel"/>
    <w:tmpl w:val="E83A8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55FAE"/>
    <w:multiLevelType w:val="hybridMultilevel"/>
    <w:tmpl w:val="5A8C44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DB559E"/>
    <w:multiLevelType w:val="hybridMultilevel"/>
    <w:tmpl w:val="C6182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D7E0F"/>
    <w:multiLevelType w:val="hybridMultilevel"/>
    <w:tmpl w:val="575CB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D297B"/>
    <w:multiLevelType w:val="hybridMultilevel"/>
    <w:tmpl w:val="054A5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57841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F3FE5"/>
    <w:multiLevelType w:val="hybridMultilevel"/>
    <w:tmpl w:val="D1729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D7D01"/>
    <w:multiLevelType w:val="hybridMultilevel"/>
    <w:tmpl w:val="0E2043F8"/>
    <w:lvl w:ilvl="0" w:tplc="040C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4"/>
  </w:num>
  <w:num w:numId="5">
    <w:abstractNumId w:val="11"/>
  </w:num>
  <w:num w:numId="6">
    <w:abstractNumId w:val="13"/>
  </w:num>
  <w:num w:numId="7">
    <w:abstractNumId w:val="0"/>
  </w:num>
  <w:num w:numId="8">
    <w:abstractNumId w:val="9"/>
  </w:num>
  <w:num w:numId="9">
    <w:abstractNumId w:val="18"/>
  </w:num>
  <w:num w:numId="10">
    <w:abstractNumId w:val="8"/>
  </w:num>
  <w:num w:numId="11">
    <w:abstractNumId w:val="20"/>
  </w:num>
  <w:num w:numId="12">
    <w:abstractNumId w:val="1"/>
  </w:num>
  <w:num w:numId="13">
    <w:abstractNumId w:val="19"/>
  </w:num>
  <w:num w:numId="14">
    <w:abstractNumId w:val="10"/>
  </w:num>
  <w:num w:numId="15">
    <w:abstractNumId w:val="6"/>
  </w:num>
  <w:num w:numId="16">
    <w:abstractNumId w:val="3"/>
  </w:num>
  <w:num w:numId="17">
    <w:abstractNumId w:val="17"/>
  </w:num>
  <w:num w:numId="18">
    <w:abstractNumId w:val="16"/>
  </w:num>
  <w:num w:numId="19">
    <w:abstractNumId w:val="7"/>
  </w:num>
  <w:num w:numId="20">
    <w:abstractNumId w:val="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704"/>
    <w:rsid w:val="000013E4"/>
    <w:rsid w:val="00001624"/>
    <w:rsid w:val="000016A1"/>
    <w:rsid w:val="000023E0"/>
    <w:rsid w:val="00002F9B"/>
    <w:rsid w:val="00003F54"/>
    <w:rsid w:val="00004B1E"/>
    <w:rsid w:val="00005381"/>
    <w:rsid w:val="00005AAD"/>
    <w:rsid w:val="000060F8"/>
    <w:rsid w:val="000069AE"/>
    <w:rsid w:val="0000713A"/>
    <w:rsid w:val="000100F3"/>
    <w:rsid w:val="00011A0E"/>
    <w:rsid w:val="00011BC4"/>
    <w:rsid w:val="00011F4E"/>
    <w:rsid w:val="00012F82"/>
    <w:rsid w:val="00013016"/>
    <w:rsid w:val="00013329"/>
    <w:rsid w:val="00014530"/>
    <w:rsid w:val="00014940"/>
    <w:rsid w:val="00014F59"/>
    <w:rsid w:val="00015112"/>
    <w:rsid w:val="000151DD"/>
    <w:rsid w:val="00015EF3"/>
    <w:rsid w:val="00016F90"/>
    <w:rsid w:val="0001722E"/>
    <w:rsid w:val="000174FE"/>
    <w:rsid w:val="00017526"/>
    <w:rsid w:val="0001754D"/>
    <w:rsid w:val="000213FC"/>
    <w:rsid w:val="00022644"/>
    <w:rsid w:val="00023DE5"/>
    <w:rsid w:val="00024686"/>
    <w:rsid w:val="00024B04"/>
    <w:rsid w:val="0002532B"/>
    <w:rsid w:val="00025CE4"/>
    <w:rsid w:val="00025F15"/>
    <w:rsid w:val="000265CF"/>
    <w:rsid w:val="00027300"/>
    <w:rsid w:val="000274C4"/>
    <w:rsid w:val="000315FD"/>
    <w:rsid w:val="00031CFB"/>
    <w:rsid w:val="000324B4"/>
    <w:rsid w:val="00032619"/>
    <w:rsid w:val="00032AF9"/>
    <w:rsid w:val="00032ECD"/>
    <w:rsid w:val="00034F42"/>
    <w:rsid w:val="00035053"/>
    <w:rsid w:val="000356C1"/>
    <w:rsid w:val="00035819"/>
    <w:rsid w:val="000360E1"/>
    <w:rsid w:val="000364EF"/>
    <w:rsid w:val="00036F7C"/>
    <w:rsid w:val="0003703D"/>
    <w:rsid w:val="000370B6"/>
    <w:rsid w:val="00037ABF"/>
    <w:rsid w:val="00041428"/>
    <w:rsid w:val="0004211E"/>
    <w:rsid w:val="00042157"/>
    <w:rsid w:val="00043430"/>
    <w:rsid w:val="0004437F"/>
    <w:rsid w:val="00044E75"/>
    <w:rsid w:val="000451AC"/>
    <w:rsid w:val="00045674"/>
    <w:rsid w:val="00046C56"/>
    <w:rsid w:val="00046EB3"/>
    <w:rsid w:val="00047148"/>
    <w:rsid w:val="00047B2B"/>
    <w:rsid w:val="00050145"/>
    <w:rsid w:val="00050460"/>
    <w:rsid w:val="00051534"/>
    <w:rsid w:val="000518A6"/>
    <w:rsid w:val="00051A04"/>
    <w:rsid w:val="00051B80"/>
    <w:rsid w:val="00052C8E"/>
    <w:rsid w:val="0005319E"/>
    <w:rsid w:val="0005351F"/>
    <w:rsid w:val="0005355A"/>
    <w:rsid w:val="0005413E"/>
    <w:rsid w:val="0005434C"/>
    <w:rsid w:val="0005569E"/>
    <w:rsid w:val="00055B18"/>
    <w:rsid w:val="0005628D"/>
    <w:rsid w:val="000569E9"/>
    <w:rsid w:val="00056C34"/>
    <w:rsid w:val="00056F4A"/>
    <w:rsid w:val="0005706F"/>
    <w:rsid w:val="00057262"/>
    <w:rsid w:val="00057BC7"/>
    <w:rsid w:val="00057E1A"/>
    <w:rsid w:val="00061CA4"/>
    <w:rsid w:val="00062779"/>
    <w:rsid w:val="00063B1B"/>
    <w:rsid w:val="00063B3F"/>
    <w:rsid w:val="00064021"/>
    <w:rsid w:val="00064654"/>
    <w:rsid w:val="000646B0"/>
    <w:rsid w:val="00064BB5"/>
    <w:rsid w:val="000656CB"/>
    <w:rsid w:val="00065DD7"/>
    <w:rsid w:val="00066ADF"/>
    <w:rsid w:val="00066E22"/>
    <w:rsid w:val="00067347"/>
    <w:rsid w:val="00067D35"/>
    <w:rsid w:val="00070565"/>
    <w:rsid w:val="000706EE"/>
    <w:rsid w:val="000712A9"/>
    <w:rsid w:val="000718BD"/>
    <w:rsid w:val="000720FD"/>
    <w:rsid w:val="00072708"/>
    <w:rsid w:val="00072AB7"/>
    <w:rsid w:val="00072CF2"/>
    <w:rsid w:val="00072EEA"/>
    <w:rsid w:val="00072F7C"/>
    <w:rsid w:val="00073079"/>
    <w:rsid w:val="00073C23"/>
    <w:rsid w:val="000741D5"/>
    <w:rsid w:val="000748D8"/>
    <w:rsid w:val="000749D1"/>
    <w:rsid w:val="000753A8"/>
    <w:rsid w:val="000756A1"/>
    <w:rsid w:val="00076938"/>
    <w:rsid w:val="00076F92"/>
    <w:rsid w:val="000779C2"/>
    <w:rsid w:val="00077CAA"/>
    <w:rsid w:val="00081434"/>
    <w:rsid w:val="00081E5A"/>
    <w:rsid w:val="0008224D"/>
    <w:rsid w:val="00082D2E"/>
    <w:rsid w:val="000836A6"/>
    <w:rsid w:val="000838BF"/>
    <w:rsid w:val="000839B9"/>
    <w:rsid w:val="0008574A"/>
    <w:rsid w:val="00086CD2"/>
    <w:rsid w:val="000877E9"/>
    <w:rsid w:val="0008783E"/>
    <w:rsid w:val="00087DA2"/>
    <w:rsid w:val="000909E5"/>
    <w:rsid w:val="00090FCF"/>
    <w:rsid w:val="00090FEC"/>
    <w:rsid w:val="00091D64"/>
    <w:rsid w:val="00091E28"/>
    <w:rsid w:val="00091FB9"/>
    <w:rsid w:val="00092DFB"/>
    <w:rsid w:val="00093A83"/>
    <w:rsid w:val="00093D84"/>
    <w:rsid w:val="00094BEF"/>
    <w:rsid w:val="00097300"/>
    <w:rsid w:val="00097799"/>
    <w:rsid w:val="0009797C"/>
    <w:rsid w:val="00097D75"/>
    <w:rsid w:val="000A0177"/>
    <w:rsid w:val="000A07A7"/>
    <w:rsid w:val="000A0881"/>
    <w:rsid w:val="000A11C5"/>
    <w:rsid w:val="000A14AD"/>
    <w:rsid w:val="000A158A"/>
    <w:rsid w:val="000A18FB"/>
    <w:rsid w:val="000A1DEA"/>
    <w:rsid w:val="000A20DC"/>
    <w:rsid w:val="000A26E7"/>
    <w:rsid w:val="000A27F7"/>
    <w:rsid w:val="000A2DA9"/>
    <w:rsid w:val="000A33DF"/>
    <w:rsid w:val="000A40C3"/>
    <w:rsid w:val="000A5682"/>
    <w:rsid w:val="000A5C5F"/>
    <w:rsid w:val="000A5F4A"/>
    <w:rsid w:val="000A6135"/>
    <w:rsid w:val="000A62F9"/>
    <w:rsid w:val="000B0844"/>
    <w:rsid w:val="000B09BA"/>
    <w:rsid w:val="000B0E7A"/>
    <w:rsid w:val="000B1487"/>
    <w:rsid w:val="000B16D1"/>
    <w:rsid w:val="000B2067"/>
    <w:rsid w:val="000B2FFE"/>
    <w:rsid w:val="000B34E3"/>
    <w:rsid w:val="000B4FE0"/>
    <w:rsid w:val="000B552C"/>
    <w:rsid w:val="000B62B1"/>
    <w:rsid w:val="000C0C01"/>
    <w:rsid w:val="000C1464"/>
    <w:rsid w:val="000C2CA9"/>
    <w:rsid w:val="000C3718"/>
    <w:rsid w:val="000C39F9"/>
    <w:rsid w:val="000C439F"/>
    <w:rsid w:val="000C4C0E"/>
    <w:rsid w:val="000C56EA"/>
    <w:rsid w:val="000C689C"/>
    <w:rsid w:val="000C7F17"/>
    <w:rsid w:val="000D1CF5"/>
    <w:rsid w:val="000D24FA"/>
    <w:rsid w:val="000D2586"/>
    <w:rsid w:val="000D286E"/>
    <w:rsid w:val="000D2E52"/>
    <w:rsid w:val="000D341B"/>
    <w:rsid w:val="000D367A"/>
    <w:rsid w:val="000D3B30"/>
    <w:rsid w:val="000D4077"/>
    <w:rsid w:val="000D4920"/>
    <w:rsid w:val="000D54E1"/>
    <w:rsid w:val="000D5638"/>
    <w:rsid w:val="000D5AB2"/>
    <w:rsid w:val="000D5B0A"/>
    <w:rsid w:val="000D5CEB"/>
    <w:rsid w:val="000E0128"/>
    <w:rsid w:val="000E030A"/>
    <w:rsid w:val="000E10E0"/>
    <w:rsid w:val="000E1534"/>
    <w:rsid w:val="000E17D9"/>
    <w:rsid w:val="000E1BEE"/>
    <w:rsid w:val="000E20BC"/>
    <w:rsid w:val="000E21A1"/>
    <w:rsid w:val="000E3747"/>
    <w:rsid w:val="000E4DC7"/>
    <w:rsid w:val="000E5EA9"/>
    <w:rsid w:val="000E6EB3"/>
    <w:rsid w:val="000E71C8"/>
    <w:rsid w:val="000F0919"/>
    <w:rsid w:val="000F0DB1"/>
    <w:rsid w:val="000F184A"/>
    <w:rsid w:val="000F2945"/>
    <w:rsid w:val="000F2B60"/>
    <w:rsid w:val="000F2E6E"/>
    <w:rsid w:val="000F5139"/>
    <w:rsid w:val="000F5A2E"/>
    <w:rsid w:val="000F62E1"/>
    <w:rsid w:val="000F641A"/>
    <w:rsid w:val="000F6CE8"/>
    <w:rsid w:val="000F70E8"/>
    <w:rsid w:val="000F74C5"/>
    <w:rsid w:val="000F7670"/>
    <w:rsid w:val="000F7A57"/>
    <w:rsid w:val="000F7C4F"/>
    <w:rsid w:val="00100026"/>
    <w:rsid w:val="0010025C"/>
    <w:rsid w:val="00101249"/>
    <w:rsid w:val="00101DA7"/>
    <w:rsid w:val="00101DD8"/>
    <w:rsid w:val="00102B5C"/>
    <w:rsid w:val="00103010"/>
    <w:rsid w:val="001037B3"/>
    <w:rsid w:val="00104221"/>
    <w:rsid w:val="00104438"/>
    <w:rsid w:val="00104463"/>
    <w:rsid w:val="00104CAC"/>
    <w:rsid w:val="00104D05"/>
    <w:rsid w:val="001052BE"/>
    <w:rsid w:val="001052EC"/>
    <w:rsid w:val="00105320"/>
    <w:rsid w:val="00105B72"/>
    <w:rsid w:val="00106C84"/>
    <w:rsid w:val="00106E19"/>
    <w:rsid w:val="00106EC0"/>
    <w:rsid w:val="00106FA4"/>
    <w:rsid w:val="00107245"/>
    <w:rsid w:val="00107534"/>
    <w:rsid w:val="00107E17"/>
    <w:rsid w:val="00107F1E"/>
    <w:rsid w:val="001103D0"/>
    <w:rsid w:val="00110B90"/>
    <w:rsid w:val="00110BE5"/>
    <w:rsid w:val="00111470"/>
    <w:rsid w:val="001116C8"/>
    <w:rsid w:val="00111FC4"/>
    <w:rsid w:val="00113273"/>
    <w:rsid w:val="001133D2"/>
    <w:rsid w:val="00113767"/>
    <w:rsid w:val="00114063"/>
    <w:rsid w:val="001143FE"/>
    <w:rsid w:val="0011495F"/>
    <w:rsid w:val="00115D48"/>
    <w:rsid w:val="001161C4"/>
    <w:rsid w:val="001161F3"/>
    <w:rsid w:val="00116945"/>
    <w:rsid w:val="0011726A"/>
    <w:rsid w:val="001174FE"/>
    <w:rsid w:val="00117A2F"/>
    <w:rsid w:val="00117F82"/>
    <w:rsid w:val="00120997"/>
    <w:rsid w:val="00121180"/>
    <w:rsid w:val="00121CCC"/>
    <w:rsid w:val="001222E7"/>
    <w:rsid w:val="00122941"/>
    <w:rsid w:val="00123DEA"/>
    <w:rsid w:val="00123E79"/>
    <w:rsid w:val="00124002"/>
    <w:rsid w:val="001242C0"/>
    <w:rsid w:val="00124772"/>
    <w:rsid w:val="00124827"/>
    <w:rsid w:val="00124FE0"/>
    <w:rsid w:val="00125161"/>
    <w:rsid w:val="001254E5"/>
    <w:rsid w:val="00125543"/>
    <w:rsid w:val="00126B26"/>
    <w:rsid w:val="00126CC0"/>
    <w:rsid w:val="00126DA5"/>
    <w:rsid w:val="00126E55"/>
    <w:rsid w:val="0012794C"/>
    <w:rsid w:val="00127D67"/>
    <w:rsid w:val="00131E2D"/>
    <w:rsid w:val="001328D0"/>
    <w:rsid w:val="00132D9E"/>
    <w:rsid w:val="00133286"/>
    <w:rsid w:val="0013347C"/>
    <w:rsid w:val="001335BA"/>
    <w:rsid w:val="00133687"/>
    <w:rsid w:val="00133860"/>
    <w:rsid w:val="00133A39"/>
    <w:rsid w:val="001347D2"/>
    <w:rsid w:val="00135445"/>
    <w:rsid w:val="00135D83"/>
    <w:rsid w:val="0013654E"/>
    <w:rsid w:val="00137D7D"/>
    <w:rsid w:val="001404A9"/>
    <w:rsid w:val="001414F3"/>
    <w:rsid w:val="001424D2"/>
    <w:rsid w:val="0014379B"/>
    <w:rsid w:val="001438AB"/>
    <w:rsid w:val="0014398F"/>
    <w:rsid w:val="00143A5A"/>
    <w:rsid w:val="00143EEC"/>
    <w:rsid w:val="00144320"/>
    <w:rsid w:val="00145956"/>
    <w:rsid w:val="001467F7"/>
    <w:rsid w:val="00146EDA"/>
    <w:rsid w:val="0014733D"/>
    <w:rsid w:val="00147786"/>
    <w:rsid w:val="00150681"/>
    <w:rsid w:val="00151AE6"/>
    <w:rsid w:val="00151C70"/>
    <w:rsid w:val="0015212E"/>
    <w:rsid w:val="001523D7"/>
    <w:rsid w:val="00152D59"/>
    <w:rsid w:val="00153ECF"/>
    <w:rsid w:val="00154298"/>
    <w:rsid w:val="00154339"/>
    <w:rsid w:val="001545AE"/>
    <w:rsid w:val="00154E44"/>
    <w:rsid w:val="00156587"/>
    <w:rsid w:val="0015763C"/>
    <w:rsid w:val="00157CA9"/>
    <w:rsid w:val="0016005A"/>
    <w:rsid w:val="00160141"/>
    <w:rsid w:val="0016090E"/>
    <w:rsid w:val="00160994"/>
    <w:rsid w:val="00161429"/>
    <w:rsid w:val="00161772"/>
    <w:rsid w:val="00161C4B"/>
    <w:rsid w:val="00162062"/>
    <w:rsid w:val="001638CE"/>
    <w:rsid w:val="00163D93"/>
    <w:rsid w:val="0016405E"/>
    <w:rsid w:val="001643DF"/>
    <w:rsid w:val="001648E6"/>
    <w:rsid w:val="00164979"/>
    <w:rsid w:val="00165671"/>
    <w:rsid w:val="0016596E"/>
    <w:rsid w:val="001672BD"/>
    <w:rsid w:val="0016780D"/>
    <w:rsid w:val="00172005"/>
    <w:rsid w:val="00172D27"/>
    <w:rsid w:val="00172EE9"/>
    <w:rsid w:val="00172F47"/>
    <w:rsid w:val="00173781"/>
    <w:rsid w:val="00174115"/>
    <w:rsid w:val="00174542"/>
    <w:rsid w:val="00174553"/>
    <w:rsid w:val="001748E9"/>
    <w:rsid w:val="0017495A"/>
    <w:rsid w:val="0017568F"/>
    <w:rsid w:val="001757C5"/>
    <w:rsid w:val="001760CB"/>
    <w:rsid w:val="00181B72"/>
    <w:rsid w:val="00182987"/>
    <w:rsid w:val="001829B0"/>
    <w:rsid w:val="00182B28"/>
    <w:rsid w:val="00182E1E"/>
    <w:rsid w:val="00184023"/>
    <w:rsid w:val="00184134"/>
    <w:rsid w:val="00184250"/>
    <w:rsid w:val="00184D27"/>
    <w:rsid w:val="00185207"/>
    <w:rsid w:val="00185ABC"/>
    <w:rsid w:val="001864E5"/>
    <w:rsid w:val="00186530"/>
    <w:rsid w:val="001871C4"/>
    <w:rsid w:val="00187A5C"/>
    <w:rsid w:val="00187C8D"/>
    <w:rsid w:val="00187EB7"/>
    <w:rsid w:val="00190672"/>
    <w:rsid w:val="00191E08"/>
    <w:rsid w:val="00191F62"/>
    <w:rsid w:val="001930B7"/>
    <w:rsid w:val="00193B35"/>
    <w:rsid w:val="00193B4D"/>
    <w:rsid w:val="00193E60"/>
    <w:rsid w:val="0019435A"/>
    <w:rsid w:val="0019492E"/>
    <w:rsid w:val="001956DC"/>
    <w:rsid w:val="00195D2E"/>
    <w:rsid w:val="001960E9"/>
    <w:rsid w:val="001968E2"/>
    <w:rsid w:val="00196B6B"/>
    <w:rsid w:val="00196D8E"/>
    <w:rsid w:val="00196DF3"/>
    <w:rsid w:val="001975D4"/>
    <w:rsid w:val="00197D9A"/>
    <w:rsid w:val="00197F64"/>
    <w:rsid w:val="001A0310"/>
    <w:rsid w:val="001A048A"/>
    <w:rsid w:val="001A0F65"/>
    <w:rsid w:val="001A2204"/>
    <w:rsid w:val="001A288D"/>
    <w:rsid w:val="001A292A"/>
    <w:rsid w:val="001A384F"/>
    <w:rsid w:val="001A4203"/>
    <w:rsid w:val="001A4BB7"/>
    <w:rsid w:val="001A55DD"/>
    <w:rsid w:val="001A6084"/>
    <w:rsid w:val="001A62A1"/>
    <w:rsid w:val="001A648B"/>
    <w:rsid w:val="001A69DD"/>
    <w:rsid w:val="001A6BB6"/>
    <w:rsid w:val="001A7746"/>
    <w:rsid w:val="001B03D3"/>
    <w:rsid w:val="001B06F9"/>
    <w:rsid w:val="001B0AB6"/>
    <w:rsid w:val="001B1130"/>
    <w:rsid w:val="001B1C9F"/>
    <w:rsid w:val="001B1E0E"/>
    <w:rsid w:val="001B20D5"/>
    <w:rsid w:val="001B2334"/>
    <w:rsid w:val="001B3593"/>
    <w:rsid w:val="001B35E9"/>
    <w:rsid w:val="001B3707"/>
    <w:rsid w:val="001B3CB2"/>
    <w:rsid w:val="001B3E46"/>
    <w:rsid w:val="001B50A1"/>
    <w:rsid w:val="001B561B"/>
    <w:rsid w:val="001B5B96"/>
    <w:rsid w:val="001B5F02"/>
    <w:rsid w:val="001B69A3"/>
    <w:rsid w:val="001B7322"/>
    <w:rsid w:val="001B765A"/>
    <w:rsid w:val="001B7854"/>
    <w:rsid w:val="001C0839"/>
    <w:rsid w:val="001C14A6"/>
    <w:rsid w:val="001C251F"/>
    <w:rsid w:val="001C3419"/>
    <w:rsid w:val="001C4759"/>
    <w:rsid w:val="001C4D54"/>
    <w:rsid w:val="001C5656"/>
    <w:rsid w:val="001C5AA4"/>
    <w:rsid w:val="001C67D4"/>
    <w:rsid w:val="001C6846"/>
    <w:rsid w:val="001C6883"/>
    <w:rsid w:val="001D02E1"/>
    <w:rsid w:val="001D0903"/>
    <w:rsid w:val="001D0C73"/>
    <w:rsid w:val="001D17AC"/>
    <w:rsid w:val="001D2665"/>
    <w:rsid w:val="001D28DC"/>
    <w:rsid w:val="001D2B80"/>
    <w:rsid w:val="001D2D35"/>
    <w:rsid w:val="001D2E4E"/>
    <w:rsid w:val="001D3A1D"/>
    <w:rsid w:val="001D49E8"/>
    <w:rsid w:val="001D5548"/>
    <w:rsid w:val="001D55A9"/>
    <w:rsid w:val="001D58BD"/>
    <w:rsid w:val="001D684C"/>
    <w:rsid w:val="001D709D"/>
    <w:rsid w:val="001E0A9C"/>
    <w:rsid w:val="001E0D0B"/>
    <w:rsid w:val="001E1149"/>
    <w:rsid w:val="001E1901"/>
    <w:rsid w:val="001E36D5"/>
    <w:rsid w:val="001E42CC"/>
    <w:rsid w:val="001E4F55"/>
    <w:rsid w:val="001E5372"/>
    <w:rsid w:val="001E5697"/>
    <w:rsid w:val="001E6198"/>
    <w:rsid w:val="001E78BD"/>
    <w:rsid w:val="001F00F0"/>
    <w:rsid w:val="001F04DE"/>
    <w:rsid w:val="001F062E"/>
    <w:rsid w:val="001F0ABF"/>
    <w:rsid w:val="001F14B0"/>
    <w:rsid w:val="001F20AF"/>
    <w:rsid w:val="001F2626"/>
    <w:rsid w:val="001F321B"/>
    <w:rsid w:val="001F3646"/>
    <w:rsid w:val="001F3E68"/>
    <w:rsid w:val="001F4A3E"/>
    <w:rsid w:val="001F4E50"/>
    <w:rsid w:val="001F4FE4"/>
    <w:rsid w:val="001F5722"/>
    <w:rsid w:val="001F5970"/>
    <w:rsid w:val="001F59E2"/>
    <w:rsid w:val="001F5D34"/>
    <w:rsid w:val="001F626D"/>
    <w:rsid w:val="001F66E3"/>
    <w:rsid w:val="001F6A20"/>
    <w:rsid w:val="001F6A9C"/>
    <w:rsid w:val="001F70B6"/>
    <w:rsid w:val="001F739C"/>
    <w:rsid w:val="001F7711"/>
    <w:rsid w:val="001F7D34"/>
    <w:rsid w:val="00200755"/>
    <w:rsid w:val="002021DE"/>
    <w:rsid w:val="00203316"/>
    <w:rsid w:val="0020419A"/>
    <w:rsid w:val="002041E9"/>
    <w:rsid w:val="00204574"/>
    <w:rsid w:val="00204F32"/>
    <w:rsid w:val="0020508E"/>
    <w:rsid w:val="00206A7F"/>
    <w:rsid w:val="0020711A"/>
    <w:rsid w:val="00207730"/>
    <w:rsid w:val="0021180E"/>
    <w:rsid w:val="00211ECD"/>
    <w:rsid w:val="0021213E"/>
    <w:rsid w:val="00212223"/>
    <w:rsid w:val="002125D5"/>
    <w:rsid w:val="00212714"/>
    <w:rsid w:val="00212E56"/>
    <w:rsid w:val="00213786"/>
    <w:rsid w:val="00213EC2"/>
    <w:rsid w:val="00214439"/>
    <w:rsid w:val="00214D50"/>
    <w:rsid w:val="002163AF"/>
    <w:rsid w:val="002164DC"/>
    <w:rsid w:val="002166B3"/>
    <w:rsid w:val="00216E7C"/>
    <w:rsid w:val="00217334"/>
    <w:rsid w:val="0021759B"/>
    <w:rsid w:val="00221FC5"/>
    <w:rsid w:val="00222682"/>
    <w:rsid w:val="002226A1"/>
    <w:rsid w:val="00222815"/>
    <w:rsid w:val="00222831"/>
    <w:rsid w:val="00223178"/>
    <w:rsid w:val="0022318C"/>
    <w:rsid w:val="00223808"/>
    <w:rsid w:val="0022467F"/>
    <w:rsid w:val="00225685"/>
    <w:rsid w:val="00226A52"/>
    <w:rsid w:val="00226BE3"/>
    <w:rsid w:val="00226CEA"/>
    <w:rsid w:val="00227B1B"/>
    <w:rsid w:val="0023094A"/>
    <w:rsid w:val="00232556"/>
    <w:rsid w:val="00232AF5"/>
    <w:rsid w:val="00233531"/>
    <w:rsid w:val="00234907"/>
    <w:rsid w:val="00235C3E"/>
    <w:rsid w:val="002364B4"/>
    <w:rsid w:val="0023661B"/>
    <w:rsid w:val="00236927"/>
    <w:rsid w:val="002375C4"/>
    <w:rsid w:val="0024028E"/>
    <w:rsid w:val="00241A46"/>
    <w:rsid w:val="002431B9"/>
    <w:rsid w:val="002436BE"/>
    <w:rsid w:val="00243AE1"/>
    <w:rsid w:val="00243C83"/>
    <w:rsid w:val="00245732"/>
    <w:rsid w:val="00245913"/>
    <w:rsid w:val="00245992"/>
    <w:rsid w:val="00246518"/>
    <w:rsid w:val="002478EF"/>
    <w:rsid w:val="00247A3B"/>
    <w:rsid w:val="002502C2"/>
    <w:rsid w:val="00251ABE"/>
    <w:rsid w:val="0025208F"/>
    <w:rsid w:val="0025259C"/>
    <w:rsid w:val="00252BB9"/>
    <w:rsid w:val="0025312C"/>
    <w:rsid w:val="00253166"/>
    <w:rsid w:val="002534E9"/>
    <w:rsid w:val="00253D9F"/>
    <w:rsid w:val="00254965"/>
    <w:rsid w:val="00254CC9"/>
    <w:rsid w:val="00254D8A"/>
    <w:rsid w:val="00255396"/>
    <w:rsid w:val="00256232"/>
    <w:rsid w:val="00256A6D"/>
    <w:rsid w:val="00256C03"/>
    <w:rsid w:val="00256F31"/>
    <w:rsid w:val="00256FBC"/>
    <w:rsid w:val="00257385"/>
    <w:rsid w:val="00260173"/>
    <w:rsid w:val="00260D98"/>
    <w:rsid w:val="002613C1"/>
    <w:rsid w:val="002613F5"/>
    <w:rsid w:val="0026141F"/>
    <w:rsid w:val="00261ED7"/>
    <w:rsid w:val="002620C4"/>
    <w:rsid w:val="00262122"/>
    <w:rsid w:val="00262237"/>
    <w:rsid w:val="0026337D"/>
    <w:rsid w:val="002634E1"/>
    <w:rsid w:val="002636A0"/>
    <w:rsid w:val="00263D54"/>
    <w:rsid w:val="0026440A"/>
    <w:rsid w:val="00264457"/>
    <w:rsid w:val="00265566"/>
    <w:rsid w:val="00265CFD"/>
    <w:rsid w:val="00265F28"/>
    <w:rsid w:val="00266110"/>
    <w:rsid w:val="00266330"/>
    <w:rsid w:val="00266633"/>
    <w:rsid w:val="00267202"/>
    <w:rsid w:val="00267298"/>
    <w:rsid w:val="002672A0"/>
    <w:rsid w:val="0026748C"/>
    <w:rsid w:val="00267B6E"/>
    <w:rsid w:val="00267DAE"/>
    <w:rsid w:val="00270823"/>
    <w:rsid w:val="00270AD9"/>
    <w:rsid w:val="00270B31"/>
    <w:rsid w:val="00271743"/>
    <w:rsid w:val="00271D22"/>
    <w:rsid w:val="0027263B"/>
    <w:rsid w:val="00272727"/>
    <w:rsid w:val="00272D28"/>
    <w:rsid w:val="0027471B"/>
    <w:rsid w:val="002751C2"/>
    <w:rsid w:val="00275256"/>
    <w:rsid w:val="00276077"/>
    <w:rsid w:val="00277499"/>
    <w:rsid w:val="002775FC"/>
    <w:rsid w:val="00280072"/>
    <w:rsid w:val="0028098C"/>
    <w:rsid w:val="00281D6D"/>
    <w:rsid w:val="002821C5"/>
    <w:rsid w:val="0028239A"/>
    <w:rsid w:val="00282A92"/>
    <w:rsid w:val="002830E2"/>
    <w:rsid w:val="002836F5"/>
    <w:rsid w:val="00283A6B"/>
    <w:rsid w:val="00283FD0"/>
    <w:rsid w:val="0028485A"/>
    <w:rsid w:val="0028651B"/>
    <w:rsid w:val="00287AFB"/>
    <w:rsid w:val="00287EC1"/>
    <w:rsid w:val="00290113"/>
    <w:rsid w:val="002904C7"/>
    <w:rsid w:val="002915B7"/>
    <w:rsid w:val="00291C4B"/>
    <w:rsid w:val="00292082"/>
    <w:rsid w:val="0029227A"/>
    <w:rsid w:val="00292381"/>
    <w:rsid w:val="00292CDC"/>
    <w:rsid w:val="00293863"/>
    <w:rsid w:val="002941A3"/>
    <w:rsid w:val="00294426"/>
    <w:rsid w:val="00295A6D"/>
    <w:rsid w:val="00295DF0"/>
    <w:rsid w:val="00296645"/>
    <w:rsid w:val="00296E08"/>
    <w:rsid w:val="00297250"/>
    <w:rsid w:val="00297C0B"/>
    <w:rsid w:val="002A0DFB"/>
    <w:rsid w:val="002A0E3C"/>
    <w:rsid w:val="002A1005"/>
    <w:rsid w:val="002A1529"/>
    <w:rsid w:val="002A1584"/>
    <w:rsid w:val="002A18ED"/>
    <w:rsid w:val="002A1C56"/>
    <w:rsid w:val="002A1D28"/>
    <w:rsid w:val="002A1FD6"/>
    <w:rsid w:val="002A22AF"/>
    <w:rsid w:val="002A29D2"/>
    <w:rsid w:val="002A2E36"/>
    <w:rsid w:val="002A321D"/>
    <w:rsid w:val="002A36CF"/>
    <w:rsid w:val="002A4737"/>
    <w:rsid w:val="002A53E5"/>
    <w:rsid w:val="002A5852"/>
    <w:rsid w:val="002A5928"/>
    <w:rsid w:val="002A62C3"/>
    <w:rsid w:val="002A7486"/>
    <w:rsid w:val="002A766A"/>
    <w:rsid w:val="002A7C02"/>
    <w:rsid w:val="002A7E1E"/>
    <w:rsid w:val="002A7E5D"/>
    <w:rsid w:val="002B0A53"/>
    <w:rsid w:val="002B0B7B"/>
    <w:rsid w:val="002B10FB"/>
    <w:rsid w:val="002B15A7"/>
    <w:rsid w:val="002B15E6"/>
    <w:rsid w:val="002B2652"/>
    <w:rsid w:val="002B2EC5"/>
    <w:rsid w:val="002B3D5B"/>
    <w:rsid w:val="002B43BB"/>
    <w:rsid w:val="002B4B64"/>
    <w:rsid w:val="002B51C3"/>
    <w:rsid w:val="002B7130"/>
    <w:rsid w:val="002B74FD"/>
    <w:rsid w:val="002B7509"/>
    <w:rsid w:val="002B799E"/>
    <w:rsid w:val="002B79DC"/>
    <w:rsid w:val="002B7C12"/>
    <w:rsid w:val="002B7F41"/>
    <w:rsid w:val="002C03DA"/>
    <w:rsid w:val="002C0743"/>
    <w:rsid w:val="002C0BC4"/>
    <w:rsid w:val="002C0E6A"/>
    <w:rsid w:val="002C10D7"/>
    <w:rsid w:val="002C18A0"/>
    <w:rsid w:val="002C1D2E"/>
    <w:rsid w:val="002C211A"/>
    <w:rsid w:val="002C2298"/>
    <w:rsid w:val="002C26D4"/>
    <w:rsid w:val="002C2BED"/>
    <w:rsid w:val="002C3101"/>
    <w:rsid w:val="002C366D"/>
    <w:rsid w:val="002C4A48"/>
    <w:rsid w:val="002C5954"/>
    <w:rsid w:val="002C5F58"/>
    <w:rsid w:val="002C6A1C"/>
    <w:rsid w:val="002C768B"/>
    <w:rsid w:val="002C7768"/>
    <w:rsid w:val="002C79A8"/>
    <w:rsid w:val="002C7EF2"/>
    <w:rsid w:val="002D112B"/>
    <w:rsid w:val="002D2100"/>
    <w:rsid w:val="002D235E"/>
    <w:rsid w:val="002D260C"/>
    <w:rsid w:val="002D2970"/>
    <w:rsid w:val="002D3518"/>
    <w:rsid w:val="002D3C52"/>
    <w:rsid w:val="002D3E22"/>
    <w:rsid w:val="002D54C7"/>
    <w:rsid w:val="002D56C5"/>
    <w:rsid w:val="002D5AAA"/>
    <w:rsid w:val="002D5F99"/>
    <w:rsid w:val="002D6616"/>
    <w:rsid w:val="002D6FC3"/>
    <w:rsid w:val="002D79AA"/>
    <w:rsid w:val="002E02C4"/>
    <w:rsid w:val="002E0AD7"/>
    <w:rsid w:val="002E1871"/>
    <w:rsid w:val="002E238A"/>
    <w:rsid w:val="002E3AEC"/>
    <w:rsid w:val="002E3CF2"/>
    <w:rsid w:val="002E5787"/>
    <w:rsid w:val="002E5849"/>
    <w:rsid w:val="002E5ABF"/>
    <w:rsid w:val="002E5BEC"/>
    <w:rsid w:val="002E69E2"/>
    <w:rsid w:val="002E6F5B"/>
    <w:rsid w:val="002E710F"/>
    <w:rsid w:val="002E7320"/>
    <w:rsid w:val="002E78A3"/>
    <w:rsid w:val="002F08CD"/>
    <w:rsid w:val="002F1287"/>
    <w:rsid w:val="002F142C"/>
    <w:rsid w:val="002F1D60"/>
    <w:rsid w:val="002F2752"/>
    <w:rsid w:val="002F3EA6"/>
    <w:rsid w:val="002F566C"/>
    <w:rsid w:val="002F56E4"/>
    <w:rsid w:val="002F5CBB"/>
    <w:rsid w:val="002F5E45"/>
    <w:rsid w:val="002F5E6A"/>
    <w:rsid w:val="002F61B2"/>
    <w:rsid w:val="002F68CD"/>
    <w:rsid w:val="002F6AEC"/>
    <w:rsid w:val="002F7AAE"/>
    <w:rsid w:val="0030061A"/>
    <w:rsid w:val="00300726"/>
    <w:rsid w:val="00301913"/>
    <w:rsid w:val="0030196C"/>
    <w:rsid w:val="00301C04"/>
    <w:rsid w:val="00302717"/>
    <w:rsid w:val="003043BE"/>
    <w:rsid w:val="00304900"/>
    <w:rsid w:val="00304BFF"/>
    <w:rsid w:val="00306F45"/>
    <w:rsid w:val="00307232"/>
    <w:rsid w:val="00307703"/>
    <w:rsid w:val="00307E20"/>
    <w:rsid w:val="00311292"/>
    <w:rsid w:val="0031260C"/>
    <w:rsid w:val="00312C75"/>
    <w:rsid w:val="00312DA6"/>
    <w:rsid w:val="00312EAF"/>
    <w:rsid w:val="00313590"/>
    <w:rsid w:val="00313C10"/>
    <w:rsid w:val="00313E26"/>
    <w:rsid w:val="00314363"/>
    <w:rsid w:val="00314E25"/>
    <w:rsid w:val="00315331"/>
    <w:rsid w:val="00315FDD"/>
    <w:rsid w:val="003203B5"/>
    <w:rsid w:val="00320A30"/>
    <w:rsid w:val="00321109"/>
    <w:rsid w:val="00322586"/>
    <w:rsid w:val="0032273E"/>
    <w:rsid w:val="00322F37"/>
    <w:rsid w:val="0032393A"/>
    <w:rsid w:val="00323DD3"/>
    <w:rsid w:val="00324379"/>
    <w:rsid w:val="003243FF"/>
    <w:rsid w:val="0032457C"/>
    <w:rsid w:val="0032474D"/>
    <w:rsid w:val="003249B9"/>
    <w:rsid w:val="00325F2B"/>
    <w:rsid w:val="00326439"/>
    <w:rsid w:val="0032654E"/>
    <w:rsid w:val="00326669"/>
    <w:rsid w:val="003266B8"/>
    <w:rsid w:val="00326988"/>
    <w:rsid w:val="00326D4A"/>
    <w:rsid w:val="00326F79"/>
    <w:rsid w:val="00327D2D"/>
    <w:rsid w:val="0033159D"/>
    <w:rsid w:val="0033192D"/>
    <w:rsid w:val="003325C2"/>
    <w:rsid w:val="00333CD8"/>
    <w:rsid w:val="00335081"/>
    <w:rsid w:val="00335AA7"/>
    <w:rsid w:val="0033609D"/>
    <w:rsid w:val="00337515"/>
    <w:rsid w:val="00337BE3"/>
    <w:rsid w:val="003407DA"/>
    <w:rsid w:val="00342196"/>
    <w:rsid w:val="003423DE"/>
    <w:rsid w:val="00343199"/>
    <w:rsid w:val="00344737"/>
    <w:rsid w:val="00345C8E"/>
    <w:rsid w:val="00345CF9"/>
    <w:rsid w:val="00345EE0"/>
    <w:rsid w:val="00346706"/>
    <w:rsid w:val="00346987"/>
    <w:rsid w:val="00350036"/>
    <w:rsid w:val="0035142B"/>
    <w:rsid w:val="003514ED"/>
    <w:rsid w:val="00351C1F"/>
    <w:rsid w:val="00351E1C"/>
    <w:rsid w:val="00352106"/>
    <w:rsid w:val="0035217E"/>
    <w:rsid w:val="003525DA"/>
    <w:rsid w:val="00352758"/>
    <w:rsid w:val="00352D33"/>
    <w:rsid w:val="00353CB2"/>
    <w:rsid w:val="003541C4"/>
    <w:rsid w:val="00354591"/>
    <w:rsid w:val="00354A18"/>
    <w:rsid w:val="00354E92"/>
    <w:rsid w:val="003550EA"/>
    <w:rsid w:val="003559FA"/>
    <w:rsid w:val="00355D56"/>
    <w:rsid w:val="00357814"/>
    <w:rsid w:val="00357B74"/>
    <w:rsid w:val="00360176"/>
    <w:rsid w:val="00360556"/>
    <w:rsid w:val="00360720"/>
    <w:rsid w:val="0036132C"/>
    <w:rsid w:val="00362325"/>
    <w:rsid w:val="00362A0D"/>
    <w:rsid w:val="0036400D"/>
    <w:rsid w:val="003658EF"/>
    <w:rsid w:val="00365FDC"/>
    <w:rsid w:val="003661DE"/>
    <w:rsid w:val="003670AA"/>
    <w:rsid w:val="00367BF2"/>
    <w:rsid w:val="00370A60"/>
    <w:rsid w:val="00370B08"/>
    <w:rsid w:val="00370D7E"/>
    <w:rsid w:val="003713F9"/>
    <w:rsid w:val="003719C4"/>
    <w:rsid w:val="00371D19"/>
    <w:rsid w:val="003724EE"/>
    <w:rsid w:val="00373C93"/>
    <w:rsid w:val="00374E6D"/>
    <w:rsid w:val="0037636A"/>
    <w:rsid w:val="00376AC0"/>
    <w:rsid w:val="00377971"/>
    <w:rsid w:val="003803FA"/>
    <w:rsid w:val="00380461"/>
    <w:rsid w:val="003812CC"/>
    <w:rsid w:val="00381490"/>
    <w:rsid w:val="00381936"/>
    <w:rsid w:val="003827AF"/>
    <w:rsid w:val="00384704"/>
    <w:rsid w:val="0038490E"/>
    <w:rsid w:val="003849A2"/>
    <w:rsid w:val="00385E59"/>
    <w:rsid w:val="003863D3"/>
    <w:rsid w:val="003863F6"/>
    <w:rsid w:val="00386E22"/>
    <w:rsid w:val="00387270"/>
    <w:rsid w:val="00390465"/>
    <w:rsid w:val="0039097A"/>
    <w:rsid w:val="00391350"/>
    <w:rsid w:val="003917E1"/>
    <w:rsid w:val="00393479"/>
    <w:rsid w:val="003937BF"/>
    <w:rsid w:val="003938B0"/>
    <w:rsid w:val="00394384"/>
    <w:rsid w:val="003945C0"/>
    <w:rsid w:val="00394F5D"/>
    <w:rsid w:val="00395232"/>
    <w:rsid w:val="003953F7"/>
    <w:rsid w:val="003960C1"/>
    <w:rsid w:val="003972B5"/>
    <w:rsid w:val="003A0725"/>
    <w:rsid w:val="003A0E00"/>
    <w:rsid w:val="003A1290"/>
    <w:rsid w:val="003A18CF"/>
    <w:rsid w:val="003A3105"/>
    <w:rsid w:val="003A32A5"/>
    <w:rsid w:val="003A35D3"/>
    <w:rsid w:val="003A3FB3"/>
    <w:rsid w:val="003A3FCF"/>
    <w:rsid w:val="003A4987"/>
    <w:rsid w:val="003A4FD0"/>
    <w:rsid w:val="003A50A2"/>
    <w:rsid w:val="003A5110"/>
    <w:rsid w:val="003A5245"/>
    <w:rsid w:val="003A52E9"/>
    <w:rsid w:val="003A5304"/>
    <w:rsid w:val="003A5AEB"/>
    <w:rsid w:val="003A60E0"/>
    <w:rsid w:val="003A6EC4"/>
    <w:rsid w:val="003A70BA"/>
    <w:rsid w:val="003A7ECC"/>
    <w:rsid w:val="003B092A"/>
    <w:rsid w:val="003B0AF2"/>
    <w:rsid w:val="003B0B34"/>
    <w:rsid w:val="003B0EDF"/>
    <w:rsid w:val="003B12AD"/>
    <w:rsid w:val="003B220F"/>
    <w:rsid w:val="003B27AF"/>
    <w:rsid w:val="003B330D"/>
    <w:rsid w:val="003B3593"/>
    <w:rsid w:val="003B3AA3"/>
    <w:rsid w:val="003B3D47"/>
    <w:rsid w:val="003B3D78"/>
    <w:rsid w:val="003B478B"/>
    <w:rsid w:val="003B570F"/>
    <w:rsid w:val="003B6387"/>
    <w:rsid w:val="003B6E43"/>
    <w:rsid w:val="003B7237"/>
    <w:rsid w:val="003C096D"/>
    <w:rsid w:val="003C0E95"/>
    <w:rsid w:val="003C1028"/>
    <w:rsid w:val="003C1653"/>
    <w:rsid w:val="003C205E"/>
    <w:rsid w:val="003C210F"/>
    <w:rsid w:val="003C2158"/>
    <w:rsid w:val="003C2208"/>
    <w:rsid w:val="003C282E"/>
    <w:rsid w:val="003C2924"/>
    <w:rsid w:val="003C2D1C"/>
    <w:rsid w:val="003C2DFE"/>
    <w:rsid w:val="003C3114"/>
    <w:rsid w:val="003C4254"/>
    <w:rsid w:val="003C4632"/>
    <w:rsid w:val="003C4945"/>
    <w:rsid w:val="003C50AE"/>
    <w:rsid w:val="003C6758"/>
    <w:rsid w:val="003C79A0"/>
    <w:rsid w:val="003D0AF3"/>
    <w:rsid w:val="003D0B54"/>
    <w:rsid w:val="003D25F5"/>
    <w:rsid w:val="003D27CC"/>
    <w:rsid w:val="003D435F"/>
    <w:rsid w:val="003D554F"/>
    <w:rsid w:val="003D5D63"/>
    <w:rsid w:val="003D6A47"/>
    <w:rsid w:val="003D6DF2"/>
    <w:rsid w:val="003D703A"/>
    <w:rsid w:val="003D7146"/>
    <w:rsid w:val="003D748A"/>
    <w:rsid w:val="003D76D8"/>
    <w:rsid w:val="003D7D3E"/>
    <w:rsid w:val="003E04DE"/>
    <w:rsid w:val="003E0E01"/>
    <w:rsid w:val="003E0E9C"/>
    <w:rsid w:val="003E1044"/>
    <w:rsid w:val="003E168D"/>
    <w:rsid w:val="003E1CA9"/>
    <w:rsid w:val="003E22C4"/>
    <w:rsid w:val="003E3A1D"/>
    <w:rsid w:val="003E470E"/>
    <w:rsid w:val="003E4DD3"/>
    <w:rsid w:val="003E657B"/>
    <w:rsid w:val="003E7065"/>
    <w:rsid w:val="003E7485"/>
    <w:rsid w:val="003E7507"/>
    <w:rsid w:val="003E7CE2"/>
    <w:rsid w:val="003F0597"/>
    <w:rsid w:val="003F062E"/>
    <w:rsid w:val="003F107C"/>
    <w:rsid w:val="003F18F7"/>
    <w:rsid w:val="003F1E9D"/>
    <w:rsid w:val="003F2957"/>
    <w:rsid w:val="003F362B"/>
    <w:rsid w:val="003F3656"/>
    <w:rsid w:val="003F3B02"/>
    <w:rsid w:val="003F3BF4"/>
    <w:rsid w:val="003F3FAF"/>
    <w:rsid w:val="003F670D"/>
    <w:rsid w:val="003F7B32"/>
    <w:rsid w:val="00400110"/>
    <w:rsid w:val="00400526"/>
    <w:rsid w:val="00400983"/>
    <w:rsid w:val="00401990"/>
    <w:rsid w:val="00403ED5"/>
    <w:rsid w:val="0040459B"/>
    <w:rsid w:val="00404C21"/>
    <w:rsid w:val="00405294"/>
    <w:rsid w:val="004054B1"/>
    <w:rsid w:val="00405940"/>
    <w:rsid w:val="00405B58"/>
    <w:rsid w:val="00406A51"/>
    <w:rsid w:val="004074DD"/>
    <w:rsid w:val="00407696"/>
    <w:rsid w:val="004105E0"/>
    <w:rsid w:val="0041160A"/>
    <w:rsid w:val="00411F68"/>
    <w:rsid w:val="00412740"/>
    <w:rsid w:val="00412CF2"/>
    <w:rsid w:val="00413F4D"/>
    <w:rsid w:val="0041457A"/>
    <w:rsid w:val="004153FC"/>
    <w:rsid w:val="004158F0"/>
    <w:rsid w:val="00416547"/>
    <w:rsid w:val="004166F7"/>
    <w:rsid w:val="00416870"/>
    <w:rsid w:val="00417308"/>
    <w:rsid w:val="0041772A"/>
    <w:rsid w:val="0041779B"/>
    <w:rsid w:val="0042017B"/>
    <w:rsid w:val="004208F0"/>
    <w:rsid w:val="00420913"/>
    <w:rsid w:val="00420B43"/>
    <w:rsid w:val="00420D3C"/>
    <w:rsid w:val="004211F6"/>
    <w:rsid w:val="00421A81"/>
    <w:rsid w:val="00422883"/>
    <w:rsid w:val="00422ACC"/>
    <w:rsid w:val="00424BD9"/>
    <w:rsid w:val="00424E25"/>
    <w:rsid w:val="0042529A"/>
    <w:rsid w:val="00425D46"/>
    <w:rsid w:val="00426845"/>
    <w:rsid w:val="00427219"/>
    <w:rsid w:val="004274C1"/>
    <w:rsid w:val="00427977"/>
    <w:rsid w:val="00427B82"/>
    <w:rsid w:val="00430234"/>
    <w:rsid w:val="00431767"/>
    <w:rsid w:val="00431E4B"/>
    <w:rsid w:val="0043207F"/>
    <w:rsid w:val="0043296A"/>
    <w:rsid w:val="00433CB2"/>
    <w:rsid w:val="00434700"/>
    <w:rsid w:val="00434E44"/>
    <w:rsid w:val="00434E64"/>
    <w:rsid w:val="00435604"/>
    <w:rsid w:val="00435631"/>
    <w:rsid w:val="00435C79"/>
    <w:rsid w:val="004367EF"/>
    <w:rsid w:val="0043688A"/>
    <w:rsid w:val="00436A48"/>
    <w:rsid w:val="00436F71"/>
    <w:rsid w:val="0043785F"/>
    <w:rsid w:val="00437CA2"/>
    <w:rsid w:val="0044099F"/>
    <w:rsid w:val="004409C3"/>
    <w:rsid w:val="00440B2D"/>
    <w:rsid w:val="00440D16"/>
    <w:rsid w:val="004421AE"/>
    <w:rsid w:val="004421E3"/>
    <w:rsid w:val="004430BB"/>
    <w:rsid w:val="0044331B"/>
    <w:rsid w:val="00443831"/>
    <w:rsid w:val="004442BE"/>
    <w:rsid w:val="00445B5E"/>
    <w:rsid w:val="004468AE"/>
    <w:rsid w:val="00446911"/>
    <w:rsid w:val="00446EA3"/>
    <w:rsid w:val="00450343"/>
    <w:rsid w:val="00450950"/>
    <w:rsid w:val="00450EFF"/>
    <w:rsid w:val="00451043"/>
    <w:rsid w:val="00451104"/>
    <w:rsid w:val="00451534"/>
    <w:rsid w:val="00452F6C"/>
    <w:rsid w:val="004535E1"/>
    <w:rsid w:val="00454144"/>
    <w:rsid w:val="0045422F"/>
    <w:rsid w:val="0045433C"/>
    <w:rsid w:val="0045471C"/>
    <w:rsid w:val="0045473B"/>
    <w:rsid w:val="00457115"/>
    <w:rsid w:val="00460705"/>
    <w:rsid w:val="00460A24"/>
    <w:rsid w:val="00460BC9"/>
    <w:rsid w:val="0046151F"/>
    <w:rsid w:val="00462AA7"/>
    <w:rsid w:val="00463AB6"/>
    <w:rsid w:val="00464052"/>
    <w:rsid w:val="00464102"/>
    <w:rsid w:val="00465799"/>
    <w:rsid w:val="0046586B"/>
    <w:rsid w:val="004660F5"/>
    <w:rsid w:val="0046675F"/>
    <w:rsid w:val="004674F7"/>
    <w:rsid w:val="00470219"/>
    <w:rsid w:val="00470256"/>
    <w:rsid w:val="004704F9"/>
    <w:rsid w:val="00470847"/>
    <w:rsid w:val="004708C0"/>
    <w:rsid w:val="00471039"/>
    <w:rsid w:val="00471447"/>
    <w:rsid w:val="00471B70"/>
    <w:rsid w:val="00471D1D"/>
    <w:rsid w:val="00471D33"/>
    <w:rsid w:val="0047220A"/>
    <w:rsid w:val="004726C0"/>
    <w:rsid w:val="0047271F"/>
    <w:rsid w:val="004728D6"/>
    <w:rsid w:val="00472EDA"/>
    <w:rsid w:val="004732C6"/>
    <w:rsid w:val="00473ED5"/>
    <w:rsid w:val="004744E1"/>
    <w:rsid w:val="00474682"/>
    <w:rsid w:val="004758DE"/>
    <w:rsid w:val="00475AE3"/>
    <w:rsid w:val="00475F4B"/>
    <w:rsid w:val="004769C3"/>
    <w:rsid w:val="00477159"/>
    <w:rsid w:val="00477B88"/>
    <w:rsid w:val="00480253"/>
    <w:rsid w:val="004805D6"/>
    <w:rsid w:val="00480B8A"/>
    <w:rsid w:val="00481C22"/>
    <w:rsid w:val="004825A3"/>
    <w:rsid w:val="00482DFE"/>
    <w:rsid w:val="004834BC"/>
    <w:rsid w:val="00484AD3"/>
    <w:rsid w:val="004851EA"/>
    <w:rsid w:val="0048573D"/>
    <w:rsid w:val="00485A63"/>
    <w:rsid w:val="004868DB"/>
    <w:rsid w:val="00486BF3"/>
    <w:rsid w:val="004872D2"/>
    <w:rsid w:val="00487AE4"/>
    <w:rsid w:val="00490B11"/>
    <w:rsid w:val="00490B1D"/>
    <w:rsid w:val="00490E21"/>
    <w:rsid w:val="00491AFA"/>
    <w:rsid w:val="00491FB6"/>
    <w:rsid w:val="004931A3"/>
    <w:rsid w:val="00493412"/>
    <w:rsid w:val="00493C3D"/>
    <w:rsid w:val="00495348"/>
    <w:rsid w:val="0049640D"/>
    <w:rsid w:val="00497168"/>
    <w:rsid w:val="004972DE"/>
    <w:rsid w:val="004972E4"/>
    <w:rsid w:val="00497732"/>
    <w:rsid w:val="00497984"/>
    <w:rsid w:val="00497C57"/>
    <w:rsid w:val="00497D4F"/>
    <w:rsid w:val="004A02DC"/>
    <w:rsid w:val="004A0C09"/>
    <w:rsid w:val="004A126D"/>
    <w:rsid w:val="004A2333"/>
    <w:rsid w:val="004A29E4"/>
    <w:rsid w:val="004A32F1"/>
    <w:rsid w:val="004A33E9"/>
    <w:rsid w:val="004A371F"/>
    <w:rsid w:val="004A3EA6"/>
    <w:rsid w:val="004A3ECA"/>
    <w:rsid w:val="004A4BF6"/>
    <w:rsid w:val="004A5001"/>
    <w:rsid w:val="004A590B"/>
    <w:rsid w:val="004A5D5B"/>
    <w:rsid w:val="004A69AD"/>
    <w:rsid w:val="004A6D0D"/>
    <w:rsid w:val="004B04C6"/>
    <w:rsid w:val="004B08D3"/>
    <w:rsid w:val="004B1613"/>
    <w:rsid w:val="004B2572"/>
    <w:rsid w:val="004B2685"/>
    <w:rsid w:val="004B35F7"/>
    <w:rsid w:val="004B3D4B"/>
    <w:rsid w:val="004B3E3D"/>
    <w:rsid w:val="004B4273"/>
    <w:rsid w:val="004B4E32"/>
    <w:rsid w:val="004B5321"/>
    <w:rsid w:val="004B5383"/>
    <w:rsid w:val="004B64B5"/>
    <w:rsid w:val="004B7076"/>
    <w:rsid w:val="004B74AF"/>
    <w:rsid w:val="004C049D"/>
    <w:rsid w:val="004C1BAB"/>
    <w:rsid w:val="004C202B"/>
    <w:rsid w:val="004C21FA"/>
    <w:rsid w:val="004C26B8"/>
    <w:rsid w:val="004C26D2"/>
    <w:rsid w:val="004C4444"/>
    <w:rsid w:val="004C4CB2"/>
    <w:rsid w:val="004C4D5D"/>
    <w:rsid w:val="004C5F79"/>
    <w:rsid w:val="004C612A"/>
    <w:rsid w:val="004C62F7"/>
    <w:rsid w:val="004C637F"/>
    <w:rsid w:val="004C6EE9"/>
    <w:rsid w:val="004C722F"/>
    <w:rsid w:val="004C7237"/>
    <w:rsid w:val="004D03FA"/>
    <w:rsid w:val="004D07E5"/>
    <w:rsid w:val="004D14A8"/>
    <w:rsid w:val="004D2992"/>
    <w:rsid w:val="004D2BAF"/>
    <w:rsid w:val="004D2C10"/>
    <w:rsid w:val="004D3202"/>
    <w:rsid w:val="004D469E"/>
    <w:rsid w:val="004D4741"/>
    <w:rsid w:val="004D48A5"/>
    <w:rsid w:val="004D4B44"/>
    <w:rsid w:val="004D4E20"/>
    <w:rsid w:val="004D7FEA"/>
    <w:rsid w:val="004E08BE"/>
    <w:rsid w:val="004E0C6B"/>
    <w:rsid w:val="004E0D06"/>
    <w:rsid w:val="004E183B"/>
    <w:rsid w:val="004E1C62"/>
    <w:rsid w:val="004E2497"/>
    <w:rsid w:val="004E24BC"/>
    <w:rsid w:val="004E2DFB"/>
    <w:rsid w:val="004E3363"/>
    <w:rsid w:val="004E3D51"/>
    <w:rsid w:val="004E3F63"/>
    <w:rsid w:val="004E4F5A"/>
    <w:rsid w:val="004E5131"/>
    <w:rsid w:val="004E5520"/>
    <w:rsid w:val="004E55BA"/>
    <w:rsid w:val="004E565E"/>
    <w:rsid w:val="004E67DD"/>
    <w:rsid w:val="004E7840"/>
    <w:rsid w:val="004E791A"/>
    <w:rsid w:val="004E7B02"/>
    <w:rsid w:val="004F07EF"/>
    <w:rsid w:val="004F0AE6"/>
    <w:rsid w:val="004F0C24"/>
    <w:rsid w:val="004F16D1"/>
    <w:rsid w:val="004F18F6"/>
    <w:rsid w:val="004F1AD1"/>
    <w:rsid w:val="004F344E"/>
    <w:rsid w:val="004F370D"/>
    <w:rsid w:val="004F3CFC"/>
    <w:rsid w:val="004F42C1"/>
    <w:rsid w:val="004F4A05"/>
    <w:rsid w:val="004F52B4"/>
    <w:rsid w:val="004F59BE"/>
    <w:rsid w:val="004F5D8B"/>
    <w:rsid w:val="004F6318"/>
    <w:rsid w:val="004F63DF"/>
    <w:rsid w:val="004F6CAB"/>
    <w:rsid w:val="004F7887"/>
    <w:rsid w:val="004F79B7"/>
    <w:rsid w:val="005008CC"/>
    <w:rsid w:val="005010D2"/>
    <w:rsid w:val="005016B0"/>
    <w:rsid w:val="00501D0E"/>
    <w:rsid w:val="0050202E"/>
    <w:rsid w:val="00502774"/>
    <w:rsid w:val="00503B05"/>
    <w:rsid w:val="00503DFC"/>
    <w:rsid w:val="00503F34"/>
    <w:rsid w:val="005041F1"/>
    <w:rsid w:val="00504C1B"/>
    <w:rsid w:val="005063ED"/>
    <w:rsid w:val="0050642C"/>
    <w:rsid w:val="00506B0A"/>
    <w:rsid w:val="00506B3B"/>
    <w:rsid w:val="00506BF3"/>
    <w:rsid w:val="00506E8E"/>
    <w:rsid w:val="00507250"/>
    <w:rsid w:val="005076C2"/>
    <w:rsid w:val="00507FF6"/>
    <w:rsid w:val="00510671"/>
    <w:rsid w:val="00510B87"/>
    <w:rsid w:val="00511346"/>
    <w:rsid w:val="00511BC9"/>
    <w:rsid w:val="00511C57"/>
    <w:rsid w:val="0051274C"/>
    <w:rsid w:val="005128B6"/>
    <w:rsid w:val="00512E54"/>
    <w:rsid w:val="00513932"/>
    <w:rsid w:val="00513F5E"/>
    <w:rsid w:val="00514271"/>
    <w:rsid w:val="005148A3"/>
    <w:rsid w:val="00514F62"/>
    <w:rsid w:val="00515560"/>
    <w:rsid w:val="00516548"/>
    <w:rsid w:val="00517831"/>
    <w:rsid w:val="005203E1"/>
    <w:rsid w:val="005216FD"/>
    <w:rsid w:val="00522232"/>
    <w:rsid w:val="00522383"/>
    <w:rsid w:val="005228C3"/>
    <w:rsid w:val="0052315E"/>
    <w:rsid w:val="005231BF"/>
    <w:rsid w:val="005234AF"/>
    <w:rsid w:val="00525787"/>
    <w:rsid w:val="00525DF4"/>
    <w:rsid w:val="0052705D"/>
    <w:rsid w:val="005270A5"/>
    <w:rsid w:val="005271CF"/>
    <w:rsid w:val="00527651"/>
    <w:rsid w:val="00530D42"/>
    <w:rsid w:val="00530E86"/>
    <w:rsid w:val="00530E90"/>
    <w:rsid w:val="00531247"/>
    <w:rsid w:val="005314AC"/>
    <w:rsid w:val="00531A41"/>
    <w:rsid w:val="005325CC"/>
    <w:rsid w:val="005335C3"/>
    <w:rsid w:val="005346FE"/>
    <w:rsid w:val="00534965"/>
    <w:rsid w:val="00534ECB"/>
    <w:rsid w:val="005358B4"/>
    <w:rsid w:val="0054064D"/>
    <w:rsid w:val="005406FD"/>
    <w:rsid w:val="0054089B"/>
    <w:rsid w:val="00540AC5"/>
    <w:rsid w:val="00540BE7"/>
    <w:rsid w:val="005426C2"/>
    <w:rsid w:val="005429BE"/>
    <w:rsid w:val="00542A11"/>
    <w:rsid w:val="00545A36"/>
    <w:rsid w:val="00546559"/>
    <w:rsid w:val="005465E0"/>
    <w:rsid w:val="005467EB"/>
    <w:rsid w:val="00546AA5"/>
    <w:rsid w:val="00547601"/>
    <w:rsid w:val="00547BA0"/>
    <w:rsid w:val="0055015D"/>
    <w:rsid w:val="0055058D"/>
    <w:rsid w:val="00550895"/>
    <w:rsid w:val="00551FFF"/>
    <w:rsid w:val="00553EB0"/>
    <w:rsid w:val="0055426F"/>
    <w:rsid w:val="00554678"/>
    <w:rsid w:val="00555222"/>
    <w:rsid w:val="005559A8"/>
    <w:rsid w:val="00557809"/>
    <w:rsid w:val="00557C85"/>
    <w:rsid w:val="00560C19"/>
    <w:rsid w:val="00560ED1"/>
    <w:rsid w:val="00561B7D"/>
    <w:rsid w:val="00562D36"/>
    <w:rsid w:val="00562E23"/>
    <w:rsid w:val="00563170"/>
    <w:rsid w:val="00564F63"/>
    <w:rsid w:val="005655DD"/>
    <w:rsid w:val="00565E32"/>
    <w:rsid w:val="005665B1"/>
    <w:rsid w:val="0056722B"/>
    <w:rsid w:val="00567C21"/>
    <w:rsid w:val="00567CDC"/>
    <w:rsid w:val="00570837"/>
    <w:rsid w:val="00570BDD"/>
    <w:rsid w:val="00570C0E"/>
    <w:rsid w:val="00572558"/>
    <w:rsid w:val="00573060"/>
    <w:rsid w:val="00573821"/>
    <w:rsid w:val="0057388C"/>
    <w:rsid w:val="0057413F"/>
    <w:rsid w:val="00574A2F"/>
    <w:rsid w:val="00575E3A"/>
    <w:rsid w:val="0057657D"/>
    <w:rsid w:val="00576614"/>
    <w:rsid w:val="005768F3"/>
    <w:rsid w:val="00576E52"/>
    <w:rsid w:val="005776D2"/>
    <w:rsid w:val="00577957"/>
    <w:rsid w:val="00577C14"/>
    <w:rsid w:val="00580123"/>
    <w:rsid w:val="005802BF"/>
    <w:rsid w:val="0058095C"/>
    <w:rsid w:val="00580F2D"/>
    <w:rsid w:val="00581039"/>
    <w:rsid w:val="005814AC"/>
    <w:rsid w:val="00581D56"/>
    <w:rsid w:val="00581E19"/>
    <w:rsid w:val="00582246"/>
    <w:rsid w:val="00582436"/>
    <w:rsid w:val="0058309C"/>
    <w:rsid w:val="00584093"/>
    <w:rsid w:val="0058425B"/>
    <w:rsid w:val="00584758"/>
    <w:rsid w:val="00585AB6"/>
    <w:rsid w:val="00585AD7"/>
    <w:rsid w:val="00585C38"/>
    <w:rsid w:val="00585D17"/>
    <w:rsid w:val="00586018"/>
    <w:rsid w:val="00586FA1"/>
    <w:rsid w:val="0058707E"/>
    <w:rsid w:val="005879B7"/>
    <w:rsid w:val="005926A9"/>
    <w:rsid w:val="005926FE"/>
    <w:rsid w:val="00593133"/>
    <w:rsid w:val="00593A64"/>
    <w:rsid w:val="00593B3D"/>
    <w:rsid w:val="00593F1C"/>
    <w:rsid w:val="00594585"/>
    <w:rsid w:val="005950FE"/>
    <w:rsid w:val="00596CE0"/>
    <w:rsid w:val="00597509"/>
    <w:rsid w:val="00597CC7"/>
    <w:rsid w:val="005A0745"/>
    <w:rsid w:val="005A23B8"/>
    <w:rsid w:val="005A27B6"/>
    <w:rsid w:val="005A2E34"/>
    <w:rsid w:val="005A3212"/>
    <w:rsid w:val="005A3289"/>
    <w:rsid w:val="005A36A6"/>
    <w:rsid w:val="005A4372"/>
    <w:rsid w:val="005A4BB0"/>
    <w:rsid w:val="005A5697"/>
    <w:rsid w:val="005A5FB6"/>
    <w:rsid w:val="005A60A1"/>
    <w:rsid w:val="005A6369"/>
    <w:rsid w:val="005A6918"/>
    <w:rsid w:val="005A6B2B"/>
    <w:rsid w:val="005A6F1D"/>
    <w:rsid w:val="005A7C0B"/>
    <w:rsid w:val="005A7EB7"/>
    <w:rsid w:val="005B02B8"/>
    <w:rsid w:val="005B02E3"/>
    <w:rsid w:val="005B09C4"/>
    <w:rsid w:val="005B0A27"/>
    <w:rsid w:val="005B1014"/>
    <w:rsid w:val="005B1521"/>
    <w:rsid w:val="005B325E"/>
    <w:rsid w:val="005B33EC"/>
    <w:rsid w:val="005B445D"/>
    <w:rsid w:val="005B5097"/>
    <w:rsid w:val="005B6768"/>
    <w:rsid w:val="005B6912"/>
    <w:rsid w:val="005B6C42"/>
    <w:rsid w:val="005B6FD5"/>
    <w:rsid w:val="005B71BC"/>
    <w:rsid w:val="005B77A5"/>
    <w:rsid w:val="005B77E3"/>
    <w:rsid w:val="005C01F5"/>
    <w:rsid w:val="005C029D"/>
    <w:rsid w:val="005C1110"/>
    <w:rsid w:val="005C1739"/>
    <w:rsid w:val="005C2B41"/>
    <w:rsid w:val="005C2EDD"/>
    <w:rsid w:val="005C331A"/>
    <w:rsid w:val="005C33EA"/>
    <w:rsid w:val="005C3832"/>
    <w:rsid w:val="005C41EB"/>
    <w:rsid w:val="005C473B"/>
    <w:rsid w:val="005C595F"/>
    <w:rsid w:val="005C5BF2"/>
    <w:rsid w:val="005C68C9"/>
    <w:rsid w:val="005D0118"/>
    <w:rsid w:val="005D02B0"/>
    <w:rsid w:val="005D0483"/>
    <w:rsid w:val="005D0680"/>
    <w:rsid w:val="005D07D9"/>
    <w:rsid w:val="005D0F3E"/>
    <w:rsid w:val="005D1941"/>
    <w:rsid w:val="005D1BE9"/>
    <w:rsid w:val="005D238E"/>
    <w:rsid w:val="005D2895"/>
    <w:rsid w:val="005D3956"/>
    <w:rsid w:val="005D3CAB"/>
    <w:rsid w:val="005D3E5E"/>
    <w:rsid w:val="005D3EA9"/>
    <w:rsid w:val="005D44DC"/>
    <w:rsid w:val="005D466C"/>
    <w:rsid w:val="005D5B33"/>
    <w:rsid w:val="005D5DB2"/>
    <w:rsid w:val="005D63D7"/>
    <w:rsid w:val="005D6464"/>
    <w:rsid w:val="005D6C02"/>
    <w:rsid w:val="005D6FB7"/>
    <w:rsid w:val="005D733B"/>
    <w:rsid w:val="005D7830"/>
    <w:rsid w:val="005D7D69"/>
    <w:rsid w:val="005D7E3C"/>
    <w:rsid w:val="005E05A8"/>
    <w:rsid w:val="005E180C"/>
    <w:rsid w:val="005E1D4B"/>
    <w:rsid w:val="005E2168"/>
    <w:rsid w:val="005E22C7"/>
    <w:rsid w:val="005E2815"/>
    <w:rsid w:val="005E2EB3"/>
    <w:rsid w:val="005E3E9B"/>
    <w:rsid w:val="005E400D"/>
    <w:rsid w:val="005E4FD6"/>
    <w:rsid w:val="005E5415"/>
    <w:rsid w:val="005E59F9"/>
    <w:rsid w:val="005E5D06"/>
    <w:rsid w:val="005E5EBF"/>
    <w:rsid w:val="005E6632"/>
    <w:rsid w:val="005F01B6"/>
    <w:rsid w:val="005F0D2E"/>
    <w:rsid w:val="005F1F0E"/>
    <w:rsid w:val="005F1FC0"/>
    <w:rsid w:val="005F2467"/>
    <w:rsid w:val="005F2E1B"/>
    <w:rsid w:val="005F3BED"/>
    <w:rsid w:val="005F3E46"/>
    <w:rsid w:val="005F3E4D"/>
    <w:rsid w:val="005F4616"/>
    <w:rsid w:val="005F5357"/>
    <w:rsid w:val="005F5404"/>
    <w:rsid w:val="005F72D8"/>
    <w:rsid w:val="00600D77"/>
    <w:rsid w:val="00600D95"/>
    <w:rsid w:val="006013E0"/>
    <w:rsid w:val="00601474"/>
    <w:rsid w:val="006031AF"/>
    <w:rsid w:val="006041E2"/>
    <w:rsid w:val="006066F1"/>
    <w:rsid w:val="00606A68"/>
    <w:rsid w:val="00607796"/>
    <w:rsid w:val="006078F5"/>
    <w:rsid w:val="0061222E"/>
    <w:rsid w:val="006137C3"/>
    <w:rsid w:val="00613A81"/>
    <w:rsid w:val="00613B5D"/>
    <w:rsid w:val="00615041"/>
    <w:rsid w:val="0061649F"/>
    <w:rsid w:val="00616BA1"/>
    <w:rsid w:val="00616DE3"/>
    <w:rsid w:val="006170EF"/>
    <w:rsid w:val="00617A67"/>
    <w:rsid w:val="00617BEB"/>
    <w:rsid w:val="00621856"/>
    <w:rsid w:val="00622CF0"/>
    <w:rsid w:val="00623440"/>
    <w:rsid w:val="00623925"/>
    <w:rsid w:val="006240DA"/>
    <w:rsid w:val="00624689"/>
    <w:rsid w:val="00624CE0"/>
    <w:rsid w:val="00624EBB"/>
    <w:rsid w:val="00625499"/>
    <w:rsid w:val="00626C37"/>
    <w:rsid w:val="00626FDF"/>
    <w:rsid w:val="00627948"/>
    <w:rsid w:val="006279EF"/>
    <w:rsid w:val="00627C24"/>
    <w:rsid w:val="0063078B"/>
    <w:rsid w:val="00630D99"/>
    <w:rsid w:val="0063159E"/>
    <w:rsid w:val="00631648"/>
    <w:rsid w:val="006318E1"/>
    <w:rsid w:val="00631A6E"/>
    <w:rsid w:val="006332C7"/>
    <w:rsid w:val="00633518"/>
    <w:rsid w:val="00633DBA"/>
    <w:rsid w:val="00633F5E"/>
    <w:rsid w:val="00634247"/>
    <w:rsid w:val="0063428A"/>
    <w:rsid w:val="00634856"/>
    <w:rsid w:val="00634C05"/>
    <w:rsid w:val="00635858"/>
    <w:rsid w:val="00635BAA"/>
    <w:rsid w:val="00636540"/>
    <w:rsid w:val="00636DBD"/>
    <w:rsid w:val="00637056"/>
    <w:rsid w:val="0064120B"/>
    <w:rsid w:val="00641433"/>
    <w:rsid w:val="00641937"/>
    <w:rsid w:val="00642021"/>
    <w:rsid w:val="0064218D"/>
    <w:rsid w:val="00642A99"/>
    <w:rsid w:val="00642FBC"/>
    <w:rsid w:val="0064322F"/>
    <w:rsid w:val="00644E45"/>
    <w:rsid w:val="00645377"/>
    <w:rsid w:val="0064643D"/>
    <w:rsid w:val="00646954"/>
    <w:rsid w:val="006473DB"/>
    <w:rsid w:val="0064773C"/>
    <w:rsid w:val="00647784"/>
    <w:rsid w:val="00647BE8"/>
    <w:rsid w:val="0065045C"/>
    <w:rsid w:val="00651154"/>
    <w:rsid w:val="006514F8"/>
    <w:rsid w:val="00651A47"/>
    <w:rsid w:val="00652533"/>
    <w:rsid w:val="00652BA1"/>
    <w:rsid w:val="0065300A"/>
    <w:rsid w:val="0065327D"/>
    <w:rsid w:val="00653B2B"/>
    <w:rsid w:val="00653B79"/>
    <w:rsid w:val="00654BBD"/>
    <w:rsid w:val="006550AF"/>
    <w:rsid w:val="006551E0"/>
    <w:rsid w:val="006559CC"/>
    <w:rsid w:val="00655B47"/>
    <w:rsid w:val="00655B8C"/>
    <w:rsid w:val="006575AC"/>
    <w:rsid w:val="00657C7C"/>
    <w:rsid w:val="00657DDA"/>
    <w:rsid w:val="0066023F"/>
    <w:rsid w:val="0066027B"/>
    <w:rsid w:val="00660442"/>
    <w:rsid w:val="00660A7D"/>
    <w:rsid w:val="0066108F"/>
    <w:rsid w:val="00661441"/>
    <w:rsid w:val="0066175C"/>
    <w:rsid w:val="006617C3"/>
    <w:rsid w:val="00661962"/>
    <w:rsid w:val="00661A4E"/>
    <w:rsid w:val="006620AD"/>
    <w:rsid w:val="00663397"/>
    <w:rsid w:val="00663FAD"/>
    <w:rsid w:val="006656A6"/>
    <w:rsid w:val="00665ECF"/>
    <w:rsid w:val="0066619E"/>
    <w:rsid w:val="00667089"/>
    <w:rsid w:val="00671777"/>
    <w:rsid w:val="006717A3"/>
    <w:rsid w:val="00671ECF"/>
    <w:rsid w:val="00672383"/>
    <w:rsid w:val="0067261D"/>
    <w:rsid w:val="006727AC"/>
    <w:rsid w:val="00672A2B"/>
    <w:rsid w:val="00672FEF"/>
    <w:rsid w:val="0067484C"/>
    <w:rsid w:val="00675156"/>
    <w:rsid w:val="006754A3"/>
    <w:rsid w:val="0067782A"/>
    <w:rsid w:val="0068033A"/>
    <w:rsid w:val="00680AAE"/>
    <w:rsid w:val="0068173C"/>
    <w:rsid w:val="006817AF"/>
    <w:rsid w:val="006820FF"/>
    <w:rsid w:val="00682184"/>
    <w:rsid w:val="006821CC"/>
    <w:rsid w:val="0068256D"/>
    <w:rsid w:val="00682795"/>
    <w:rsid w:val="00683592"/>
    <w:rsid w:val="006836AA"/>
    <w:rsid w:val="00683796"/>
    <w:rsid w:val="00684C07"/>
    <w:rsid w:val="0068542B"/>
    <w:rsid w:val="00685467"/>
    <w:rsid w:val="00685E82"/>
    <w:rsid w:val="006864D5"/>
    <w:rsid w:val="00686596"/>
    <w:rsid w:val="00686868"/>
    <w:rsid w:val="00686CA3"/>
    <w:rsid w:val="00687097"/>
    <w:rsid w:val="00687307"/>
    <w:rsid w:val="0069013E"/>
    <w:rsid w:val="006905FD"/>
    <w:rsid w:val="00690E47"/>
    <w:rsid w:val="00691370"/>
    <w:rsid w:val="0069195E"/>
    <w:rsid w:val="00691E3B"/>
    <w:rsid w:val="00692444"/>
    <w:rsid w:val="00693383"/>
    <w:rsid w:val="006934E4"/>
    <w:rsid w:val="00693D6C"/>
    <w:rsid w:val="006945C1"/>
    <w:rsid w:val="006946EF"/>
    <w:rsid w:val="00695A2C"/>
    <w:rsid w:val="00696BA6"/>
    <w:rsid w:val="006975E3"/>
    <w:rsid w:val="0069760B"/>
    <w:rsid w:val="0069792B"/>
    <w:rsid w:val="00697B51"/>
    <w:rsid w:val="00697E8F"/>
    <w:rsid w:val="006A0433"/>
    <w:rsid w:val="006A0757"/>
    <w:rsid w:val="006A08BD"/>
    <w:rsid w:val="006A0913"/>
    <w:rsid w:val="006A0A7A"/>
    <w:rsid w:val="006A0BB6"/>
    <w:rsid w:val="006A0CA6"/>
    <w:rsid w:val="006A1512"/>
    <w:rsid w:val="006A18F3"/>
    <w:rsid w:val="006A1ECF"/>
    <w:rsid w:val="006A230B"/>
    <w:rsid w:val="006A351A"/>
    <w:rsid w:val="006A3B5A"/>
    <w:rsid w:val="006A411A"/>
    <w:rsid w:val="006A552D"/>
    <w:rsid w:val="006A5708"/>
    <w:rsid w:val="006A5A1C"/>
    <w:rsid w:val="006A6B2C"/>
    <w:rsid w:val="006A6D52"/>
    <w:rsid w:val="006A77FC"/>
    <w:rsid w:val="006A7BD0"/>
    <w:rsid w:val="006B0266"/>
    <w:rsid w:val="006B11E8"/>
    <w:rsid w:val="006B12D2"/>
    <w:rsid w:val="006B14FF"/>
    <w:rsid w:val="006B1FC1"/>
    <w:rsid w:val="006B2086"/>
    <w:rsid w:val="006B2CA2"/>
    <w:rsid w:val="006B314F"/>
    <w:rsid w:val="006B3C2A"/>
    <w:rsid w:val="006B695F"/>
    <w:rsid w:val="006B6E07"/>
    <w:rsid w:val="006B6E0B"/>
    <w:rsid w:val="006B780E"/>
    <w:rsid w:val="006B7ED4"/>
    <w:rsid w:val="006C0202"/>
    <w:rsid w:val="006C0438"/>
    <w:rsid w:val="006C0465"/>
    <w:rsid w:val="006C0877"/>
    <w:rsid w:val="006C09E5"/>
    <w:rsid w:val="006C0CD4"/>
    <w:rsid w:val="006C1139"/>
    <w:rsid w:val="006C15C1"/>
    <w:rsid w:val="006C15D0"/>
    <w:rsid w:val="006C1649"/>
    <w:rsid w:val="006C1ABB"/>
    <w:rsid w:val="006C2082"/>
    <w:rsid w:val="006C2BF9"/>
    <w:rsid w:val="006C2CF5"/>
    <w:rsid w:val="006C31B7"/>
    <w:rsid w:val="006C39DF"/>
    <w:rsid w:val="006C3B01"/>
    <w:rsid w:val="006C434A"/>
    <w:rsid w:val="006C4C14"/>
    <w:rsid w:val="006C60A7"/>
    <w:rsid w:val="006C6BFF"/>
    <w:rsid w:val="006C7006"/>
    <w:rsid w:val="006C770A"/>
    <w:rsid w:val="006C7D09"/>
    <w:rsid w:val="006D0BD2"/>
    <w:rsid w:val="006D0C10"/>
    <w:rsid w:val="006D0E54"/>
    <w:rsid w:val="006D23F8"/>
    <w:rsid w:val="006D2675"/>
    <w:rsid w:val="006D3119"/>
    <w:rsid w:val="006D50CD"/>
    <w:rsid w:val="006D5C60"/>
    <w:rsid w:val="006D63AB"/>
    <w:rsid w:val="006D68DC"/>
    <w:rsid w:val="006D7C72"/>
    <w:rsid w:val="006E004B"/>
    <w:rsid w:val="006E1197"/>
    <w:rsid w:val="006E15E3"/>
    <w:rsid w:val="006E17ED"/>
    <w:rsid w:val="006E2B29"/>
    <w:rsid w:val="006E2BE2"/>
    <w:rsid w:val="006E2F48"/>
    <w:rsid w:val="006E3028"/>
    <w:rsid w:val="006E3061"/>
    <w:rsid w:val="006E3C78"/>
    <w:rsid w:val="006E3F95"/>
    <w:rsid w:val="006E4152"/>
    <w:rsid w:val="006E51CE"/>
    <w:rsid w:val="006E54CD"/>
    <w:rsid w:val="006E6238"/>
    <w:rsid w:val="006E738B"/>
    <w:rsid w:val="006E743A"/>
    <w:rsid w:val="006E7C49"/>
    <w:rsid w:val="006F0457"/>
    <w:rsid w:val="006F0688"/>
    <w:rsid w:val="006F0B6A"/>
    <w:rsid w:val="006F0D13"/>
    <w:rsid w:val="006F0E4F"/>
    <w:rsid w:val="006F193E"/>
    <w:rsid w:val="006F1D72"/>
    <w:rsid w:val="006F2C8F"/>
    <w:rsid w:val="006F2FA8"/>
    <w:rsid w:val="006F304C"/>
    <w:rsid w:val="006F31BB"/>
    <w:rsid w:val="006F3583"/>
    <w:rsid w:val="006F3EDF"/>
    <w:rsid w:val="006F62E6"/>
    <w:rsid w:val="006F6A79"/>
    <w:rsid w:val="006F794A"/>
    <w:rsid w:val="006F7D06"/>
    <w:rsid w:val="00700125"/>
    <w:rsid w:val="0070068D"/>
    <w:rsid w:val="00700954"/>
    <w:rsid w:val="007034D0"/>
    <w:rsid w:val="00705643"/>
    <w:rsid w:val="00705867"/>
    <w:rsid w:val="00705BCE"/>
    <w:rsid w:val="007067B6"/>
    <w:rsid w:val="00706F3D"/>
    <w:rsid w:val="00707120"/>
    <w:rsid w:val="00707360"/>
    <w:rsid w:val="00707602"/>
    <w:rsid w:val="007101B4"/>
    <w:rsid w:val="00710424"/>
    <w:rsid w:val="00710591"/>
    <w:rsid w:val="00710D71"/>
    <w:rsid w:val="007114B7"/>
    <w:rsid w:val="007119A5"/>
    <w:rsid w:val="00711ED0"/>
    <w:rsid w:val="007122EA"/>
    <w:rsid w:val="007125AF"/>
    <w:rsid w:val="00712B97"/>
    <w:rsid w:val="0071373B"/>
    <w:rsid w:val="007137CC"/>
    <w:rsid w:val="00714273"/>
    <w:rsid w:val="007143DA"/>
    <w:rsid w:val="00714B40"/>
    <w:rsid w:val="00714E60"/>
    <w:rsid w:val="00715DF7"/>
    <w:rsid w:val="00715FBB"/>
    <w:rsid w:val="00716AC6"/>
    <w:rsid w:val="00716E1D"/>
    <w:rsid w:val="00717305"/>
    <w:rsid w:val="00717A01"/>
    <w:rsid w:val="00720767"/>
    <w:rsid w:val="0072177C"/>
    <w:rsid w:val="00721B0F"/>
    <w:rsid w:val="00722189"/>
    <w:rsid w:val="007224D0"/>
    <w:rsid w:val="00722F6F"/>
    <w:rsid w:val="00723405"/>
    <w:rsid w:val="00723882"/>
    <w:rsid w:val="007241BC"/>
    <w:rsid w:val="00724CEF"/>
    <w:rsid w:val="00725C97"/>
    <w:rsid w:val="007261D7"/>
    <w:rsid w:val="0072706F"/>
    <w:rsid w:val="00727137"/>
    <w:rsid w:val="00727A17"/>
    <w:rsid w:val="00727BBA"/>
    <w:rsid w:val="007325A2"/>
    <w:rsid w:val="00732857"/>
    <w:rsid w:val="007328CF"/>
    <w:rsid w:val="00732D99"/>
    <w:rsid w:val="0073492C"/>
    <w:rsid w:val="00735048"/>
    <w:rsid w:val="00735526"/>
    <w:rsid w:val="007355D2"/>
    <w:rsid w:val="007360D9"/>
    <w:rsid w:val="00740BD9"/>
    <w:rsid w:val="00741BD7"/>
    <w:rsid w:val="00741C47"/>
    <w:rsid w:val="00742AC3"/>
    <w:rsid w:val="00742C5C"/>
    <w:rsid w:val="00743347"/>
    <w:rsid w:val="00743842"/>
    <w:rsid w:val="00743C10"/>
    <w:rsid w:val="00744469"/>
    <w:rsid w:val="00744E00"/>
    <w:rsid w:val="00745108"/>
    <w:rsid w:val="00745483"/>
    <w:rsid w:val="00745AD8"/>
    <w:rsid w:val="00745DC4"/>
    <w:rsid w:val="0074699A"/>
    <w:rsid w:val="00750029"/>
    <w:rsid w:val="00750300"/>
    <w:rsid w:val="007516A5"/>
    <w:rsid w:val="00751780"/>
    <w:rsid w:val="00751949"/>
    <w:rsid w:val="00751D5F"/>
    <w:rsid w:val="007539E9"/>
    <w:rsid w:val="00753AB7"/>
    <w:rsid w:val="00754325"/>
    <w:rsid w:val="00754562"/>
    <w:rsid w:val="0075581F"/>
    <w:rsid w:val="00756238"/>
    <w:rsid w:val="0075742A"/>
    <w:rsid w:val="00760577"/>
    <w:rsid w:val="00760F13"/>
    <w:rsid w:val="00761915"/>
    <w:rsid w:val="00761A82"/>
    <w:rsid w:val="00761D08"/>
    <w:rsid w:val="00762239"/>
    <w:rsid w:val="00763124"/>
    <w:rsid w:val="00763B79"/>
    <w:rsid w:val="007645FF"/>
    <w:rsid w:val="00765A34"/>
    <w:rsid w:val="00766BC9"/>
    <w:rsid w:val="00766FB9"/>
    <w:rsid w:val="00767069"/>
    <w:rsid w:val="0076762A"/>
    <w:rsid w:val="0076780C"/>
    <w:rsid w:val="00770188"/>
    <w:rsid w:val="00771DB9"/>
    <w:rsid w:val="007724D5"/>
    <w:rsid w:val="00772D6A"/>
    <w:rsid w:val="00773421"/>
    <w:rsid w:val="00773FE4"/>
    <w:rsid w:val="007745FE"/>
    <w:rsid w:val="00774BE8"/>
    <w:rsid w:val="00774E22"/>
    <w:rsid w:val="00775997"/>
    <w:rsid w:val="0077630F"/>
    <w:rsid w:val="00776ACD"/>
    <w:rsid w:val="00777AFE"/>
    <w:rsid w:val="00777F87"/>
    <w:rsid w:val="00780E61"/>
    <w:rsid w:val="00781B40"/>
    <w:rsid w:val="00781DEE"/>
    <w:rsid w:val="00782F93"/>
    <w:rsid w:val="00783280"/>
    <w:rsid w:val="0078348A"/>
    <w:rsid w:val="0078439E"/>
    <w:rsid w:val="00784FCF"/>
    <w:rsid w:val="0078567D"/>
    <w:rsid w:val="00786307"/>
    <w:rsid w:val="007909B3"/>
    <w:rsid w:val="007926D5"/>
    <w:rsid w:val="007933DD"/>
    <w:rsid w:val="007937C5"/>
    <w:rsid w:val="007942AD"/>
    <w:rsid w:val="00795F00"/>
    <w:rsid w:val="00796363"/>
    <w:rsid w:val="00796BF0"/>
    <w:rsid w:val="00797C38"/>
    <w:rsid w:val="007A00D5"/>
    <w:rsid w:val="007A02DF"/>
    <w:rsid w:val="007A0429"/>
    <w:rsid w:val="007A0E66"/>
    <w:rsid w:val="007A106F"/>
    <w:rsid w:val="007A2498"/>
    <w:rsid w:val="007A24BB"/>
    <w:rsid w:val="007A29D4"/>
    <w:rsid w:val="007A3C20"/>
    <w:rsid w:val="007A4238"/>
    <w:rsid w:val="007A430C"/>
    <w:rsid w:val="007A5BDE"/>
    <w:rsid w:val="007A7334"/>
    <w:rsid w:val="007B062B"/>
    <w:rsid w:val="007B13FA"/>
    <w:rsid w:val="007B1D47"/>
    <w:rsid w:val="007B1E4F"/>
    <w:rsid w:val="007B2E46"/>
    <w:rsid w:val="007B348B"/>
    <w:rsid w:val="007B3B43"/>
    <w:rsid w:val="007B4778"/>
    <w:rsid w:val="007B48BA"/>
    <w:rsid w:val="007B4A01"/>
    <w:rsid w:val="007B4AFC"/>
    <w:rsid w:val="007B4F7A"/>
    <w:rsid w:val="007B5150"/>
    <w:rsid w:val="007B601C"/>
    <w:rsid w:val="007B6A7F"/>
    <w:rsid w:val="007B7908"/>
    <w:rsid w:val="007B7955"/>
    <w:rsid w:val="007C07F9"/>
    <w:rsid w:val="007C11F4"/>
    <w:rsid w:val="007C17FC"/>
    <w:rsid w:val="007C2155"/>
    <w:rsid w:val="007C2A47"/>
    <w:rsid w:val="007C2C4A"/>
    <w:rsid w:val="007C2DEA"/>
    <w:rsid w:val="007C32BD"/>
    <w:rsid w:val="007C33B5"/>
    <w:rsid w:val="007C34A5"/>
    <w:rsid w:val="007C4CD5"/>
    <w:rsid w:val="007C52B7"/>
    <w:rsid w:val="007C5542"/>
    <w:rsid w:val="007C58E4"/>
    <w:rsid w:val="007C5C1F"/>
    <w:rsid w:val="007C5EDE"/>
    <w:rsid w:val="007C61F7"/>
    <w:rsid w:val="007C6E99"/>
    <w:rsid w:val="007C7142"/>
    <w:rsid w:val="007C7AFB"/>
    <w:rsid w:val="007D01A0"/>
    <w:rsid w:val="007D04AD"/>
    <w:rsid w:val="007D0603"/>
    <w:rsid w:val="007D0A9F"/>
    <w:rsid w:val="007D0D66"/>
    <w:rsid w:val="007D1A82"/>
    <w:rsid w:val="007D1D08"/>
    <w:rsid w:val="007D25AD"/>
    <w:rsid w:val="007D2A65"/>
    <w:rsid w:val="007D40C4"/>
    <w:rsid w:val="007D41E2"/>
    <w:rsid w:val="007D4ED5"/>
    <w:rsid w:val="007D6641"/>
    <w:rsid w:val="007D7195"/>
    <w:rsid w:val="007D7349"/>
    <w:rsid w:val="007D76C4"/>
    <w:rsid w:val="007D78F4"/>
    <w:rsid w:val="007D7EEF"/>
    <w:rsid w:val="007D7FDE"/>
    <w:rsid w:val="007E05B5"/>
    <w:rsid w:val="007E06E3"/>
    <w:rsid w:val="007E0752"/>
    <w:rsid w:val="007E08B4"/>
    <w:rsid w:val="007E0AC6"/>
    <w:rsid w:val="007E0D7B"/>
    <w:rsid w:val="007E16E6"/>
    <w:rsid w:val="007E32BD"/>
    <w:rsid w:val="007E656C"/>
    <w:rsid w:val="007E6919"/>
    <w:rsid w:val="007E79BB"/>
    <w:rsid w:val="007F09E0"/>
    <w:rsid w:val="007F0EBD"/>
    <w:rsid w:val="007F2CA7"/>
    <w:rsid w:val="007F2FA3"/>
    <w:rsid w:val="007F312E"/>
    <w:rsid w:val="007F31D9"/>
    <w:rsid w:val="007F353D"/>
    <w:rsid w:val="007F3847"/>
    <w:rsid w:val="007F3890"/>
    <w:rsid w:val="007F3975"/>
    <w:rsid w:val="007F4106"/>
    <w:rsid w:val="007F5D85"/>
    <w:rsid w:val="007F5E32"/>
    <w:rsid w:val="007F664B"/>
    <w:rsid w:val="007F722E"/>
    <w:rsid w:val="007F7693"/>
    <w:rsid w:val="008004F5"/>
    <w:rsid w:val="00800D8F"/>
    <w:rsid w:val="00801868"/>
    <w:rsid w:val="00801956"/>
    <w:rsid w:val="00802183"/>
    <w:rsid w:val="00802A9E"/>
    <w:rsid w:val="00802F87"/>
    <w:rsid w:val="00803155"/>
    <w:rsid w:val="00803A06"/>
    <w:rsid w:val="00806401"/>
    <w:rsid w:val="008073E6"/>
    <w:rsid w:val="00807B58"/>
    <w:rsid w:val="00811BB0"/>
    <w:rsid w:val="00811DBB"/>
    <w:rsid w:val="00812210"/>
    <w:rsid w:val="0081223B"/>
    <w:rsid w:val="00812C84"/>
    <w:rsid w:val="00813336"/>
    <w:rsid w:val="00815AFF"/>
    <w:rsid w:val="00816354"/>
    <w:rsid w:val="00816666"/>
    <w:rsid w:val="0081751F"/>
    <w:rsid w:val="0081754F"/>
    <w:rsid w:val="00817EBC"/>
    <w:rsid w:val="0082003B"/>
    <w:rsid w:val="00820C60"/>
    <w:rsid w:val="00820E63"/>
    <w:rsid w:val="00821160"/>
    <w:rsid w:val="008217DB"/>
    <w:rsid w:val="0082184D"/>
    <w:rsid w:val="00821983"/>
    <w:rsid w:val="0082199A"/>
    <w:rsid w:val="00822DD6"/>
    <w:rsid w:val="00822F6F"/>
    <w:rsid w:val="00823DE5"/>
    <w:rsid w:val="00823EFA"/>
    <w:rsid w:val="008246A6"/>
    <w:rsid w:val="00824C0F"/>
    <w:rsid w:val="00825C9C"/>
    <w:rsid w:val="00825F06"/>
    <w:rsid w:val="0082604B"/>
    <w:rsid w:val="0082614F"/>
    <w:rsid w:val="0082622E"/>
    <w:rsid w:val="0082661B"/>
    <w:rsid w:val="00826B58"/>
    <w:rsid w:val="00826D44"/>
    <w:rsid w:val="00827634"/>
    <w:rsid w:val="00827916"/>
    <w:rsid w:val="00827C0D"/>
    <w:rsid w:val="00827DC9"/>
    <w:rsid w:val="00827DE2"/>
    <w:rsid w:val="0083042C"/>
    <w:rsid w:val="0083058B"/>
    <w:rsid w:val="0083125D"/>
    <w:rsid w:val="0083186B"/>
    <w:rsid w:val="0083221A"/>
    <w:rsid w:val="008325C4"/>
    <w:rsid w:val="008325DA"/>
    <w:rsid w:val="00832D5A"/>
    <w:rsid w:val="00833A0C"/>
    <w:rsid w:val="00833A84"/>
    <w:rsid w:val="008344F7"/>
    <w:rsid w:val="008346FB"/>
    <w:rsid w:val="00834762"/>
    <w:rsid w:val="00834825"/>
    <w:rsid w:val="00834D94"/>
    <w:rsid w:val="0083547E"/>
    <w:rsid w:val="00835688"/>
    <w:rsid w:val="00835BBC"/>
    <w:rsid w:val="00837999"/>
    <w:rsid w:val="008379F4"/>
    <w:rsid w:val="008400A3"/>
    <w:rsid w:val="0084029C"/>
    <w:rsid w:val="008407EE"/>
    <w:rsid w:val="00842AB8"/>
    <w:rsid w:val="0084366E"/>
    <w:rsid w:val="0084390C"/>
    <w:rsid w:val="00843B31"/>
    <w:rsid w:val="00844D2C"/>
    <w:rsid w:val="008450B0"/>
    <w:rsid w:val="00845B57"/>
    <w:rsid w:val="00845E27"/>
    <w:rsid w:val="00846510"/>
    <w:rsid w:val="00846514"/>
    <w:rsid w:val="008473C5"/>
    <w:rsid w:val="008504B5"/>
    <w:rsid w:val="00850EFB"/>
    <w:rsid w:val="00851B6E"/>
    <w:rsid w:val="00851DBD"/>
    <w:rsid w:val="00851ED1"/>
    <w:rsid w:val="00852392"/>
    <w:rsid w:val="008528CB"/>
    <w:rsid w:val="00853079"/>
    <w:rsid w:val="008533E4"/>
    <w:rsid w:val="00853CBC"/>
    <w:rsid w:val="00855149"/>
    <w:rsid w:val="008557C6"/>
    <w:rsid w:val="008577BA"/>
    <w:rsid w:val="00857F10"/>
    <w:rsid w:val="008607BD"/>
    <w:rsid w:val="00860A63"/>
    <w:rsid w:val="00860E74"/>
    <w:rsid w:val="00860E86"/>
    <w:rsid w:val="00862AF0"/>
    <w:rsid w:val="0086425D"/>
    <w:rsid w:val="00864620"/>
    <w:rsid w:val="00865A29"/>
    <w:rsid w:val="008660BF"/>
    <w:rsid w:val="00866C9F"/>
    <w:rsid w:val="008671A5"/>
    <w:rsid w:val="008674D7"/>
    <w:rsid w:val="00867752"/>
    <w:rsid w:val="008704DD"/>
    <w:rsid w:val="00871A7E"/>
    <w:rsid w:val="008735A9"/>
    <w:rsid w:val="0087389D"/>
    <w:rsid w:val="0087393D"/>
    <w:rsid w:val="00874D53"/>
    <w:rsid w:val="008750A7"/>
    <w:rsid w:val="00876C88"/>
    <w:rsid w:val="008770F6"/>
    <w:rsid w:val="008771D1"/>
    <w:rsid w:val="00877221"/>
    <w:rsid w:val="0088145B"/>
    <w:rsid w:val="00881FD0"/>
    <w:rsid w:val="008824D7"/>
    <w:rsid w:val="00882754"/>
    <w:rsid w:val="008840E8"/>
    <w:rsid w:val="00884A19"/>
    <w:rsid w:val="00884DDB"/>
    <w:rsid w:val="0088505E"/>
    <w:rsid w:val="0088514D"/>
    <w:rsid w:val="00885A0C"/>
    <w:rsid w:val="00886365"/>
    <w:rsid w:val="00886A05"/>
    <w:rsid w:val="008870BF"/>
    <w:rsid w:val="0088731E"/>
    <w:rsid w:val="00887488"/>
    <w:rsid w:val="00887EA5"/>
    <w:rsid w:val="00887F4C"/>
    <w:rsid w:val="00890C24"/>
    <w:rsid w:val="00892A7A"/>
    <w:rsid w:val="00892D30"/>
    <w:rsid w:val="00892EE4"/>
    <w:rsid w:val="008931AC"/>
    <w:rsid w:val="00893809"/>
    <w:rsid w:val="00893925"/>
    <w:rsid w:val="00893EDA"/>
    <w:rsid w:val="008941B1"/>
    <w:rsid w:val="00894425"/>
    <w:rsid w:val="008944F4"/>
    <w:rsid w:val="00894BC8"/>
    <w:rsid w:val="00895293"/>
    <w:rsid w:val="00895E43"/>
    <w:rsid w:val="00895FC6"/>
    <w:rsid w:val="0089607C"/>
    <w:rsid w:val="00896312"/>
    <w:rsid w:val="00896515"/>
    <w:rsid w:val="00897342"/>
    <w:rsid w:val="008A0C9C"/>
    <w:rsid w:val="008A184F"/>
    <w:rsid w:val="008A1CBA"/>
    <w:rsid w:val="008A1F00"/>
    <w:rsid w:val="008A22C8"/>
    <w:rsid w:val="008A2B76"/>
    <w:rsid w:val="008A3AF4"/>
    <w:rsid w:val="008A448E"/>
    <w:rsid w:val="008A4DF1"/>
    <w:rsid w:val="008A6651"/>
    <w:rsid w:val="008A6CD6"/>
    <w:rsid w:val="008B0864"/>
    <w:rsid w:val="008B1424"/>
    <w:rsid w:val="008B1F2A"/>
    <w:rsid w:val="008B44A6"/>
    <w:rsid w:val="008B4A63"/>
    <w:rsid w:val="008B4AC5"/>
    <w:rsid w:val="008B4BB5"/>
    <w:rsid w:val="008B4FD3"/>
    <w:rsid w:val="008B50A5"/>
    <w:rsid w:val="008B57B9"/>
    <w:rsid w:val="008B595A"/>
    <w:rsid w:val="008B5BDE"/>
    <w:rsid w:val="008B6246"/>
    <w:rsid w:val="008B629D"/>
    <w:rsid w:val="008B725E"/>
    <w:rsid w:val="008B772C"/>
    <w:rsid w:val="008B79DF"/>
    <w:rsid w:val="008C02D0"/>
    <w:rsid w:val="008C0A72"/>
    <w:rsid w:val="008C154C"/>
    <w:rsid w:val="008C1716"/>
    <w:rsid w:val="008C2130"/>
    <w:rsid w:val="008C2800"/>
    <w:rsid w:val="008C2EDB"/>
    <w:rsid w:val="008C3CBE"/>
    <w:rsid w:val="008C4B42"/>
    <w:rsid w:val="008C7124"/>
    <w:rsid w:val="008C7E44"/>
    <w:rsid w:val="008C7EB7"/>
    <w:rsid w:val="008D0E76"/>
    <w:rsid w:val="008D14A9"/>
    <w:rsid w:val="008D1AAF"/>
    <w:rsid w:val="008D24DB"/>
    <w:rsid w:val="008D27B7"/>
    <w:rsid w:val="008D2A4C"/>
    <w:rsid w:val="008D2E6F"/>
    <w:rsid w:val="008D31F4"/>
    <w:rsid w:val="008D37EC"/>
    <w:rsid w:val="008D3806"/>
    <w:rsid w:val="008D3987"/>
    <w:rsid w:val="008D449D"/>
    <w:rsid w:val="008D44AA"/>
    <w:rsid w:val="008D45C1"/>
    <w:rsid w:val="008D4C14"/>
    <w:rsid w:val="008D51E7"/>
    <w:rsid w:val="008D56B0"/>
    <w:rsid w:val="008D72E0"/>
    <w:rsid w:val="008D7771"/>
    <w:rsid w:val="008D7E8B"/>
    <w:rsid w:val="008E0A82"/>
    <w:rsid w:val="008E1D55"/>
    <w:rsid w:val="008E2245"/>
    <w:rsid w:val="008E2CA1"/>
    <w:rsid w:val="008E2FF5"/>
    <w:rsid w:val="008E39FA"/>
    <w:rsid w:val="008E3E7B"/>
    <w:rsid w:val="008E6069"/>
    <w:rsid w:val="008E6F7E"/>
    <w:rsid w:val="008E7C4D"/>
    <w:rsid w:val="008E7F17"/>
    <w:rsid w:val="008F01C0"/>
    <w:rsid w:val="008F12AA"/>
    <w:rsid w:val="008F16DE"/>
    <w:rsid w:val="008F1A4F"/>
    <w:rsid w:val="008F271B"/>
    <w:rsid w:val="008F2722"/>
    <w:rsid w:val="008F33D5"/>
    <w:rsid w:val="008F3C1D"/>
    <w:rsid w:val="008F448C"/>
    <w:rsid w:val="008F4F52"/>
    <w:rsid w:val="008F569E"/>
    <w:rsid w:val="008F617D"/>
    <w:rsid w:val="008F649D"/>
    <w:rsid w:val="008F6A9C"/>
    <w:rsid w:val="008F7AF7"/>
    <w:rsid w:val="00900152"/>
    <w:rsid w:val="009003A0"/>
    <w:rsid w:val="00901E11"/>
    <w:rsid w:val="00902061"/>
    <w:rsid w:val="009020FD"/>
    <w:rsid w:val="00902516"/>
    <w:rsid w:val="00902EFF"/>
    <w:rsid w:val="0090394D"/>
    <w:rsid w:val="00904143"/>
    <w:rsid w:val="00904392"/>
    <w:rsid w:val="00905625"/>
    <w:rsid w:val="00905DCF"/>
    <w:rsid w:val="009062E4"/>
    <w:rsid w:val="0090637D"/>
    <w:rsid w:val="00906611"/>
    <w:rsid w:val="00907253"/>
    <w:rsid w:val="0090769B"/>
    <w:rsid w:val="00907B6A"/>
    <w:rsid w:val="0091058F"/>
    <w:rsid w:val="009108B8"/>
    <w:rsid w:val="00910B8F"/>
    <w:rsid w:val="00911F1B"/>
    <w:rsid w:val="00912426"/>
    <w:rsid w:val="00912704"/>
    <w:rsid w:val="00912A95"/>
    <w:rsid w:val="009130EC"/>
    <w:rsid w:val="009137E2"/>
    <w:rsid w:val="00913D87"/>
    <w:rsid w:val="009141A8"/>
    <w:rsid w:val="00915686"/>
    <w:rsid w:val="00916F2D"/>
    <w:rsid w:val="00917757"/>
    <w:rsid w:val="00917D1F"/>
    <w:rsid w:val="00920825"/>
    <w:rsid w:val="009208FB"/>
    <w:rsid w:val="00921080"/>
    <w:rsid w:val="00921B19"/>
    <w:rsid w:val="00922514"/>
    <w:rsid w:val="009228E3"/>
    <w:rsid w:val="00922AF0"/>
    <w:rsid w:val="009251D3"/>
    <w:rsid w:val="00925A8C"/>
    <w:rsid w:val="00925C4D"/>
    <w:rsid w:val="0092631F"/>
    <w:rsid w:val="009264DD"/>
    <w:rsid w:val="009264E7"/>
    <w:rsid w:val="0092695A"/>
    <w:rsid w:val="00926B60"/>
    <w:rsid w:val="0092700E"/>
    <w:rsid w:val="00927831"/>
    <w:rsid w:val="00927ECD"/>
    <w:rsid w:val="0093047E"/>
    <w:rsid w:val="00930FD8"/>
    <w:rsid w:val="009314EC"/>
    <w:rsid w:val="00932455"/>
    <w:rsid w:val="009326A8"/>
    <w:rsid w:val="009341B4"/>
    <w:rsid w:val="009342AC"/>
    <w:rsid w:val="00935CD9"/>
    <w:rsid w:val="009367D0"/>
    <w:rsid w:val="00937628"/>
    <w:rsid w:val="009407CD"/>
    <w:rsid w:val="00941491"/>
    <w:rsid w:val="00941528"/>
    <w:rsid w:val="00943520"/>
    <w:rsid w:val="0094372F"/>
    <w:rsid w:val="00943EDF"/>
    <w:rsid w:val="0094475D"/>
    <w:rsid w:val="00945AD3"/>
    <w:rsid w:val="00946866"/>
    <w:rsid w:val="00947733"/>
    <w:rsid w:val="00947A4C"/>
    <w:rsid w:val="00950395"/>
    <w:rsid w:val="009503B8"/>
    <w:rsid w:val="0095040C"/>
    <w:rsid w:val="009508D9"/>
    <w:rsid w:val="00950B72"/>
    <w:rsid w:val="00950CC4"/>
    <w:rsid w:val="009514A1"/>
    <w:rsid w:val="00951B74"/>
    <w:rsid w:val="009526BA"/>
    <w:rsid w:val="0095365D"/>
    <w:rsid w:val="00953D66"/>
    <w:rsid w:val="00954235"/>
    <w:rsid w:val="00954470"/>
    <w:rsid w:val="00954471"/>
    <w:rsid w:val="00954845"/>
    <w:rsid w:val="00954956"/>
    <w:rsid w:val="009559E4"/>
    <w:rsid w:val="00955B9E"/>
    <w:rsid w:val="00955C8A"/>
    <w:rsid w:val="0095627B"/>
    <w:rsid w:val="009563BB"/>
    <w:rsid w:val="00956640"/>
    <w:rsid w:val="00957271"/>
    <w:rsid w:val="009576E4"/>
    <w:rsid w:val="00957813"/>
    <w:rsid w:val="00957A04"/>
    <w:rsid w:val="00957E37"/>
    <w:rsid w:val="00957FC4"/>
    <w:rsid w:val="009603D0"/>
    <w:rsid w:val="00960870"/>
    <w:rsid w:val="00960BF0"/>
    <w:rsid w:val="00960F97"/>
    <w:rsid w:val="0096153B"/>
    <w:rsid w:val="00961623"/>
    <w:rsid w:val="009637A0"/>
    <w:rsid w:val="0096486F"/>
    <w:rsid w:val="00965100"/>
    <w:rsid w:val="00965AF2"/>
    <w:rsid w:val="00966D00"/>
    <w:rsid w:val="009716F2"/>
    <w:rsid w:val="00972F22"/>
    <w:rsid w:val="009734BD"/>
    <w:rsid w:val="00975C25"/>
    <w:rsid w:val="00975C85"/>
    <w:rsid w:val="009766A1"/>
    <w:rsid w:val="00976C98"/>
    <w:rsid w:val="00977552"/>
    <w:rsid w:val="00980D01"/>
    <w:rsid w:val="0098132C"/>
    <w:rsid w:val="009814DD"/>
    <w:rsid w:val="00981872"/>
    <w:rsid w:val="00982402"/>
    <w:rsid w:val="00983D5F"/>
    <w:rsid w:val="00985AB3"/>
    <w:rsid w:val="00985DD2"/>
    <w:rsid w:val="0098660E"/>
    <w:rsid w:val="0098677B"/>
    <w:rsid w:val="00986BBD"/>
    <w:rsid w:val="009874E6"/>
    <w:rsid w:val="00987987"/>
    <w:rsid w:val="00991EC1"/>
    <w:rsid w:val="009921AC"/>
    <w:rsid w:val="00994D71"/>
    <w:rsid w:val="00995616"/>
    <w:rsid w:val="00995ED3"/>
    <w:rsid w:val="00996593"/>
    <w:rsid w:val="009969D7"/>
    <w:rsid w:val="00997118"/>
    <w:rsid w:val="009974CC"/>
    <w:rsid w:val="00997739"/>
    <w:rsid w:val="009978D4"/>
    <w:rsid w:val="00997EF3"/>
    <w:rsid w:val="00997F9E"/>
    <w:rsid w:val="009A00F9"/>
    <w:rsid w:val="009A031F"/>
    <w:rsid w:val="009A19F3"/>
    <w:rsid w:val="009A1F5D"/>
    <w:rsid w:val="009A1FF0"/>
    <w:rsid w:val="009A2085"/>
    <w:rsid w:val="009A2EF1"/>
    <w:rsid w:val="009A3696"/>
    <w:rsid w:val="009A3BC1"/>
    <w:rsid w:val="009A3F75"/>
    <w:rsid w:val="009A4537"/>
    <w:rsid w:val="009A4775"/>
    <w:rsid w:val="009A47E3"/>
    <w:rsid w:val="009A55CF"/>
    <w:rsid w:val="009A586D"/>
    <w:rsid w:val="009A6208"/>
    <w:rsid w:val="009A67C9"/>
    <w:rsid w:val="009A6BC1"/>
    <w:rsid w:val="009A6D05"/>
    <w:rsid w:val="009A7820"/>
    <w:rsid w:val="009A7F14"/>
    <w:rsid w:val="009B04AF"/>
    <w:rsid w:val="009B0755"/>
    <w:rsid w:val="009B0DDF"/>
    <w:rsid w:val="009B20AD"/>
    <w:rsid w:val="009B31E6"/>
    <w:rsid w:val="009B3682"/>
    <w:rsid w:val="009B3C98"/>
    <w:rsid w:val="009B4A71"/>
    <w:rsid w:val="009B4BFB"/>
    <w:rsid w:val="009B4C6F"/>
    <w:rsid w:val="009B563C"/>
    <w:rsid w:val="009B5D6E"/>
    <w:rsid w:val="009B6791"/>
    <w:rsid w:val="009B764C"/>
    <w:rsid w:val="009B7955"/>
    <w:rsid w:val="009B7B83"/>
    <w:rsid w:val="009C06CA"/>
    <w:rsid w:val="009C09FE"/>
    <w:rsid w:val="009C1A52"/>
    <w:rsid w:val="009C1AE3"/>
    <w:rsid w:val="009C2B2F"/>
    <w:rsid w:val="009C4710"/>
    <w:rsid w:val="009C4E2C"/>
    <w:rsid w:val="009C5A25"/>
    <w:rsid w:val="009C6033"/>
    <w:rsid w:val="009C6D75"/>
    <w:rsid w:val="009C76E3"/>
    <w:rsid w:val="009D0026"/>
    <w:rsid w:val="009D12BB"/>
    <w:rsid w:val="009D209A"/>
    <w:rsid w:val="009D3683"/>
    <w:rsid w:val="009D393E"/>
    <w:rsid w:val="009D39AB"/>
    <w:rsid w:val="009D40CA"/>
    <w:rsid w:val="009D430B"/>
    <w:rsid w:val="009D5532"/>
    <w:rsid w:val="009D577D"/>
    <w:rsid w:val="009D5A45"/>
    <w:rsid w:val="009D5CA0"/>
    <w:rsid w:val="009D60C2"/>
    <w:rsid w:val="009D614B"/>
    <w:rsid w:val="009D68B9"/>
    <w:rsid w:val="009D6BE7"/>
    <w:rsid w:val="009D7551"/>
    <w:rsid w:val="009D788B"/>
    <w:rsid w:val="009E0162"/>
    <w:rsid w:val="009E1083"/>
    <w:rsid w:val="009E1713"/>
    <w:rsid w:val="009E1838"/>
    <w:rsid w:val="009E2221"/>
    <w:rsid w:val="009E2A58"/>
    <w:rsid w:val="009E3156"/>
    <w:rsid w:val="009E4BA8"/>
    <w:rsid w:val="009E52D7"/>
    <w:rsid w:val="009E639B"/>
    <w:rsid w:val="009E682C"/>
    <w:rsid w:val="009E6A28"/>
    <w:rsid w:val="009E6EC6"/>
    <w:rsid w:val="009E7131"/>
    <w:rsid w:val="009E781A"/>
    <w:rsid w:val="009F1AFE"/>
    <w:rsid w:val="009F3324"/>
    <w:rsid w:val="009F5D22"/>
    <w:rsid w:val="009F6F38"/>
    <w:rsid w:val="009F7A1C"/>
    <w:rsid w:val="00A000CA"/>
    <w:rsid w:val="00A00639"/>
    <w:rsid w:val="00A01489"/>
    <w:rsid w:val="00A01B7C"/>
    <w:rsid w:val="00A01E00"/>
    <w:rsid w:val="00A0221A"/>
    <w:rsid w:val="00A0394D"/>
    <w:rsid w:val="00A04837"/>
    <w:rsid w:val="00A052A3"/>
    <w:rsid w:val="00A05DD2"/>
    <w:rsid w:val="00A064CC"/>
    <w:rsid w:val="00A075D5"/>
    <w:rsid w:val="00A104FC"/>
    <w:rsid w:val="00A108C3"/>
    <w:rsid w:val="00A10B2D"/>
    <w:rsid w:val="00A110F7"/>
    <w:rsid w:val="00A124D9"/>
    <w:rsid w:val="00A129F3"/>
    <w:rsid w:val="00A12E28"/>
    <w:rsid w:val="00A137F7"/>
    <w:rsid w:val="00A13982"/>
    <w:rsid w:val="00A13B42"/>
    <w:rsid w:val="00A142FF"/>
    <w:rsid w:val="00A147DB"/>
    <w:rsid w:val="00A14D09"/>
    <w:rsid w:val="00A14DE7"/>
    <w:rsid w:val="00A15A25"/>
    <w:rsid w:val="00A15B7C"/>
    <w:rsid w:val="00A160AD"/>
    <w:rsid w:val="00A161A9"/>
    <w:rsid w:val="00A1669E"/>
    <w:rsid w:val="00A16D17"/>
    <w:rsid w:val="00A16EFD"/>
    <w:rsid w:val="00A174D4"/>
    <w:rsid w:val="00A20BC5"/>
    <w:rsid w:val="00A21054"/>
    <w:rsid w:val="00A21497"/>
    <w:rsid w:val="00A2228C"/>
    <w:rsid w:val="00A22750"/>
    <w:rsid w:val="00A231DE"/>
    <w:rsid w:val="00A24DA0"/>
    <w:rsid w:val="00A24DBB"/>
    <w:rsid w:val="00A25B0F"/>
    <w:rsid w:val="00A26209"/>
    <w:rsid w:val="00A2713E"/>
    <w:rsid w:val="00A271B5"/>
    <w:rsid w:val="00A276D8"/>
    <w:rsid w:val="00A27CEB"/>
    <w:rsid w:val="00A27F1A"/>
    <w:rsid w:val="00A301EC"/>
    <w:rsid w:val="00A3041C"/>
    <w:rsid w:val="00A3172A"/>
    <w:rsid w:val="00A3172D"/>
    <w:rsid w:val="00A32929"/>
    <w:rsid w:val="00A33336"/>
    <w:rsid w:val="00A33B5D"/>
    <w:rsid w:val="00A33CC7"/>
    <w:rsid w:val="00A34F03"/>
    <w:rsid w:val="00A35435"/>
    <w:rsid w:val="00A35DA0"/>
    <w:rsid w:val="00A374B1"/>
    <w:rsid w:val="00A400D9"/>
    <w:rsid w:val="00A413F7"/>
    <w:rsid w:val="00A41973"/>
    <w:rsid w:val="00A420CE"/>
    <w:rsid w:val="00A4271C"/>
    <w:rsid w:val="00A42774"/>
    <w:rsid w:val="00A43410"/>
    <w:rsid w:val="00A43695"/>
    <w:rsid w:val="00A43DB9"/>
    <w:rsid w:val="00A440C8"/>
    <w:rsid w:val="00A44630"/>
    <w:rsid w:val="00A44D94"/>
    <w:rsid w:val="00A44E07"/>
    <w:rsid w:val="00A45128"/>
    <w:rsid w:val="00A4517E"/>
    <w:rsid w:val="00A45357"/>
    <w:rsid w:val="00A463E7"/>
    <w:rsid w:val="00A47081"/>
    <w:rsid w:val="00A474D6"/>
    <w:rsid w:val="00A502E5"/>
    <w:rsid w:val="00A5076A"/>
    <w:rsid w:val="00A5145B"/>
    <w:rsid w:val="00A51B13"/>
    <w:rsid w:val="00A51DC1"/>
    <w:rsid w:val="00A52030"/>
    <w:rsid w:val="00A521F4"/>
    <w:rsid w:val="00A5313B"/>
    <w:rsid w:val="00A53B08"/>
    <w:rsid w:val="00A54254"/>
    <w:rsid w:val="00A544A4"/>
    <w:rsid w:val="00A54563"/>
    <w:rsid w:val="00A547C5"/>
    <w:rsid w:val="00A5547F"/>
    <w:rsid w:val="00A5727A"/>
    <w:rsid w:val="00A604A4"/>
    <w:rsid w:val="00A60894"/>
    <w:rsid w:val="00A6165A"/>
    <w:rsid w:val="00A627E3"/>
    <w:rsid w:val="00A6296B"/>
    <w:rsid w:val="00A62BF9"/>
    <w:rsid w:val="00A63363"/>
    <w:rsid w:val="00A640D3"/>
    <w:rsid w:val="00A644C5"/>
    <w:rsid w:val="00A654CA"/>
    <w:rsid w:val="00A662D6"/>
    <w:rsid w:val="00A669E3"/>
    <w:rsid w:val="00A675BA"/>
    <w:rsid w:val="00A67864"/>
    <w:rsid w:val="00A67EC1"/>
    <w:rsid w:val="00A67FF0"/>
    <w:rsid w:val="00A70962"/>
    <w:rsid w:val="00A70B4A"/>
    <w:rsid w:val="00A71494"/>
    <w:rsid w:val="00A718F2"/>
    <w:rsid w:val="00A71977"/>
    <w:rsid w:val="00A71B9D"/>
    <w:rsid w:val="00A72622"/>
    <w:rsid w:val="00A72AB9"/>
    <w:rsid w:val="00A72CD4"/>
    <w:rsid w:val="00A73240"/>
    <w:rsid w:val="00A7325E"/>
    <w:rsid w:val="00A7345B"/>
    <w:rsid w:val="00A7352E"/>
    <w:rsid w:val="00A7426B"/>
    <w:rsid w:val="00A76613"/>
    <w:rsid w:val="00A77DC2"/>
    <w:rsid w:val="00A80687"/>
    <w:rsid w:val="00A816B2"/>
    <w:rsid w:val="00A82F5A"/>
    <w:rsid w:val="00A83598"/>
    <w:rsid w:val="00A83E10"/>
    <w:rsid w:val="00A840B1"/>
    <w:rsid w:val="00A84468"/>
    <w:rsid w:val="00A845C7"/>
    <w:rsid w:val="00A854A3"/>
    <w:rsid w:val="00A85EEF"/>
    <w:rsid w:val="00A861D2"/>
    <w:rsid w:val="00A8649F"/>
    <w:rsid w:val="00A90165"/>
    <w:rsid w:val="00A90C4D"/>
    <w:rsid w:val="00A90F20"/>
    <w:rsid w:val="00A9185E"/>
    <w:rsid w:val="00A91DBE"/>
    <w:rsid w:val="00A938F3"/>
    <w:rsid w:val="00A948E9"/>
    <w:rsid w:val="00A950DB"/>
    <w:rsid w:val="00A955DC"/>
    <w:rsid w:val="00A95D14"/>
    <w:rsid w:val="00A95E94"/>
    <w:rsid w:val="00A95F76"/>
    <w:rsid w:val="00A96DD3"/>
    <w:rsid w:val="00A97476"/>
    <w:rsid w:val="00A978EA"/>
    <w:rsid w:val="00A97CE2"/>
    <w:rsid w:val="00AA04B6"/>
    <w:rsid w:val="00AA0729"/>
    <w:rsid w:val="00AA2423"/>
    <w:rsid w:val="00AA282C"/>
    <w:rsid w:val="00AA2C91"/>
    <w:rsid w:val="00AA3F50"/>
    <w:rsid w:val="00AA42D6"/>
    <w:rsid w:val="00AA42EB"/>
    <w:rsid w:val="00AA4B9B"/>
    <w:rsid w:val="00AA572E"/>
    <w:rsid w:val="00AA6F71"/>
    <w:rsid w:val="00AA7979"/>
    <w:rsid w:val="00AB0687"/>
    <w:rsid w:val="00AB1B38"/>
    <w:rsid w:val="00AB1EE4"/>
    <w:rsid w:val="00AB2E25"/>
    <w:rsid w:val="00AB33B7"/>
    <w:rsid w:val="00AB3936"/>
    <w:rsid w:val="00AB3BAE"/>
    <w:rsid w:val="00AB3BCE"/>
    <w:rsid w:val="00AB3C59"/>
    <w:rsid w:val="00AB3FF2"/>
    <w:rsid w:val="00AB4418"/>
    <w:rsid w:val="00AB4E95"/>
    <w:rsid w:val="00AB588A"/>
    <w:rsid w:val="00AB5BE4"/>
    <w:rsid w:val="00AB5E04"/>
    <w:rsid w:val="00AB6B36"/>
    <w:rsid w:val="00AB6D2A"/>
    <w:rsid w:val="00AB717C"/>
    <w:rsid w:val="00AB72BA"/>
    <w:rsid w:val="00AB7AC9"/>
    <w:rsid w:val="00AC0073"/>
    <w:rsid w:val="00AC0FC8"/>
    <w:rsid w:val="00AC12E6"/>
    <w:rsid w:val="00AC18C7"/>
    <w:rsid w:val="00AC22CF"/>
    <w:rsid w:val="00AC3986"/>
    <w:rsid w:val="00AC4978"/>
    <w:rsid w:val="00AC65CC"/>
    <w:rsid w:val="00AC66D2"/>
    <w:rsid w:val="00AC7072"/>
    <w:rsid w:val="00AC757D"/>
    <w:rsid w:val="00AD1582"/>
    <w:rsid w:val="00AD272E"/>
    <w:rsid w:val="00AD279E"/>
    <w:rsid w:val="00AD2999"/>
    <w:rsid w:val="00AD36F9"/>
    <w:rsid w:val="00AD370F"/>
    <w:rsid w:val="00AD3812"/>
    <w:rsid w:val="00AD4377"/>
    <w:rsid w:val="00AD4F26"/>
    <w:rsid w:val="00AD5BB6"/>
    <w:rsid w:val="00AD644D"/>
    <w:rsid w:val="00AD6880"/>
    <w:rsid w:val="00AD736B"/>
    <w:rsid w:val="00AE042C"/>
    <w:rsid w:val="00AE068C"/>
    <w:rsid w:val="00AE0AA7"/>
    <w:rsid w:val="00AE0D89"/>
    <w:rsid w:val="00AE1ADA"/>
    <w:rsid w:val="00AE1C32"/>
    <w:rsid w:val="00AE2082"/>
    <w:rsid w:val="00AE2438"/>
    <w:rsid w:val="00AE2522"/>
    <w:rsid w:val="00AE27A6"/>
    <w:rsid w:val="00AE2ABD"/>
    <w:rsid w:val="00AE2D48"/>
    <w:rsid w:val="00AE302D"/>
    <w:rsid w:val="00AE3E20"/>
    <w:rsid w:val="00AE3F60"/>
    <w:rsid w:val="00AE49D4"/>
    <w:rsid w:val="00AE4B96"/>
    <w:rsid w:val="00AE540D"/>
    <w:rsid w:val="00AE553B"/>
    <w:rsid w:val="00AE5641"/>
    <w:rsid w:val="00AE5E67"/>
    <w:rsid w:val="00AE67F8"/>
    <w:rsid w:val="00AE721E"/>
    <w:rsid w:val="00AE779F"/>
    <w:rsid w:val="00AF015F"/>
    <w:rsid w:val="00AF09F9"/>
    <w:rsid w:val="00AF162A"/>
    <w:rsid w:val="00AF3096"/>
    <w:rsid w:val="00AF3E95"/>
    <w:rsid w:val="00AF4665"/>
    <w:rsid w:val="00AF5E0B"/>
    <w:rsid w:val="00AF6349"/>
    <w:rsid w:val="00AF6524"/>
    <w:rsid w:val="00AF6C57"/>
    <w:rsid w:val="00AF6EFE"/>
    <w:rsid w:val="00AF73DF"/>
    <w:rsid w:val="00AF7CC6"/>
    <w:rsid w:val="00B01809"/>
    <w:rsid w:val="00B01E6B"/>
    <w:rsid w:val="00B0265D"/>
    <w:rsid w:val="00B0283E"/>
    <w:rsid w:val="00B02BDD"/>
    <w:rsid w:val="00B02DF7"/>
    <w:rsid w:val="00B03021"/>
    <w:rsid w:val="00B033F4"/>
    <w:rsid w:val="00B04FEC"/>
    <w:rsid w:val="00B0688B"/>
    <w:rsid w:val="00B068B5"/>
    <w:rsid w:val="00B06DB1"/>
    <w:rsid w:val="00B06E0C"/>
    <w:rsid w:val="00B07126"/>
    <w:rsid w:val="00B10786"/>
    <w:rsid w:val="00B10907"/>
    <w:rsid w:val="00B10909"/>
    <w:rsid w:val="00B10F10"/>
    <w:rsid w:val="00B11331"/>
    <w:rsid w:val="00B117F6"/>
    <w:rsid w:val="00B11E90"/>
    <w:rsid w:val="00B12047"/>
    <w:rsid w:val="00B12201"/>
    <w:rsid w:val="00B133D8"/>
    <w:rsid w:val="00B13833"/>
    <w:rsid w:val="00B13D51"/>
    <w:rsid w:val="00B14433"/>
    <w:rsid w:val="00B14A37"/>
    <w:rsid w:val="00B166AC"/>
    <w:rsid w:val="00B16CE4"/>
    <w:rsid w:val="00B16D1D"/>
    <w:rsid w:val="00B16E69"/>
    <w:rsid w:val="00B20494"/>
    <w:rsid w:val="00B2066F"/>
    <w:rsid w:val="00B208CD"/>
    <w:rsid w:val="00B226CD"/>
    <w:rsid w:val="00B2336A"/>
    <w:rsid w:val="00B234AD"/>
    <w:rsid w:val="00B23CA0"/>
    <w:rsid w:val="00B2594D"/>
    <w:rsid w:val="00B25F7A"/>
    <w:rsid w:val="00B26267"/>
    <w:rsid w:val="00B27215"/>
    <w:rsid w:val="00B2778E"/>
    <w:rsid w:val="00B30497"/>
    <w:rsid w:val="00B3257C"/>
    <w:rsid w:val="00B33383"/>
    <w:rsid w:val="00B33398"/>
    <w:rsid w:val="00B33DDD"/>
    <w:rsid w:val="00B36132"/>
    <w:rsid w:val="00B3617A"/>
    <w:rsid w:val="00B36214"/>
    <w:rsid w:val="00B36B99"/>
    <w:rsid w:val="00B36D2C"/>
    <w:rsid w:val="00B36E89"/>
    <w:rsid w:val="00B40371"/>
    <w:rsid w:val="00B4062C"/>
    <w:rsid w:val="00B4075F"/>
    <w:rsid w:val="00B411E4"/>
    <w:rsid w:val="00B4167A"/>
    <w:rsid w:val="00B42576"/>
    <w:rsid w:val="00B437F9"/>
    <w:rsid w:val="00B446BF"/>
    <w:rsid w:val="00B44ADE"/>
    <w:rsid w:val="00B453A5"/>
    <w:rsid w:val="00B4597A"/>
    <w:rsid w:val="00B45A8F"/>
    <w:rsid w:val="00B468B0"/>
    <w:rsid w:val="00B50AB7"/>
    <w:rsid w:val="00B50EDD"/>
    <w:rsid w:val="00B531DA"/>
    <w:rsid w:val="00B53682"/>
    <w:rsid w:val="00B55B9F"/>
    <w:rsid w:val="00B56427"/>
    <w:rsid w:val="00B56764"/>
    <w:rsid w:val="00B56866"/>
    <w:rsid w:val="00B570D1"/>
    <w:rsid w:val="00B57E11"/>
    <w:rsid w:val="00B57ECB"/>
    <w:rsid w:val="00B57FB7"/>
    <w:rsid w:val="00B600A7"/>
    <w:rsid w:val="00B600FC"/>
    <w:rsid w:val="00B60473"/>
    <w:rsid w:val="00B607A0"/>
    <w:rsid w:val="00B6102A"/>
    <w:rsid w:val="00B6182C"/>
    <w:rsid w:val="00B61B79"/>
    <w:rsid w:val="00B61D96"/>
    <w:rsid w:val="00B61F69"/>
    <w:rsid w:val="00B623D5"/>
    <w:rsid w:val="00B626B3"/>
    <w:rsid w:val="00B62A94"/>
    <w:rsid w:val="00B62B0B"/>
    <w:rsid w:val="00B633E3"/>
    <w:rsid w:val="00B6354C"/>
    <w:rsid w:val="00B635C0"/>
    <w:rsid w:val="00B639AE"/>
    <w:rsid w:val="00B63BC5"/>
    <w:rsid w:val="00B6486A"/>
    <w:rsid w:val="00B64C69"/>
    <w:rsid w:val="00B64FE9"/>
    <w:rsid w:val="00B6554D"/>
    <w:rsid w:val="00B656DA"/>
    <w:rsid w:val="00B66ADA"/>
    <w:rsid w:val="00B67B3D"/>
    <w:rsid w:val="00B67E26"/>
    <w:rsid w:val="00B70A77"/>
    <w:rsid w:val="00B70FEA"/>
    <w:rsid w:val="00B7208B"/>
    <w:rsid w:val="00B72B19"/>
    <w:rsid w:val="00B72F87"/>
    <w:rsid w:val="00B7305B"/>
    <w:rsid w:val="00B73BA8"/>
    <w:rsid w:val="00B73F50"/>
    <w:rsid w:val="00B73F56"/>
    <w:rsid w:val="00B7423F"/>
    <w:rsid w:val="00B744FD"/>
    <w:rsid w:val="00B74770"/>
    <w:rsid w:val="00B750B3"/>
    <w:rsid w:val="00B7692B"/>
    <w:rsid w:val="00B772A4"/>
    <w:rsid w:val="00B80970"/>
    <w:rsid w:val="00B80B06"/>
    <w:rsid w:val="00B817CC"/>
    <w:rsid w:val="00B82E10"/>
    <w:rsid w:val="00B831BA"/>
    <w:rsid w:val="00B851E2"/>
    <w:rsid w:val="00B85C21"/>
    <w:rsid w:val="00B85F7C"/>
    <w:rsid w:val="00B85F87"/>
    <w:rsid w:val="00B867C7"/>
    <w:rsid w:val="00B86C71"/>
    <w:rsid w:val="00B87925"/>
    <w:rsid w:val="00B87AC9"/>
    <w:rsid w:val="00B87C77"/>
    <w:rsid w:val="00B92516"/>
    <w:rsid w:val="00B9360A"/>
    <w:rsid w:val="00B94BD5"/>
    <w:rsid w:val="00B95E56"/>
    <w:rsid w:val="00B96E0C"/>
    <w:rsid w:val="00BA05AF"/>
    <w:rsid w:val="00BA05CB"/>
    <w:rsid w:val="00BA1244"/>
    <w:rsid w:val="00BA1976"/>
    <w:rsid w:val="00BA1CE0"/>
    <w:rsid w:val="00BA20BF"/>
    <w:rsid w:val="00BA238B"/>
    <w:rsid w:val="00BA2EF0"/>
    <w:rsid w:val="00BA3B9E"/>
    <w:rsid w:val="00BA3D32"/>
    <w:rsid w:val="00BA3DCF"/>
    <w:rsid w:val="00BA714C"/>
    <w:rsid w:val="00BA72B1"/>
    <w:rsid w:val="00BA7DC0"/>
    <w:rsid w:val="00BA7DFB"/>
    <w:rsid w:val="00BB0D2B"/>
    <w:rsid w:val="00BB1F54"/>
    <w:rsid w:val="00BB23E7"/>
    <w:rsid w:val="00BB3BBC"/>
    <w:rsid w:val="00BB3C65"/>
    <w:rsid w:val="00BB47D6"/>
    <w:rsid w:val="00BB4BB2"/>
    <w:rsid w:val="00BB653D"/>
    <w:rsid w:val="00BC0290"/>
    <w:rsid w:val="00BC1675"/>
    <w:rsid w:val="00BC1AA8"/>
    <w:rsid w:val="00BC1F59"/>
    <w:rsid w:val="00BC2F5D"/>
    <w:rsid w:val="00BC3558"/>
    <w:rsid w:val="00BC41DA"/>
    <w:rsid w:val="00BC427A"/>
    <w:rsid w:val="00BC42E9"/>
    <w:rsid w:val="00BC4900"/>
    <w:rsid w:val="00BC4D62"/>
    <w:rsid w:val="00BC53BD"/>
    <w:rsid w:val="00BC5673"/>
    <w:rsid w:val="00BC5D13"/>
    <w:rsid w:val="00BC62BA"/>
    <w:rsid w:val="00BC6D48"/>
    <w:rsid w:val="00BC6E6A"/>
    <w:rsid w:val="00BC7770"/>
    <w:rsid w:val="00BD0284"/>
    <w:rsid w:val="00BD0705"/>
    <w:rsid w:val="00BD140E"/>
    <w:rsid w:val="00BD1F1D"/>
    <w:rsid w:val="00BD2328"/>
    <w:rsid w:val="00BD275A"/>
    <w:rsid w:val="00BD2D08"/>
    <w:rsid w:val="00BD2DA1"/>
    <w:rsid w:val="00BD4497"/>
    <w:rsid w:val="00BD46C6"/>
    <w:rsid w:val="00BD4F67"/>
    <w:rsid w:val="00BD5B10"/>
    <w:rsid w:val="00BD62C1"/>
    <w:rsid w:val="00BD6C8F"/>
    <w:rsid w:val="00BD6D58"/>
    <w:rsid w:val="00BD6F03"/>
    <w:rsid w:val="00BD713D"/>
    <w:rsid w:val="00BD79F2"/>
    <w:rsid w:val="00BE052F"/>
    <w:rsid w:val="00BE0F84"/>
    <w:rsid w:val="00BE1B70"/>
    <w:rsid w:val="00BE269D"/>
    <w:rsid w:val="00BE26EE"/>
    <w:rsid w:val="00BE2C7E"/>
    <w:rsid w:val="00BE3EBD"/>
    <w:rsid w:val="00BE46AC"/>
    <w:rsid w:val="00BE4D50"/>
    <w:rsid w:val="00BE5580"/>
    <w:rsid w:val="00BE563A"/>
    <w:rsid w:val="00BE5779"/>
    <w:rsid w:val="00BE5DA1"/>
    <w:rsid w:val="00BE624F"/>
    <w:rsid w:val="00BE681E"/>
    <w:rsid w:val="00BE780B"/>
    <w:rsid w:val="00BF011D"/>
    <w:rsid w:val="00BF0995"/>
    <w:rsid w:val="00BF0E04"/>
    <w:rsid w:val="00BF0F38"/>
    <w:rsid w:val="00BF14F4"/>
    <w:rsid w:val="00BF15FE"/>
    <w:rsid w:val="00BF167B"/>
    <w:rsid w:val="00BF1D74"/>
    <w:rsid w:val="00BF2091"/>
    <w:rsid w:val="00BF234A"/>
    <w:rsid w:val="00BF28A9"/>
    <w:rsid w:val="00BF2C8B"/>
    <w:rsid w:val="00BF332E"/>
    <w:rsid w:val="00BF3780"/>
    <w:rsid w:val="00BF3E41"/>
    <w:rsid w:val="00BF4F07"/>
    <w:rsid w:val="00BF4F5B"/>
    <w:rsid w:val="00BF54EF"/>
    <w:rsid w:val="00BF7AFA"/>
    <w:rsid w:val="00C00A53"/>
    <w:rsid w:val="00C00EC9"/>
    <w:rsid w:val="00C013B4"/>
    <w:rsid w:val="00C016BD"/>
    <w:rsid w:val="00C01B45"/>
    <w:rsid w:val="00C02059"/>
    <w:rsid w:val="00C0250F"/>
    <w:rsid w:val="00C02639"/>
    <w:rsid w:val="00C02A7D"/>
    <w:rsid w:val="00C03391"/>
    <w:rsid w:val="00C046B1"/>
    <w:rsid w:val="00C049EB"/>
    <w:rsid w:val="00C0692C"/>
    <w:rsid w:val="00C070B3"/>
    <w:rsid w:val="00C077F1"/>
    <w:rsid w:val="00C07A30"/>
    <w:rsid w:val="00C07FB5"/>
    <w:rsid w:val="00C1044F"/>
    <w:rsid w:val="00C10A05"/>
    <w:rsid w:val="00C10BA4"/>
    <w:rsid w:val="00C10C88"/>
    <w:rsid w:val="00C10FFA"/>
    <w:rsid w:val="00C11D92"/>
    <w:rsid w:val="00C12E9C"/>
    <w:rsid w:val="00C12EDB"/>
    <w:rsid w:val="00C13086"/>
    <w:rsid w:val="00C142AB"/>
    <w:rsid w:val="00C145FF"/>
    <w:rsid w:val="00C15694"/>
    <w:rsid w:val="00C166F9"/>
    <w:rsid w:val="00C17097"/>
    <w:rsid w:val="00C179F7"/>
    <w:rsid w:val="00C17A37"/>
    <w:rsid w:val="00C200F7"/>
    <w:rsid w:val="00C206EB"/>
    <w:rsid w:val="00C209DF"/>
    <w:rsid w:val="00C21058"/>
    <w:rsid w:val="00C21104"/>
    <w:rsid w:val="00C217BA"/>
    <w:rsid w:val="00C21ABF"/>
    <w:rsid w:val="00C22942"/>
    <w:rsid w:val="00C229EC"/>
    <w:rsid w:val="00C22F96"/>
    <w:rsid w:val="00C24190"/>
    <w:rsid w:val="00C24351"/>
    <w:rsid w:val="00C247BD"/>
    <w:rsid w:val="00C24F25"/>
    <w:rsid w:val="00C25E2E"/>
    <w:rsid w:val="00C25F02"/>
    <w:rsid w:val="00C268CF"/>
    <w:rsid w:val="00C26D09"/>
    <w:rsid w:val="00C273DE"/>
    <w:rsid w:val="00C2764E"/>
    <w:rsid w:val="00C305AE"/>
    <w:rsid w:val="00C307A8"/>
    <w:rsid w:val="00C30E83"/>
    <w:rsid w:val="00C31267"/>
    <w:rsid w:val="00C334F9"/>
    <w:rsid w:val="00C3468B"/>
    <w:rsid w:val="00C34A2C"/>
    <w:rsid w:val="00C359BC"/>
    <w:rsid w:val="00C35BF2"/>
    <w:rsid w:val="00C35F99"/>
    <w:rsid w:val="00C3622D"/>
    <w:rsid w:val="00C37044"/>
    <w:rsid w:val="00C3731B"/>
    <w:rsid w:val="00C374B5"/>
    <w:rsid w:val="00C374C9"/>
    <w:rsid w:val="00C37D45"/>
    <w:rsid w:val="00C40D94"/>
    <w:rsid w:val="00C411BC"/>
    <w:rsid w:val="00C427E9"/>
    <w:rsid w:val="00C429E3"/>
    <w:rsid w:val="00C42A4D"/>
    <w:rsid w:val="00C42BDE"/>
    <w:rsid w:val="00C43707"/>
    <w:rsid w:val="00C43C9E"/>
    <w:rsid w:val="00C43D6B"/>
    <w:rsid w:val="00C461AA"/>
    <w:rsid w:val="00C46F57"/>
    <w:rsid w:val="00C476FD"/>
    <w:rsid w:val="00C50A28"/>
    <w:rsid w:val="00C51B7C"/>
    <w:rsid w:val="00C51C29"/>
    <w:rsid w:val="00C52025"/>
    <w:rsid w:val="00C52A81"/>
    <w:rsid w:val="00C53244"/>
    <w:rsid w:val="00C53EFD"/>
    <w:rsid w:val="00C5433E"/>
    <w:rsid w:val="00C54C3D"/>
    <w:rsid w:val="00C54D83"/>
    <w:rsid w:val="00C54DD2"/>
    <w:rsid w:val="00C55103"/>
    <w:rsid w:val="00C553B5"/>
    <w:rsid w:val="00C55D5C"/>
    <w:rsid w:val="00C60540"/>
    <w:rsid w:val="00C60EE9"/>
    <w:rsid w:val="00C62F85"/>
    <w:rsid w:val="00C63C71"/>
    <w:rsid w:val="00C6435B"/>
    <w:rsid w:val="00C64827"/>
    <w:rsid w:val="00C649B2"/>
    <w:rsid w:val="00C65179"/>
    <w:rsid w:val="00C65929"/>
    <w:rsid w:val="00C67138"/>
    <w:rsid w:val="00C671B3"/>
    <w:rsid w:val="00C67698"/>
    <w:rsid w:val="00C701B3"/>
    <w:rsid w:val="00C706A5"/>
    <w:rsid w:val="00C70A4B"/>
    <w:rsid w:val="00C70D15"/>
    <w:rsid w:val="00C71138"/>
    <w:rsid w:val="00C714B3"/>
    <w:rsid w:val="00C72080"/>
    <w:rsid w:val="00C72318"/>
    <w:rsid w:val="00C72E31"/>
    <w:rsid w:val="00C73AF1"/>
    <w:rsid w:val="00C73C35"/>
    <w:rsid w:val="00C744C3"/>
    <w:rsid w:val="00C7475A"/>
    <w:rsid w:val="00C7506F"/>
    <w:rsid w:val="00C76249"/>
    <w:rsid w:val="00C77FF2"/>
    <w:rsid w:val="00C80E65"/>
    <w:rsid w:val="00C814E3"/>
    <w:rsid w:val="00C823BD"/>
    <w:rsid w:val="00C82FA2"/>
    <w:rsid w:val="00C85227"/>
    <w:rsid w:val="00C85D85"/>
    <w:rsid w:val="00C85F79"/>
    <w:rsid w:val="00C872A0"/>
    <w:rsid w:val="00C87570"/>
    <w:rsid w:val="00C87EFC"/>
    <w:rsid w:val="00C900C9"/>
    <w:rsid w:val="00C91677"/>
    <w:rsid w:val="00C91CD1"/>
    <w:rsid w:val="00C929CE"/>
    <w:rsid w:val="00C93EAA"/>
    <w:rsid w:val="00C93FD8"/>
    <w:rsid w:val="00C94453"/>
    <w:rsid w:val="00C94A80"/>
    <w:rsid w:val="00C94E38"/>
    <w:rsid w:val="00C94F63"/>
    <w:rsid w:val="00C95A6B"/>
    <w:rsid w:val="00C95C1F"/>
    <w:rsid w:val="00C968CC"/>
    <w:rsid w:val="00C96A63"/>
    <w:rsid w:val="00C96AEA"/>
    <w:rsid w:val="00C96B1D"/>
    <w:rsid w:val="00C976F1"/>
    <w:rsid w:val="00C97B9F"/>
    <w:rsid w:val="00CA2955"/>
    <w:rsid w:val="00CA482A"/>
    <w:rsid w:val="00CA49CC"/>
    <w:rsid w:val="00CA51B4"/>
    <w:rsid w:val="00CA5870"/>
    <w:rsid w:val="00CA6364"/>
    <w:rsid w:val="00CA6989"/>
    <w:rsid w:val="00CA6F5A"/>
    <w:rsid w:val="00CA6F70"/>
    <w:rsid w:val="00CA71DA"/>
    <w:rsid w:val="00CA7EF6"/>
    <w:rsid w:val="00CB00C5"/>
    <w:rsid w:val="00CB07BB"/>
    <w:rsid w:val="00CB09C6"/>
    <w:rsid w:val="00CB1696"/>
    <w:rsid w:val="00CB2019"/>
    <w:rsid w:val="00CB2C1A"/>
    <w:rsid w:val="00CB3616"/>
    <w:rsid w:val="00CB3C08"/>
    <w:rsid w:val="00CB3CA9"/>
    <w:rsid w:val="00CB45B8"/>
    <w:rsid w:val="00CB53F3"/>
    <w:rsid w:val="00CB592A"/>
    <w:rsid w:val="00CB5DC1"/>
    <w:rsid w:val="00CB6356"/>
    <w:rsid w:val="00CB6AA0"/>
    <w:rsid w:val="00CB76EA"/>
    <w:rsid w:val="00CB773A"/>
    <w:rsid w:val="00CB7864"/>
    <w:rsid w:val="00CB7BC2"/>
    <w:rsid w:val="00CC30D7"/>
    <w:rsid w:val="00CC3DB6"/>
    <w:rsid w:val="00CC4120"/>
    <w:rsid w:val="00CC4490"/>
    <w:rsid w:val="00CC555C"/>
    <w:rsid w:val="00CC5917"/>
    <w:rsid w:val="00CC616C"/>
    <w:rsid w:val="00CC665B"/>
    <w:rsid w:val="00CC68C5"/>
    <w:rsid w:val="00CC77E4"/>
    <w:rsid w:val="00CD00FA"/>
    <w:rsid w:val="00CD1559"/>
    <w:rsid w:val="00CD17D5"/>
    <w:rsid w:val="00CD1E97"/>
    <w:rsid w:val="00CD1F91"/>
    <w:rsid w:val="00CD259B"/>
    <w:rsid w:val="00CD2800"/>
    <w:rsid w:val="00CD3A9A"/>
    <w:rsid w:val="00CD3C0D"/>
    <w:rsid w:val="00CD4181"/>
    <w:rsid w:val="00CD4585"/>
    <w:rsid w:val="00CD5F53"/>
    <w:rsid w:val="00CD7B38"/>
    <w:rsid w:val="00CE003E"/>
    <w:rsid w:val="00CE03F5"/>
    <w:rsid w:val="00CE05B0"/>
    <w:rsid w:val="00CE0A3F"/>
    <w:rsid w:val="00CE24DD"/>
    <w:rsid w:val="00CE25B4"/>
    <w:rsid w:val="00CE27F5"/>
    <w:rsid w:val="00CE2B11"/>
    <w:rsid w:val="00CE2D73"/>
    <w:rsid w:val="00CE3AEF"/>
    <w:rsid w:val="00CE443B"/>
    <w:rsid w:val="00CE4B52"/>
    <w:rsid w:val="00CE4D13"/>
    <w:rsid w:val="00CE5396"/>
    <w:rsid w:val="00CE555C"/>
    <w:rsid w:val="00CE5F9D"/>
    <w:rsid w:val="00CE6C38"/>
    <w:rsid w:val="00CE7872"/>
    <w:rsid w:val="00CF0017"/>
    <w:rsid w:val="00CF0163"/>
    <w:rsid w:val="00CF085E"/>
    <w:rsid w:val="00CF09A5"/>
    <w:rsid w:val="00CF10DF"/>
    <w:rsid w:val="00CF2D3B"/>
    <w:rsid w:val="00CF3082"/>
    <w:rsid w:val="00CF3268"/>
    <w:rsid w:val="00CF3541"/>
    <w:rsid w:val="00CF38B5"/>
    <w:rsid w:val="00CF489B"/>
    <w:rsid w:val="00CF490A"/>
    <w:rsid w:val="00CF5E47"/>
    <w:rsid w:val="00CF6BB4"/>
    <w:rsid w:val="00CF6E6C"/>
    <w:rsid w:val="00CF6E70"/>
    <w:rsid w:val="00CF7444"/>
    <w:rsid w:val="00CF7B93"/>
    <w:rsid w:val="00D002B7"/>
    <w:rsid w:val="00D00FB0"/>
    <w:rsid w:val="00D02970"/>
    <w:rsid w:val="00D035C0"/>
    <w:rsid w:val="00D039D9"/>
    <w:rsid w:val="00D039E6"/>
    <w:rsid w:val="00D03E2E"/>
    <w:rsid w:val="00D04545"/>
    <w:rsid w:val="00D04DAB"/>
    <w:rsid w:val="00D05034"/>
    <w:rsid w:val="00D05527"/>
    <w:rsid w:val="00D05A1E"/>
    <w:rsid w:val="00D05E8E"/>
    <w:rsid w:val="00D063DF"/>
    <w:rsid w:val="00D0784E"/>
    <w:rsid w:val="00D1034E"/>
    <w:rsid w:val="00D1059C"/>
    <w:rsid w:val="00D106D7"/>
    <w:rsid w:val="00D10EF1"/>
    <w:rsid w:val="00D1103E"/>
    <w:rsid w:val="00D1110F"/>
    <w:rsid w:val="00D113DE"/>
    <w:rsid w:val="00D11897"/>
    <w:rsid w:val="00D11FA6"/>
    <w:rsid w:val="00D12F92"/>
    <w:rsid w:val="00D13322"/>
    <w:rsid w:val="00D138F5"/>
    <w:rsid w:val="00D139C9"/>
    <w:rsid w:val="00D13A57"/>
    <w:rsid w:val="00D13B8F"/>
    <w:rsid w:val="00D13E89"/>
    <w:rsid w:val="00D141C7"/>
    <w:rsid w:val="00D148C8"/>
    <w:rsid w:val="00D15374"/>
    <w:rsid w:val="00D16D05"/>
    <w:rsid w:val="00D16EF0"/>
    <w:rsid w:val="00D16EF9"/>
    <w:rsid w:val="00D17130"/>
    <w:rsid w:val="00D17758"/>
    <w:rsid w:val="00D17965"/>
    <w:rsid w:val="00D20556"/>
    <w:rsid w:val="00D21428"/>
    <w:rsid w:val="00D21783"/>
    <w:rsid w:val="00D2225D"/>
    <w:rsid w:val="00D22459"/>
    <w:rsid w:val="00D22485"/>
    <w:rsid w:val="00D22CE6"/>
    <w:rsid w:val="00D2326A"/>
    <w:rsid w:val="00D23E6D"/>
    <w:rsid w:val="00D23F6C"/>
    <w:rsid w:val="00D243B7"/>
    <w:rsid w:val="00D24C8C"/>
    <w:rsid w:val="00D25B22"/>
    <w:rsid w:val="00D25D67"/>
    <w:rsid w:val="00D268A1"/>
    <w:rsid w:val="00D26D39"/>
    <w:rsid w:val="00D302B4"/>
    <w:rsid w:val="00D31987"/>
    <w:rsid w:val="00D319FE"/>
    <w:rsid w:val="00D323D1"/>
    <w:rsid w:val="00D326DA"/>
    <w:rsid w:val="00D33B2C"/>
    <w:rsid w:val="00D33BC0"/>
    <w:rsid w:val="00D33DDC"/>
    <w:rsid w:val="00D34415"/>
    <w:rsid w:val="00D3592B"/>
    <w:rsid w:val="00D35989"/>
    <w:rsid w:val="00D35B9B"/>
    <w:rsid w:val="00D35EAD"/>
    <w:rsid w:val="00D37DFB"/>
    <w:rsid w:val="00D40078"/>
    <w:rsid w:val="00D4022D"/>
    <w:rsid w:val="00D414F5"/>
    <w:rsid w:val="00D41CA0"/>
    <w:rsid w:val="00D41F51"/>
    <w:rsid w:val="00D42E22"/>
    <w:rsid w:val="00D43872"/>
    <w:rsid w:val="00D454E7"/>
    <w:rsid w:val="00D45527"/>
    <w:rsid w:val="00D46097"/>
    <w:rsid w:val="00D46521"/>
    <w:rsid w:val="00D47E28"/>
    <w:rsid w:val="00D50127"/>
    <w:rsid w:val="00D517D0"/>
    <w:rsid w:val="00D523EB"/>
    <w:rsid w:val="00D52D57"/>
    <w:rsid w:val="00D53275"/>
    <w:rsid w:val="00D54358"/>
    <w:rsid w:val="00D54562"/>
    <w:rsid w:val="00D548B4"/>
    <w:rsid w:val="00D5512F"/>
    <w:rsid w:val="00D553C6"/>
    <w:rsid w:val="00D554E1"/>
    <w:rsid w:val="00D55501"/>
    <w:rsid w:val="00D5577E"/>
    <w:rsid w:val="00D55F1F"/>
    <w:rsid w:val="00D5614A"/>
    <w:rsid w:val="00D563AD"/>
    <w:rsid w:val="00D564E9"/>
    <w:rsid w:val="00D5679E"/>
    <w:rsid w:val="00D567AA"/>
    <w:rsid w:val="00D56FFA"/>
    <w:rsid w:val="00D57F34"/>
    <w:rsid w:val="00D604DA"/>
    <w:rsid w:val="00D61D3A"/>
    <w:rsid w:val="00D61E66"/>
    <w:rsid w:val="00D61F21"/>
    <w:rsid w:val="00D62952"/>
    <w:rsid w:val="00D62B1A"/>
    <w:rsid w:val="00D6316F"/>
    <w:rsid w:val="00D63E9A"/>
    <w:rsid w:val="00D641F8"/>
    <w:rsid w:val="00D64A9F"/>
    <w:rsid w:val="00D66AE3"/>
    <w:rsid w:val="00D67390"/>
    <w:rsid w:val="00D673AA"/>
    <w:rsid w:val="00D702BE"/>
    <w:rsid w:val="00D70BAF"/>
    <w:rsid w:val="00D713A0"/>
    <w:rsid w:val="00D7152A"/>
    <w:rsid w:val="00D720AD"/>
    <w:rsid w:val="00D7233D"/>
    <w:rsid w:val="00D724DC"/>
    <w:rsid w:val="00D72738"/>
    <w:rsid w:val="00D72CF7"/>
    <w:rsid w:val="00D741FC"/>
    <w:rsid w:val="00D7524D"/>
    <w:rsid w:val="00D75C4F"/>
    <w:rsid w:val="00D75F3A"/>
    <w:rsid w:val="00D7636E"/>
    <w:rsid w:val="00D768F3"/>
    <w:rsid w:val="00D76A10"/>
    <w:rsid w:val="00D76CA5"/>
    <w:rsid w:val="00D76ED3"/>
    <w:rsid w:val="00D77DC1"/>
    <w:rsid w:val="00D77E85"/>
    <w:rsid w:val="00D77F27"/>
    <w:rsid w:val="00D80A2B"/>
    <w:rsid w:val="00D80D6A"/>
    <w:rsid w:val="00D81D1D"/>
    <w:rsid w:val="00D83DDB"/>
    <w:rsid w:val="00D84084"/>
    <w:rsid w:val="00D8421B"/>
    <w:rsid w:val="00D84AA2"/>
    <w:rsid w:val="00D84BF3"/>
    <w:rsid w:val="00D85054"/>
    <w:rsid w:val="00D851B0"/>
    <w:rsid w:val="00D85FE2"/>
    <w:rsid w:val="00D87B49"/>
    <w:rsid w:val="00D90594"/>
    <w:rsid w:val="00D90AA2"/>
    <w:rsid w:val="00D90C0D"/>
    <w:rsid w:val="00D9112C"/>
    <w:rsid w:val="00D92B4D"/>
    <w:rsid w:val="00D93334"/>
    <w:rsid w:val="00D93A63"/>
    <w:rsid w:val="00D93D3C"/>
    <w:rsid w:val="00D93D73"/>
    <w:rsid w:val="00D93EB1"/>
    <w:rsid w:val="00D9452B"/>
    <w:rsid w:val="00D94ADC"/>
    <w:rsid w:val="00D96AB7"/>
    <w:rsid w:val="00D9730C"/>
    <w:rsid w:val="00D977C8"/>
    <w:rsid w:val="00DA00B8"/>
    <w:rsid w:val="00DA1780"/>
    <w:rsid w:val="00DA244B"/>
    <w:rsid w:val="00DA3198"/>
    <w:rsid w:val="00DA380F"/>
    <w:rsid w:val="00DA3867"/>
    <w:rsid w:val="00DA3E9A"/>
    <w:rsid w:val="00DA4DBD"/>
    <w:rsid w:val="00DA60E1"/>
    <w:rsid w:val="00DA65F6"/>
    <w:rsid w:val="00DA6F31"/>
    <w:rsid w:val="00DA706E"/>
    <w:rsid w:val="00DA7137"/>
    <w:rsid w:val="00DA786A"/>
    <w:rsid w:val="00DA7D1B"/>
    <w:rsid w:val="00DB03ED"/>
    <w:rsid w:val="00DB06E9"/>
    <w:rsid w:val="00DB0E7C"/>
    <w:rsid w:val="00DB181D"/>
    <w:rsid w:val="00DB1B17"/>
    <w:rsid w:val="00DB1DEA"/>
    <w:rsid w:val="00DB1EDB"/>
    <w:rsid w:val="00DB210F"/>
    <w:rsid w:val="00DB220A"/>
    <w:rsid w:val="00DB2DBE"/>
    <w:rsid w:val="00DB32DE"/>
    <w:rsid w:val="00DB49B6"/>
    <w:rsid w:val="00DB4D78"/>
    <w:rsid w:val="00DB5B40"/>
    <w:rsid w:val="00DB6DA6"/>
    <w:rsid w:val="00DC055B"/>
    <w:rsid w:val="00DC0DC8"/>
    <w:rsid w:val="00DC1302"/>
    <w:rsid w:val="00DC13E1"/>
    <w:rsid w:val="00DC1E47"/>
    <w:rsid w:val="00DC2397"/>
    <w:rsid w:val="00DC249C"/>
    <w:rsid w:val="00DC2BEF"/>
    <w:rsid w:val="00DC304F"/>
    <w:rsid w:val="00DC3545"/>
    <w:rsid w:val="00DC364B"/>
    <w:rsid w:val="00DC4B35"/>
    <w:rsid w:val="00DC4FBE"/>
    <w:rsid w:val="00DC5836"/>
    <w:rsid w:val="00DC5A31"/>
    <w:rsid w:val="00DC676B"/>
    <w:rsid w:val="00DD2026"/>
    <w:rsid w:val="00DD2648"/>
    <w:rsid w:val="00DD267B"/>
    <w:rsid w:val="00DD2A1E"/>
    <w:rsid w:val="00DD2A77"/>
    <w:rsid w:val="00DD5AD6"/>
    <w:rsid w:val="00DD6FD9"/>
    <w:rsid w:val="00DD79E3"/>
    <w:rsid w:val="00DE048F"/>
    <w:rsid w:val="00DE1206"/>
    <w:rsid w:val="00DE215D"/>
    <w:rsid w:val="00DE3C99"/>
    <w:rsid w:val="00DE4509"/>
    <w:rsid w:val="00DE491D"/>
    <w:rsid w:val="00DE552A"/>
    <w:rsid w:val="00DE58D7"/>
    <w:rsid w:val="00DE5A78"/>
    <w:rsid w:val="00DE5D94"/>
    <w:rsid w:val="00DE6C85"/>
    <w:rsid w:val="00DE7FFC"/>
    <w:rsid w:val="00DF0119"/>
    <w:rsid w:val="00DF0528"/>
    <w:rsid w:val="00DF171F"/>
    <w:rsid w:val="00DF179B"/>
    <w:rsid w:val="00DF17F9"/>
    <w:rsid w:val="00DF1AB3"/>
    <w:rsid w:val="00DF1AB5"/>
    <w:rsid w:val="00DF221E"/>
    <w:rsid w:val="00DF2CD3"/>
    <w:rsid w:val="00DF369E"/>
    <w:rsid w:val="00DF62C2"/>
    <w:rsid w:val="00DF62E2"/>
    <w:rsid w:val="00DF7BAF"/>
    <w:rsid w:val="00E0008D"/>
    <w:rsid w:val="00E001C4"/>
    <w:rsid w:val="00E009EE"/>
    <w:rsid w:val="00E00A82"/>
    <w:rsid w:val="00E00CDF"/>
    <w:rsid w:val="00E0120D"/>
    <w:rsid w:val="00E01521"/>
    <w:rsid w:val="00E016C4"/>
    <w:rsid w:val="00E01FA1"/>
    <w:rsid w:val="00E022C5"/>
    <w:rsid w:val="00E0246A"/>
    <w:rsid w:val="00E02A34"/>
    <w:rsid w:val="00E02D6C"/>
    <w:rsid w:val="00E030B1"/>
    <w:rsid w:val="00E03768"/>
    <w:rsid w:val="00E03B67"/>
    <w:rsid w:val="00E040F3"/>
    <w:rsid w:val="00E0420B"/>
    <w:rsid w:val="00E042F5"/>
    <w:rsid w:val="00E0574B"/>
    <w:rsid w:val="00E061AE"/>
    <w:rsid w:val="00E067D0"/>
    <w:rsid w:val="00E07170"/>
    <w:rsid w:val="00E0719F"/>
    <w:rsid w:val="00E07465"/>
    <w:rsid w:val="00E07518"/>
    <w:rsid w:val="00E10FE2"/>
    <w:rsid w:val="00E1107E"/>
    <w:rsid w:val="00E11853"/>
    <w:rsid w:val="00E11BB7"/>
    <w:rsid w:val="00E11D10"/>
    <w:rsid w:val="00E11EBD"/>
    <w:rsid w:val="00E13405"/>
    <w:rsid w:val="00E1447C"/>
    <w:rsid w:val="00E1484A"/>
    <w:rsid w:val="00E14C9D"/>
    <w:rsid w:val="00E14DE9"/>
    <w:rsid w:val="00E1512A"/>
    <w:rsid w:val="00E159E6"/>
    <w:rsid w:val="00E163A1"/>
    <w:rsid w:val="00E16632"/>
    <w:rsid w:val="00E16B60"/>
    <w:rsid w:val="00E16DF8"/>
    <w:rsid w:val="00E16EEC"/>
    <w:rsid w:val="00E1715A"/>
    <w:rsid w:val="00E1790A"/>
    <w:rsid w:val="00E204D1"/>
    <w:rsid w:val="00E2206C"/>
    <w:rsid w:val="00E22192"/>
    <w:rsid w:val="00E2224C"/>
    <w:rsid w:val="00E2269E"/>
    <w:rsid w:val="00E22F4A"/>
    <w:rsid w:val="00E234D4"/>
    <w:rsid w:val="00E23C5E"/>
    <w:rsid w:val="00E25030"/>
    <w:rsid w:val="00E265E4"/>
    <w:rsid w:val="00E27CA7"/>
    <w:rsid w:val="00E27EA5"/>
    <w:rsid w:val="00E3029E"/>
    <w:rsid w:val="00E30F1C"/>
    <w:rsid w:val="00E31BAB"/>
    <w:rsid w:val="00E31E48"/>
    <w:rsid w:val="00E32127"/>
    <w:rsid w:val="00E3351C"/>
    <w:rsid w:val="00E33583"/>
    <w:rsid w:val="00E33A89"/>
    <w:rsid w:val="00E3427F"/>
    <w:rsid w:val="00E34506"/>
    <w:rsid w:val="00E345E9"/>
    <w:rsid w:val="00E36F48"/>
    <w:rsid w:val="00E402B8"/>
    <w:rsid w:val="00E40EFD"/>
    <w:rsid w:val="00E41784"/>
    <w:rsid w:val="00E41794"/>
    <w:rsid w:val="00E41992"/>
    <w:rsid w:val="00E41E05"/>
    <w:rsid w:val="00E41E0C"/>
    <w:rsid w:val="00E42A8D"/>
    <w:rsid w:val="00E4386C"/>
    <w:rsid w:val="00E44128"/>
    <w:rsid w:val="00E442A1"/>
    <w:rsid w:val="00E443E4"/>
    <w:rsid w:val="00E44723"/>
    <w:rsid w:val="00E45315"/>
    <w:rsid w:val="00E45773"/>
    <w:rsid w:val="00E461FA"/>
    <w:rsid w:val="00E46677"/>
    <w:rsid w:val="00E477A6"/>
    <w:rsid w:val="00E47D6F"/>
    <w:rsid w:val="00E50D58"/>
    <w:rsid w:val="00E5131F"/>
    <w:rsid w:val="00E5224B"/>
    <w:rsid w:val="00E522A7"/>
    <w:rsid w:val="00E531E7"/>
    <w:rsid w:val="00E53AD3"/>
    <w:rsid w:val="00E53FA3"/>
    <w:rsid w:val="00E543BB"/>
    <w:rsid w:val="00E548A2"/>
    <w:rsid w:val="00E555EA"/>
    <w:rsid w:val="00E556A6"/>
    <w:rsid w:val="00E55C95"/>
    <w:rsid w:val="00E55FB3"/>
    <w:rsid w:val="00E56009"/>
    <w:rsid w:val="00E56675"/>
    <w:rsid w:val="00E56C35"/>
    <w:rsid w:val="00E571CC"/>
    <w:rsid w:val="00E57400"/>
    <w:rsid w:val="00E60F25"/>
    <w:rsid w:val="00E619E4"/>
    <w:rsid w:val="00E61B27"/>
    <w:rsid w:val="00E627F6"/>
    <w:rsid w:val="00E62E41"/>
    <w:rsid w:val="00E638BD"/>
    <w:rsid w:val="00E640FA"/>
    <w:rsid w:val="00E6452D"/>
    <w:rsid w:val="00E6458A"/>
    <w:rsid w:val="00E66872"/>
    <w:rsid w:val="00E67510"/>
    <w:rsid w:val="00E67EE4"/>
    <w:rsid w:val="00E7052B"/>
    <w:rsid w:val="00E707EF"/>
    <w:rsid w:val="00E709DF"/>
    <w:rsid w:val="00E70D2A"/>
    <w:rsid w:val="00E70FF3"/>
    <w:rsid w:val="00E7109F"/>
    <w:rsid w:val="00E71175"/>
    <w:rsid w:val="00E7128A"/>
    <w:rsid w:val="00E729D8"/>
    <w:rsid w:val="00E72FB5"/>
    <w:rsid w:val="00E73938"/>
    <w:rsid w:val="00E74131"/>
    <w:rsid w:val="00E74794"/>
    <w:rsid w:val="00E748EB"/>
    <w:rsid w:val="00E74ADC"/>
    <w:rsid w:val="00E74D5A"/>
    <w:rsid w:val="00E7611D"/>
    <w:rsid w:val="00E7678D"/>
    <w:rsid w:val="00E772C0"/>
    <w:rsid w:val="00E8457A"/>
    <w:rsid w:val="00E85462"/>
    <w:rsid w:val="00E85929"/>
    <w:rsid w:val="00E865C9"/>
    <w:rsid w:val="00E8680D"/>
    <w:rsid w:val="00E870DB"/>
    <w:rsid w:val="00E87A30"/>
    <w:rsid w:val="00E87D24"/>
    <w:rsid w:val="00E905BD"/>
    <w:rsid w:val="00E9062C"/>
    <w:rsid w:val="00E90BFC"/>
    <w:rsid w:val="00E91699"/>
    <w:rsid w:val="00E916F1"/>
    <w:rsid w:val="00E92BE9"/>
    <w:rsid w:val="00E92F9F"/>
    <w:rsid w:val="00E9347F"/>
    <w:rsid w:val="00E94716"/>
    <w:rsid w:val="00E9473C"/>
    <w:rsid w:val="00E94AC2"/>
    <w:rsid w:val="00E94CCB"/>
    <w:rsid w:val="00E95525"/>
    <w:rsid w:val="00E959B3"/>
    <w:rsid w:val="00E959E8"/>
    <w:rsid w:val="00E96060"/>
    <w:rsid w:val="00E96427"/>
    <w:rsid w:val="00E96E14"/>
    <w:rsid w:val="00E9702D"/>
    <w:rsid w:val="00E974FA"/>
    <w:rsid w:val="00E97A41"/>
    <w:rsid w:val="00EA0137"/>
    <w:rsid w:val="00EA15BA"/>
    <w:rsid w:val="00EA1D6D"/>
    <w:rsid w:val="00EA1EEC"/>
    <w:rsid w:val="00EA2018"/>
    <w:rsid w:val="00EA205A"/>
    <w:rsid w:val="00EA3083"/>
    <w:rsid w:val="00EA3825"/>
    <w:rsid w:val="00EA3C3C"/>
    <w:rsid w:val="00EA4C22"/>
    <w:rsid w:val="00EA5580"/>
    <w:rsid w:val="00EA57D0"/>
    <w:rsid w:val="00EA7737"/>
    <w:rsid w:val="00EA79FB"/>
    <w:rsid w:val="00EB0609"/>
    <w:rsid w:val="00EB078A"/>
    <w:rsid w:val="00EB0D9D"/>
    <w:rsid w:val="00EB147E"/>
    <w:rsid w:val="00EB1F10"/>
    <w:rsid w:val="00EB284E"/>
    <w:rsid w:val="00EB2A0A"/>
    <w:rsid w:val="00EB2DD9"/>
    <w:rsid w:val="00EB2F99"/>
    <w:rsid w:val="00EB2FF9"/>
    <w:rsid w:val="00EB35F3"/>
    <w:rsid w:val="00EB3FFD"/>
    <w:rsid w:val="00EB409B"/>
    <w:rsid w:val="00EB41C4"/>
    <w:rsid w:val="00EB4313"/>
    <w:rsid w:val="00EB5488"/>
    <w:rsid w:val="00EB54B3"/>
    <w:rsid w:val="00EB5745"/>
    <w:rsid w:val="00EB5E7C"/>
    <w:rsid w:val="00EB605E"/>
    <w:rsid w:val="00EB61C0"/>
    <w:rsid w:val="00EB676E"/>
    <w:rsid w:val="00EB68B6"/>
    <w:rsid w:val="00EB6BE8"/>
    <w:rsid w:val="00EB6C77"/>
    <w:rsid w:val="00EB7213"/>
    <w:rsid w:val="00EB752B"/>
    <w:rsid w:val="00EC04CA"/>
    <w:rsid w:val="00EC0C5E"/>
    <w:rsid w:val="00EC1BE7"/>
    <w:rsid w:val="00EC1D43"/>
    <w:rsid w:val="00EC2700"/>
    <w:rsid w:val="00EC3105"/>
    <w:rsid w:val="00EC34C5"/>
    <w:rsid w:val="00EC42FA"/>
    <w:rsid w:val="00EC4A64"/>
    <w:rsid w:val="00EC539C"/>
    <w:rsid w:val="00EC5534"/>
    <w:rsid w:val="00EC578A"/>
    <w:rsid w:val="00EC6555"/>
    <w:rsid w:val="00EC6CF7"/>
    <w:rsid w:val="00EC6F5C"/>
    <w:rsid w:val="00EC7546"/>
    <w:rsid w:val="00EC75B2"/>
    <w:rsid w:val="00EC7956"/>
    <w:rsid w:val="00ED0791"/>
    <w:rsid w:val="00ED0ED5"/>
    <w:rsid w:val="00ED2CEA"/>
    <w:rsid w:val="00ED2D7A"/>
    <w:rsid w:val="00ED2D83"/>
    <w:rsid w:val="00ED3373"/>
    <w:rsid w:val="00ED602D"/>
    <w:rsid w:val="00ED6B8F"/>
    <w:rsid w:val="00ED6E53"/>
    <w:rsid w:val="00ED7023"/>
    <w:rsid w:val="00ED71A4"/>
    <w:rsid w:val="00EE0397"/>
    <w:rsid w:val="00EE03EB"/>
    <w:rsid w:val="00EE0655"/>
    <w:rsid w:val="00EE0EB8"/>
    <w:rsid w:val="00EE1923"/>
    <w:rsid w:val="00EE3490"/>
    <w:rsid w:val="00EE43E3"/>
    <w:rsid w:val="00EE571A"/>
    <w:rsid w:val="00EE7131"/>
    <w:rsid w:val="00EE7955"/>
    <w:rsid w:val="00EF0475"/>
    <w:rsid w:val="00EF136E"/>
    <w:rsid w:val="00EF1E54"/>
    <w:rsid w:val="00EF24E6"/>
    <w:rsid w:val="00EF2C03"/>
    <w:rsid w:val="00EF2FA6"/>
    <w:rsid w:val="00EF2FFA"/>
    <w:rsid w:val="00EF3BCC"/>
    <w:rsid w:val="00EF4D2C"/>
    <w:rsid w:val="00EF59EE"/>
    <w:rsid w:val="00EF5A96"/>
    <w:rsid w:val="00EF7277"/>
    <w:rsid w:val="00EF772F"/>
    <w:rsid w:val="00F01210"/>
    <w:rsid w:val="00F017F1"/>
    <w:rsid w:val="00F02D27"/>
    <w:rsid w:val="00F04758"/>
    <w:rsid w:val="00F04852"/>
    <w:rsid w:val="00F05015"/>
    <w:rsid w:val="00F061C4"/>
    <w:rsid w:val="00F06A6A"/>
    <w:rsid w:val="00F06B39"/>
    <w:rsid w:val="00F06F28"/>
    <w:rsid w:val="00F07166"/>
    <w:rsid w:val="00F078CD"/>
    <w:rsid w:val="00F07C41"/>
    <w:rsid w:val="00F1080E"/>
    <w:rsid w:val="00F10829"/>
    <w:rsid w:val="00F109BA"/>
    <w:rsid w:val="00F11462"/>
    <w:rsid w:val="00F119B5"/>
    <w:rsid w:val="00F12B69"/>
    <w:rsid w:val="00F1666B"/>
    <w:rsid w:val="00F16893"/>
    <w:rsid w:val="00F16BDC"/>
    <w:rsid w:val="00F17B9D"/>
    <w:rsid w:val="00F201E7"/>
    <w:rsid w:val="00F20644"/>
    <w:rsid w:val="00F20E5B"/>
    <w:rsid w:val="00F21FD0"/>
    <w:rsid w:val="00F2296F"/>
    <w:rsid w:val="00F23039"/>
    <w:rsid w:val="00F24882"/>
    <w:rsid w:val="00F24E95"/>
    <w:rsid w:val="00F27A8A"/>
    <w:rsid w:val="00F33CBB"/>
    <w:rsid w:val="00F34F90"/>
    <w:rsid w:val="00F35575"/>
    <w:rsid w:val="00F3570E"/>
    <w:rsid w:val="00F35DBC"/>
    <w:rsid w:val="00F3620D"/>
    <w:rsid w:val="00F3635D"/>
    <w:rsid w:val="00F372EB"/>
    <w:rsid w:val="00F37379"/>
    <w:rsid w:val="00F37422"/>
    <w:rsid w:val="00F37E61"/>
    <w:rsid w:val="00F406EF"/>
    <w:rsid w:val="00F409B1"/>
    <w:rsid w:val="00F40FCE"/>
    <w:rsid w:val="00F40FEE"/>
    <w:rsid w:val="00F41B9B"/>
    <w:rsid w:val="00F430E6"/>
    <w:rsid w:val="00F43C7B"/>
    <w:rsid w:val="00F44BD0"/>
    <w:rsid w:val="00F44CD1"/>
    <w:rsid w:val="00F4574D"/>
    <w:rsid w:val="00F45C72"/>
    <w:rsid w:val="00F45E1C"/>
    <w:rsid w:val="00F469DA"/>
    <w:rsid w:val="00F46B8D"/>
    <w:rsid w:val="00F477FE"/>
    <w:rsid w:val="00F50003"/>
    <w:rsid w:val="00F50CB9"/>
    <w:rsid w:val="00F52F0C"/>
    <w:rsid w:val="00F537E7"/>
    <w:rsid w:val="00F53CD4"/>
    <w:rsid w:val="00F5423D"/>
    <w:rsid w:val="00F556FF"/>
    <w:rsid w:val="00F56124"/>
    <w:rsid w:val="00F566D3"/>
    <w:rsid w:val="00F5750F"/>
    <w:rsid w:val="00F57895"/>
    <w:rsid w:val="00F6021D"/>
    <w:rsid w:val="00F60885"/>
    <w:rsid w:val="00F60DDE"/>
    <w:rsid w:val="00F61D79"/>
    <w:rsid w:val="00F625E1"/>
    <w:rsid w:val="00F6278E"/>
    <w:rsid w:val="00F628B0"/>
    <w:rsid w:val="00F62B6E"/>
    <w:rsid w:val="00F62D83"/>
    <w:rsid w:val="00F65398"/>
    <w:rsid w:val="00F654BE"/>
    <w:rsid w:val="00F656E6"/>
    <w:rsid w:val="00F65948"/>
    <w:rsid w:val="00F65FAF"/>
    <w:rsid w:val="00F66008"/>
    <w:rsid w:val="00F663A6"/>
    <w:rsid w:val="00F66680"/>
    <w:rsid w:val="00F66C28"/>
    <w:rsid w:val="00F66E42"/>
    <w:rsid w:val="00F671C6"/>
    <w:rsid w:val="00F6757F"/>
    <w:rsid w:val="00F70F2A"/>
    <w:rsid w:val="00F70FE5"/>
    <w:rsid w:val="00F71ED3"/>
    <w:rsid w:val="00F727CB"/>
    <w:rsid w:val="00F7332B"/>
    <w:rsid w:val="00F733C9"/>
    <w:rsid w:val="00F749AF"/>
    <w:rsid w:val="00F752D4"/>
    <w:rsid w:val="00F766B2"/>
    <w:rsid w:val="00F76B9D"/>
    <w:rsid w:val="00F77135"/>
    <w:rsid w:val="00F771F1"/>
    <w:rsid w:val="00F80338"/>
    <w:rsid w:val="00F808DA"/>
    <w:rsid w:val="00F80F35"/>
    <w:rsid w:val="00F811D5"/>
    <w:rsid w:val="00F81337"/>
    <w:rsid w:val="00F81E59"/>
    <w:rsid w:val="00F826E8"/>
    <w:rsid w:val="00F82FA0"/>
    <w:rsid w:val="00F8335D"/>
    <w:rsid w:val="00F83AD4"/>
    <w:rsid w:val="00F83BB0"/>
    <w:rsid w:val="00F83D5B"/>
    <w:rsid w:val="00F83EC5"/>
    <w:rsid w:val="00F842FF"/>
    <w:rsid w:val="00F8477B"/>
    <w:rsid w:val="00F86A23"/>
    <w:rsid w:val="00F86AFB"/>
    <w:rsid w:val="00F86EAC"/>
    <w:rsid w:val="00F86FF5"/>
    <w:rsid w:val="00F87851"/>
    <w:rsid w:val="00F87A5E"/>
    <w:rsid w:val="00F87F4A"/>
    <w:rsid w:val="00F90C09"/>
    <w:rsid w:val="00F90E31"/>
    <w:rsid w:val="00F91655"/>
    <w:rsid w:val="00F92D67"/>
    <w:rsid w:val="00F93158"/>
    <w:rsid w:val="00F933F4"/>
    <w:rsid w:val="00F9424E"/>
    <w:rsid w:val="00F95AB9"/>
    <w:rsid w:val="00F960F0"/>
    <w:rsid w:val="00F96227"/>
    <w:rsid w:val="00F97FE7"/>
    <w:rsid w:val="00FA00D7"/>
    <w:rsid w:val="00FA0B9D"/>
    <w:rsid w:val="00FA0EA5"/>
    <w:rsid w:val="00FA110B"/>
    <w:rsid w:val="00FA12E0"/>
    <w:rsid w:val="00FA1489"/>
    <w:rsid w:val="00FA174F"/>
    <w:rsid w:val="00FA1EC3"/>
    <w:rsid w:val="00FA2186"/>
    <w:rsid w:val="00FA28B5"/>
    <w:rsid w:val="00FA2D27"/>
    <w:rsid w:val="00FA2E00"/>
    <w:rsid w:val="00FA2E08"/>
    <w:rsid w:val="00FA3097"/>
    <w:rsid w:val="00FA338A"/>
    <w:rsid w:val="00FA33E5"/>
    <w:rsid w:val="00FA37C6"/>
    <w:rsid w:val="00FA3D42"/>
    <w:rsid w:val="00FA52FF"/>
    <w:rsid w:val="00FA5F0F"/>
    <w:rsid w:val="00FA5F3D"/>
    <w:rsid w:val="00FB3249"/>
    <w:rsid w:val="00FB444E"/>
    <w:rsid w:val="00FB45CC"/>
    <w:rsid w:val="00FB52FD"/>
    <w:rsid w:val="00FB5856"/>
    <w:rsid w:val="00FB5EC3"/>
    <w:rsid w:val="00FB6069"/>
    <w:rsid w:val="00FB60D3"/>
    <w:rsid w:val="00FB6520"/>
    <w:rsid w:val="00FB6CFF"/>
    <w:rsid w:val="00FB7CD3"/>
    <w:rsid w:val="00FC0D7A"/>
    <w:rsid w:val="00FC12D6"/>
    <w:rsid w:val="00FC1B5B"/>
    <w:rsid w:val="00FC1C3C"/>
    <w:rsid w:val="00FC2160"/>
    <w:rsid w:val="00FC2218"/>
    <w:rsid w:val="00FC2BA0"/>
    <w:rsid w:val="00FC2F5C"/>
    <w:rsid w:val="00FC312C"/>
    <w:rsid w:val="00FC318E"/>
    <w:rsid w:val="00FC336F"/>
    <w:rsid w:val="00FC370A"/>
    <w:rsid w:val="00FC3A1F"/>
    <w:rsid w:val="00FC470E"/>
    <w:rsid w:val="00FC4BB0"/>
    <w:rsid w:val="00FC4E57"/>
    <w:rsid w:val="00FC4F48"/>
    <w:rsid w:val="00FC5A60"/>
    <w:rsid w:val="00FC7126"/>
    <w:rsid w:val="00FC7143"/>
    <w:rsid w:val="00FC7505"/>
    <w:rsid w:val="00FC7C7F"/>
    <w:rsid w:val="00FD118E"/>
    <w:rsid w:val="00FD2441"/>
    <w:rsid w:val="00FD2958"/>
    <w:rsid w:val="00FD3616"/>
    <w:rsid w:val="00FD37BD"/>
    <w:rsid w:val="00FD3A4D"/>
    <w:rsid w:val="00FD3F4C"/>
    <w:rsid w:val="00FD420D"/>
    <w:rsid w:val="00FD44AB"/>
    <w:rsid w:val="00FD4A4B"/>
    <w:rsid w:val="00FD4F07"/>
    <w:rsid w:val="00FD508C"/>
    <w:rsid w:val="00FD511B"/>
    <w:rsid w:val="00FD5C41"/>
    <w:rsid w:val="00FD5E2D"/>
    <w:rsid w:val="00FD617F"/>
    <w:rsid w:val="00FD61A1"/>
    <w:rsid w:val="00FD7AD8"/>
    <w:rsid w:val="00FD7BFC"/>
    <w:rsid w:val="00FD7C67"/>
    <w:rsid w:val="00FD7CAB"/>
    <w:rsid w:val="00FD7DD0"/>
    <w:rsid w:val="00FE0E04"/>
    <w:rsid w:val="00FE0FCA"/>
    <w:rsid w:val="00FE12F6"/>
    <w:rsid w:val="00FE1AEA"/>
    <w:rsid w:val="00FE20AE"/>
    <w:rsid w:val="00FE322E"/>
    <w:rsid w:val="00FE3CBE"/>
    <w:rsid w:val="00FE416E"/>
    <w:rsid w:val="00FE4BDD"/>
    <w:rsid w:val="00FE5443"/>
    <w:rsid w:val="00FE6357"/>
    <w:rsid w:val="00FE639A"/>
    <w:rsid w:val="00FE6B1B"/>
    <w:rsid w:val="00FF1D47"/>
    <w:rsid w:val="00FF1F1D"/>
    <w:rsid w:val="00FF27D2"/>
    <w:rsid w:val="00FF2FF6"/>
    <w:rsid w:val="00FF31FB"/>
    <w:rsid w:val="00FF34FD"/>
    <w:rsid w:val="00FF392F"/>
    <w:rsid w:val="00FF44FD"/>
    <w:rsid w:val="00FF53E4"/>
    <w:rsid w:val="00FF5A3D"/>
    <w:rsid w:val="00FF662E"/>
    <w:rsid w:val="00FF7050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C5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3EC5"/>
    <w:pPr>
      <w:keepNext/>
      <w:spacing w:before="240" w:after="60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EC5"/>
    <w:rPr>
      <w:b/>
      <w:bCs/>
      <w:kern w:val="32"/>
      <w:sz w:val="28"/>
      <w:szCs w:val="32"/>
    </w:rPr>
  </w:style>
  <w:style w:type="paragraph" w:styleId="TM1">
    <w:name w:val="toc 1"/>
    <w:basedOn w:val="Normal"/>
    <w:next w:val="Normal"/>
    <w:autoRedefine/>
    <w:uiPriority w:val="39"/>
    <w:qFormat/>
    <w:rsid w:val="00F83EC5"/>
    <w:pPr>
      <w:spacing w:before="120"/>
    </w:pPr>
    <w:rPr>
      <w:rFonts w:ascii="Calibri" w:hAnsi="Calibri" w:cs="Times New Roman"/>
      <w:b/>
      <w:bCs/>
      <w:i/>
      <w:iCs/>
      <w:szCs w:val="28"/>
    </w:rPr>
  </w:style>
  <w:style w:type="paragraph" w:styleId="TM2">
    <w:name w:val="toc 2"/>
    <w:basedOn w:val="Normal"/>
    <w:next w:val="Normal"/>
    <w:autoRedefine/>
    <w:uiPriority w:val="39"/>
    <w:semiHidden/>
    <w:qFormat/>
    <w:rsid w:val="00F83EC5"/>
    <w:pPr>
      <w:spacing w:before="120"/>
      <w:ind w:left="240"/>
    </w:pPr>
    <w:rPr>
      <w:rFonts w:ascii="Calibri" w:hAnsi="Calibri" w:cs="Times New Roman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semiHidden/>
    <w:qFormat/>
    <w:rsid w:val="00F83EC5"/>
    <w:pPr>
      <w:ind w:left="480"/>
    </w:pPr>
    <w:rPr>
      <w:rFonts w:ascii="Calibri" w:hAnsi="Calibri" w:cs="Times New Roman"/>
      <w:sz w:val="20"/>
    </w:rPr>
  </w:style>
  <w:style w:type="paragraph" w:styleId="Lgende">
    <w:name w:val="caption"/>
    <w:aliases w:val="Titre1+Rouge"/>
    <w:basedOn w:val="Normal"/>
    <w:next w:val="Normal"/>
    <w:qFormat/>
    <w:rsid w:val="00F83EC5"/>
    <w:rPr>
      <w:rFonts w:cs="Times New Roman"/>
    </w:rPr>
  </w:style>
  <w:style w:type="paragraph" w:styleId="Sansinterligne">
    <w:name w:val="No Spacing"/>
    <w:link w:val="SansinterligneCar"/>
    <w:uiPriority w:val="1"/>
    <w:qFormat/>
    <w:rsid w:val="00F83EC5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EC5"/>
    <w:rPr>
      <w:rFonts w:ascii="Calibri" w:hAnsi="Calibri" w:cs="Arial"/>
      <w:sz w:val="22"/>
      <w:szCs w:val="22"/>
      <w:lang w:val="fr-FR" w:eastAsia="en-US"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83EC5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customStyle="1" w:styleId="titre2">
    <w:name w:val="titre2"/>
    <w:basedOn w:val="Normal"/>
    <w:qFormat/>
    <w:rsid w:val="00F83EC5"/>
    <w:pPr>
      <w:tabs>
        <w:tab w:val="left" w:pos="-720"/>
      </w:tabs>
      <w:spacing w:line="300" w:lineRule="atLeast"/>
      <w:jc w:val="both"/>
    </w:pPr>
    <w:rPr>
      <w:rFonts w:ascii="Univers" w:hAnsi="Univers" w:cs="Univers"/>
      <w:b/>
      <w:bCs/>
      <w:spacing w:val="-3"/>
    </w:rPr>
  </w:style>
  <w:style w:type="paragraph" w:customStyle="1" w:styleId="titre3">
    <w:name w:val="titre3"/>
    <w:basedOn w:val="Normal"/>
    <w:qFormat/>
    <w:rsid w:val="00F83EC5"/>
    <w:pPr>
      <w:tabs>
        <w:tab w:val="left" w:pos="-720"/>
      </w:tabs>
      <w:spacing w:line="300" w:lineRule="atLeast"/>
      <w:jc w:val="both"/>
    </w:pPr>
    <w:rPr>
      <w:rFonts w:ascii="Univers" w:hAnsi="Univers" w:cs="Univers"/>
      <w:b/>
      <w:bCs/>
      <w:spacing w:val="-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5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5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6C0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5D6C0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5D6C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E9062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607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60705"/>
    <w:rPr>
      <w:rFonts w:ascii="Courier New" w:hAnsi="Courier New" w:cs="Courier New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460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0705"/>
    <w:rPr>
      <w:rFonts w:ascii="Courier New" w:hAnsi="Courier New" w:cs="Courier New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E265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65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65E4"/>
    <w:rPr>
      <w:rFonts w:ascii="Courier New" w:hAnsi="Courier New" w:cs="Courier New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65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65E4"/>
    <w:rPr>
      <w:rFonts w:ascii="Courier New" w:hAnsi="Courier New" w:cs="Courier New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www.hcp.m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CP\Desktop\Enquete%20de%20conjoncture%20menages_BUREAU\2023\resultatseECM(trim1-08-trim1-202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CP\Desktop\Enquete%20de%20conjoncture%20menages_BUREAU\2023\resultatseECM(trim1-08-trim1-2023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CP\Desktop\Enquete%20de%20conjoncture%20menages_BUREAU\2023\resultatseECM(trim1-08-trim1-202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CP\Desktop\Enquete%20de%20conjoncture%20menages_BUREAU\2023\resultatseECM(trim1-08-trim1-2023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CP\Desktop\Enquete%20de%20conjoncture%20menages_BUREAU\2023\resultatseECM(trim1-08-trim1-2023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CP\Desktop\Enquete%20de%20conjoncture%20menages_BUREAU\2023\resultatseECM(trim1-08-trim1-202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style val="26"/>
  <c:chart>
    <c:title>
      <c:tx>
        <c:rich>
          <a:bodyPr/>
          <a:lstStyle/>
          <a:p>
            <a:pPr>
              <a:defRPr lang="en-US" sz="1400"/>
            </a:pPr>
            <a:r>
              <a:rPr lang="en-US" sz="1400"/>
              <a:t>Evolution de l'Indice de Confiance des Ménages</a:t>
            </a:r>
            <a:endParaRPr lang="fr-FR" sz="1400"/>
          </a:p>
        </c:rich>
      </c:tx>
    </c:title>
    <c:plotArea>
      <c:layout>
        <c:manualLayout>
          <c:layoutTarget val="inner"/>
          <c:xMode val="edge"/>
          <c:yMode val="edge"/>
          <c:x val="5.8132101279827833E-2"/>
          <c:y val="0.16145558924884768"/>
          <c:w val="0.91979999560854731"/>
          <c:h val="0.69816761827452134"/>
        </c:manualLayout>
      </c:layout>
      <c:barChart>
        <c:barDir val="col"/>
        <c:grouping val="clustered"/>
        <c:ser>
          <c:idx val="0"/>
          <c:order val="0"/>
          <c:dPt>
            <c:idx val="57"/>
            <c:spPr>
              <a:solidFill>
                <a:schemeClr val="accent1">
                  <a:lumMod val="40000"/>
                  <a:lumOff val="60000"/>
                </a:schemeClr>
              </a:solidFill>
            </c:spPr>
          </c:dPt>
          <c:dPt>
            <c:idx val="60"/>
            <c:spPr>
              <a:solidFill>
                <a:schemeClr val="accent1">
                  <a:lumMod val="40000"/>
                  <a:lumOff val="60000"/>
                </a:schemeClr>
              </a:solidFill>
            </c:spPr>
          </c:dPt>
          <c:dPt>
            <c:idx val="61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Lbls>
            <c:dLbl>
              <c:idx val="58"/>
              <c:layout>
                <c:manualLayout>
                  <c:x val="-1.1598051709959228E-2"/>
                  <c:y val="-1.1574074074074079E-2"/>
                </c:manualLayout>
              </c:layout>
              <c:showVal val="1"/>
              <c:extLst>
                <c:ext xmlns:c15="http://schemas.microsoft.com/office/drawing/2012/chart" uri="{CE6537A1-D6FC-4f65-9D91-7224C49458BB}"/>
              </c:extLst>
            </c:dLbl>
            <c:dLbl>
              <c:idx val="60"/>
              <c:layout>
                <c:manualLayout>
                  <c:x val="-9.6650430916326909E-3"/>
                  <c:y val="0"/>
                </c:manualLayout>
              </c:layout>
              <c:showVal val="1"/>
              <c:extLst>
                <c:ext xmlns:c15="http://schemas.microsoft.com/office/drawing/2012/chart" uri="{CE6537A1-D6FC-4f65-9D91-7224C49458BB}"/>
              </c:extLst>
            </c:dLbl>
            <c:dLbl>
              <c:idx val="61"/>
              <c:layout>
                <c:manualLayout>
                  <c:x val="9.6650430916326805E-3"/>
                  <c:y val="0"/>
                </c:manualLayout>
              </c:layout>
              <c:showVal val="1"/>
              <c:extLst>
                <c:ext xmlns:c15="http://schemas.microsoft.com/office/drawing/2012/chart" uri="{CE6537A1-D6FC-4f65-9D91-7224C49458BB}"/>
              </c:extLst>
            </c:dLbl>
            <c:delete val="1"/>
            <c:spPr>
              <a:noFill/>
              <a:ln>
                <a:noFill/>
              </a:ln>
              <a:effectLst/>
            </c:spPr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fr'!$B$4:$BK$4</c:f>
              <c:numCache>
                <c:formatCode>0.0</c:formatCode>
                <c:ptCount val="62"/>
                <c:pt idx="0">
                  <c:v>85.866502294191648</c:v>
                </c:pt>
                <c:pt idx="1">
                  <c:v>77.678707955853127</c:v>
                </c:pt>
                <c:pt idx="2">
                  <c:v>75.552480635756424</c:v>
                </c:pt>
                <c:pt idx="3">
                  <c:v>80.136884034904526</c:v>
                </c:pt>
                <c:pt idx="4">
                  <c:v>76.902419880745626</c:v>
                </c:pt>
                <c:pt idx="5">
                  <c:v>77.636131881705708</c:v>
                </c:pt>
                <c:pt idx="6">
                  <c:v>79.135624759962667</c:v>
                </c:pt>
                <c:pt idx="7">
                  <c:v>79.463913413558046</c:v>
                </c:pt>
                <c:pt idx="8">
                  <c:v>80.13608609361917</c:v>
                </c:pt>
                <c:pt idx="9">
                  <c:v>78.83338833057428</c:v>
                </c:pt>
                <c:pt idx="10">
                  <c:v>78.629956901853419</c:v>
                </c:pt>
                <c:pt idx="11">
                  <c:v>74.744893710814793</c:v>
                </c:pt>
                <c:pt idx="12">
                  <c:v>78.406406130604836</c:v>
                </c:pt>
                <c:pt idx="13">
                  <c:v>85.789532632532584</c:v>
                </c:pt>
                <c:pt idx="14">
                  <c:v>86.506225251482533</c:v>
                </c:pt>
                <c:pt idx="15">
                  <c:v>84.477214694877034</c:v>
                </c:pt>
                <c:pt idx="16">
                  <c:v>82.880478542821578</c:v>
                </c:pt>
                <c:pt idx="17">
                  <c:v>80.673652783725359</c:v>
                </c:pt>
                <c:pt idx="18">
                  <c:v>77.5538670365694</c:v>
                </c:pt>
                <c:pt idx="19">
                  <c:v>78.403353681349529</c:v>
                </c:pt>
                <c:pt idx="20">
                  <c:v>75.830193123476278</c:v>
                </c:pt>
                <c:pt idx="21">
                  <c:v>74.26831493920966</c:v>
                </c:pt>
                <c:pt idx="22">
                  <c:v>75.40113716912164</c:v>
                </c:pt>
                <c:pt idx="23">
                  <c:v>74.15325435026638</c:v>
                </c:pt>
                <c:pt idx="24">
                  <c:v>74.110620959005985</c:v>
                </c:pt>
                <c:pt idx="25">
                  <c:v>74.014553099961617</c:v>
                </c:pt>
                <c:pt idx="26">
                  <c:v>73.148145370690258</c:v>
                </c:pt>
                <c:pt idx="27">
                  <c:v>71.583460003653741</c:v>
                </c:pt>
                <c:pt idx="28">
                  <c:v>73.659282965035374</c:v>
                </c:pt>
                <c:pt idx="29">
                  <c:v>76.125099572807898</c:v>
                </c:pt>
                <c:pt idx="30">
                  <c:v>76.315005733686007</c:v>
                </c:pt>
                <c:pt idx="31">
                  <c:v>77.131028825386352</c:v>
                </c:pt>
                <c:pt idx="32">
                  <c:v>71.648499016392478</c:v>
                </c:pt>
                <c:pt idx="33">
                  <c:v>75.703427371681059</c:v>
                </c:pt>
                <c:pt idx="34">
                  <c:v>73.804891243097046</c:v>
                </c:pt>
                <c:pt idx="35">
                  <c:v>73.539376287214708</c:v>
                </c:pt>
                <c:pt idx="36">
                  <c:v>78.230698468980961</c:v>
                </c:pt>
                <c:pt idx="37">
                  <c:v>85.8</c:v>
                </c:pt>
                <c:pt idx="38">
                  <c:v>85.5</c:v>
                </c:pt>
                <c:pt idx="39">
                  <c:v>85.9</c:v>
                </c:pt>
                <c:pt idx="40">
                  <c:v>87.317111388814197</c:v>
                </c:pt>
                <c:pt idx="41">
                  <c:v>87.279337774029287</c:v>
                </c:pt>
                <c:pt idx="42">
                  <c:v>82.473279380066572</c:v>
                </c:pt>
                <c:pt idx="43">
                  <c:v>79.8</c:v>
                </c:pt>
                <c:pt idx="44">
                  <c:v>79.104981863169797</c:v>
                </c:pt>
                <c:pt idx="45">
                  <c:v>74.905107002702309</c:v>
                </c:pt>
                <c:pt idx="46">
                  <c:v>74.821311833193946</c:v>
                </c:pt>
                <c:pt idx="47">
                  <c:v>77.783342120372509</c:v>
                </c:pt>
                <c:pt idx="48">
                  <c:v>75.733160637772457</c:v>
                </c:pt>
                <c:pt idx="49">
                  <c:v>65.597735117391437</c:v>
                </c:pt>
                <c:pt idx="50" formatCode="#,##0.0">
                  <c:v>60.6</c:v>
                </c:pt>
                <c:pt idx="51">
                  <c:v>61.15460503678139</c:v>
                </c:pt>
                <c:pt idx="52">
                  <c:v>68.3</c:v>
                </c:pt>
                <c:pt idx="53">
                  <c:v>62.975895024721467</c:v>
                </c:pt>
                <c:pt idx="54">
                  <c:v>65.469321461685027</c:v>
                </c:pt>
                <c:pt idx="55">
                  <c:v>61.244838328447536</c:v>
                </c:pt>
                <c:pt idx="56" formatCode="#,##0.0">
                  <c:v>53.745567465683777</c:v>
                </c:pt>
                <c:pt idx="57" formatCode="#,##0.0">
                  <c:v>50.111231811293422</c:v>
                </c:pt>
                <c:pt idx="58" formatCode="#,##0.0">
                  <c:v>47.411849848039999</c:v>
                </c:pt>
                <c:pt idx="59" formatCode="#,##0.0">
                  <c:v>46.606895890263495</c:v>
                </c:pt>
                <c:pt idx="60" formatCode="#,##0.0">
                  <c:v>46.297927716965162</c:v>
                </c:pt>
                <c:pt idx="61" formatCode="#,##0.0">
                  <c:v>45.357586401620793</c:v>
                </c:pt>
              </c:numCache>
            </c:numRef>
          </c:val>
        </c:ser>
        <c:axId val="113754496"/>
        <c:axId val="113756032"/>
      </c:barChart>
      <c:catAx>
        <c:axId val="113754496"/>
        <c:scaling>
          <c:orientation val="minMax"/>
        </c:scaling>
        <c:axPos val="b"/>
        <c:numFmt formatCode="General" sourceLinked="0"/>
        <c:tickLblPos val="nextTo"/>
        <c:txPr>
          <a:bodyPr/>
          <a:lstStyle/>
          <a:p>
            <a:pPr>
              <a:defRPr lang="en-US" sz="600"/>
            </a:pPr>
            <a:endParaRPr lang="fr-FR"/>
          </a:p>
        </c:txPr>
        <c:crossAx val="113756032"/>
        <c:crosses val="autoZero"/>
        <c:auto val="1"/>
        <c:lblAlgn val="ctr"/>
        <c:lblOffset val="100"/>
      </c:catAx>
      <c:valAx>
        <c:axId val="113756032"/>
        <c:scaling>
          <c:orientation val="minMax"/>
          <c:min val="30"/>
        </c:scaling>
        <c:axPos val="l"/>
        <c:numFmt formatCode="#,##0" sourceLinked="0"/>
        <c:tickLblPos val="nextTo"/>
        <c:txPr>
          <a:bodyPr/>
          <a:lstStyle/>
          <a:p>
            <a:pPr>
              <a:defRPr lang="en-US" sz="900"/>
            </a:pPr>
            <a:endParaRPr lang="fr-FR"/>
          </a:p>
        </c:txPr>
        <c:crossAx val="113754496"/>
        <c:crosses val="autoZero"/>
        <c:crossBetween val="between"/>
      </c:valAx>
    </c:plotArea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/>
              <a:t>Perception par les ménages de l'évolution passée et future du niveau de vie</a:t>
            </a:r>
            <a:r>
              <a:rPr lang="fr-FR" sz="1800" b="1" i="0" baseline="0"/>
              <a:t> </a:t>
            </a:r>
            <a:r>
              <a:rPr lang="fr-FR" sz="1400" b="1" i="0" baseline="0"/>
              <a:t>(soldes d'opinions)</a:t>
            </a:r>
            <a:endParaRPr lang="fr-FR" sz="140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 sz="1400" b="1" i="0" baseline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'tableau note fr'!$A$6</c:f>
              <c:strCache>
                <c:ptCount val="1"/>
                <c:pt idx="0">
                  <c:v>Evolution  passée du niveau de vie</c:v>
                </c:pt>
              </c:strCache>
            </c:strRef>
          </c:tx>
          <c:marker>
            <c:symbol val="circle"/>
            <c:size val="4"/>
          </c:marker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fr'!$B$6:$BK$6</c:f>
              <c:numCache>
                <c:formatCode>#,##0.0</c:formatCode>
                <c:ptCount val="62"/>
                <c:pt idx="0">
                  <c:v>-10.399945582052929</c:v>
                </c:pt>
                <c:pt idx="1">
                  <c:v>-25.15337945599229</c:v>
                </c:pt>
                <c:pt idx="2">
                  <c:v>-31.141291421499716</c:v>
                </c:pt>
                <c:pt idx="3">
                  <c:v>-29.393844818665293</c:v>
                </c:pt>
                <c:pt idx="4">
                  <c:v>-36.652789359955584</c:v>
                </c:pt>
                <c:pt idx="5">
                  <c:v>-29.108394514506987</c:v>
                </c:pt>
                <c:pt idx="6">
                  <c:v>-25.702364309825629</c:v>
                </c:pt>
                <c:pt idx="7">
                  <c:v>-26.546435956901789</c:v>
                </c:pt>
                <c:pt idx="8">
                  <c:v>-25.723634629573013</c:v>
                </c:pt>
                <c:pt idx="9">
                  <c:v>-28.56499551903989</c:v>
                </c:pt>
                <c:pt idx="10">
                  <c:v>-27.930454212484364</c:v>
                </c:pt>
                <c:pt idx="11">
                  <c:v>-37.236760344983374</c:v>
                </c:pt>
                <c:pt idx="12">
                  <c:v>-26.050959167650056</c:v>
                </c:pt>
                <c:pt idx="13">
                  <c:v>-16.961438303130894</c:v>
                </c:pt>
                <c:pt idx="14">
                  <c:v>-13.439142519852009</c:v>
                </c:pt>
                <c:pt idx="15">
                  <c:v>-20.224270151200944</c:v>
                </c:pt>
                <c:pt idx="16">
                  <c:v>-26.170201326733839</c:v>
                </c:pt>
                <c:pt idx="17">
                  <c:v>-21.816848529134631</c:v>
                </c:pt>
                <c:pt idx="18">
                  <c:v>-27.85707555673623</c:v>
                </c:pt>
                <c:pt idx="19">
                  <c:v>-28.08870835116868</c:v>
                </c:pt>
                <c:pt idx="20">
                  <c:v>-29.212341127418195</c:v>
                </c:pt>
                <c:pt idx="21">
                  <c:v>-23.102864483982064</c:v>
                </c:pt>
                <c:pt idx="22">
                  <c:v>-21.158266803557588</c:v>
                </c:pt>
                <c:pt idx="23">
                  <c:v>-19.887264929132375</c:v>
                </c:pt>
                <c:pt idx="24">
                  <c:v>-18.06021976920189</c:v>
                </c:pt>
                <c:pt idx="25">
                  <c:v>-17.740461010850293</c:v>
                </c:pt>
                <c:pt idx="26">
                  <c:v>-17.387590506775641</c:v>
                </c:pt>
                <c:pt idx="27">
                  <c:v>-16.459915505713987</c:v>
                </c:pt>
                <c:pt idx="28">
                  <c:v>-14.108179132101393</c:v>
                </c:pt>
                <c:pt idx="29">
                  <c:v>-12.785821926678448</c:v>
                </c:pt>
                <c:pt idx="30">
                  <c:v>-15.129825087046068</c:v>
                </c:pt>
                <c:pt idx="31">
                  <c:v>-13.828410383657548</c:v>
                </c:pt>
                <c:pt idx="32">
                  <c:v>-22.864633579953797</c:v>
                </c:pt>
                <c:pt idx="33">
                  <c:v>-15.196177330129153</c:v>
                </c:pt>
                <c:pt idx="34">
                  <c:v>-17.372021059071617</c:v>
                </c:pt>
                <c:pt idx="35">
                  <c:v>-17.464225574589349</c:v>
                </c:pt>
                <c:pt idx="36">
                  <c:v>-11.990228520502578</c:v>
                </c:pt>
                <c:pt idx="37">
                  <c:v>-8.1644944099805006</c:v>
                </c:pt>
                <c:pt idx="38">
                  <c:v>-3.1370023233621227</c:v>
                </c:pt>
                <c:pt idx="39">
                  <c:v>-3.7719246964283601</c:v>
                </c:pt>
                <c:pt idx="40">
                  <c:v>-6.24696090915109</c:v>
                </c:pt>
                <c:pt idx="41" formatCode="0.0">
                  <c:v>-5.3830093381329069</c:v>
                </c:pt>
                <c:pt idx="42" formatCode="0.0">
                  <c:v>-9.5049571220917919</c:v>
                </c:pt>
                <c:pt idx="43" formatCode="0.0">
                  <c:v>-13.3</c:v>
                </c:pt>
                <c:pt idx="44" formatCode="0.0">
                  <c:v>-14.967427927122973</c:v>
                </c:pt>
                <c:pt idx="45" formatCode="0.0">
                  <c:v>-25.353008106891483</c:v>
                </c:pt>
                <c:pt idx="46" formatCode="0.0">
                  <c:v>-20.237097183526259</c:v>
                </c:pt>
                <c:pt idx="47" formatCode="0.0">
                  <c:v>-19.996896512157345</c:v>
                </c:pt>
                <c:pt idx="48" formatCode="0.0">
                  <c:v>-19.767991560587593</c:v>
                </c:pt>
                <c:pt idx="49" formatCode="0.0">
                  <c:v>-24.751522052511689</c:v>
                </c:pt>
                <c:pt idx="50">
                  <c:v>-35.633876933169311</c:v>
                </c:pt>
                <c:pt idx="51" formatCode="0.0">
                  <c:v>-46.607458922581834</c:v>
                </c:pt>
                <c:pt idx="52" formatCode="0.0">
                  <c:v>-50.5</c:v>
                </c:pt>
                <c:pt idx="53" formatCode="0.0">
                  <c:v>-50.789884569181098</c:v>
                </c:pt>
                <c:pt idx="54" formatCode="0.0">
                  <c:v>-41.509403430971062</c:v>
                </c:pt>
                <c:pt idx="55" formatCode="0.0">
                  <c:v>-55.207171712499431</c:v>
                </c:pt>
                <c:pt idx="56">
                  <c:v>-66.848800336369607</c:v>
                </c:pt>
                <c:pt idx="57" formatCode="###0.0">
                  <c:v>-72.973367191898419</c:v>
                </c:pt>
                <c:pt idx="58" formatCode="###0.0">
                  <c:v>-74.584296237560608</c:v>
                </c:pt>
                <c:pt idx="59" formatCode="###0.0">
                  <c:v>-77.955196192924546</c:v>
                </c:pt>
                <c:pt idx="60" formatCode="###0.0">
                  <c:v>-81.53758164563699</c:v>
                </c:pt>
                <c:pt idx="61">
                  <c:v>-84.60276363205007</c:v>
                </c:pt>
              </c:numCache>
            </c:numRef>
          </c:val>
        </c:ser>
        <c:ser>
          <c:idx val="1"/>
          <c:order val="1"/>
          <c:tx>
            <c:strRef>
              <c:f>'tableau note fr'!$A$7</c:f>
              <c:strCache>
                <c:ptCount val="1"/>
                <c:pt idx="0">
                  <c:v>Perspective d'évolution du niveau de vie</c:v>
                </c:pt>
              </c:strCache>
            </c:strRef>
          </c:tx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fr'!$B$7:$BK$7</c:f>
              <c:numCache>
                <c:formatCode>#,##0.0</c:formatCode>
                <c:ptCount val="62"/>
                <c:pt idx="0">
                  <c:v>14.440493946063453</c:v>
                </c:pt>
                <c:pt idx="1">
                  <c:v>-11.52673084245559</c:v>
                </c:pt>
                <c:pt idx="2">
                  <c:v>-21.380291437825413</c:v>
                </c:pt>
                <c:pt idx="3">
                  <c:v>-3.4692228168248267</c:v>
                </c:pt>
                <c:pt idx="4">
                  <c:v>-9.3118753956095954</c:v>
                </c:pt>
                <c:pt idx="5">
                  <c:v>-3.5223109272796771</c:v>
                </c:pt>
                <c:pt idx="6">
                  <c:v>8.4334302751112797E-2</c:v>
                </c:pt>
                <c:pt idx="7">
                  <c:v>2.1853913991610052</c:v>
                </c:pt>
                <c:pt idx="8">
                  <c:v>0.39154986438085593</c:v>
                </c:pt>
                <c:pt idx="9">
                  <c:v>2.7314646872285109</c:v>
                </c:pt>
                <c:pt idx="10">
                  <c:v>0.19418325799955119</c:v>
                </c:pt>
                <c:pt idx="11">
                  <c:v>-11.371112777150765</c:v>
                </c:pt>
                <c:pt idx="12">
                  <c:v>-1.8875512037963609</c:v>
                </c:pt>
                <c:pt idx="13">
                  <c:v>18.13213993657881</c:v>
                </c:pt>
                <c:pt idx="14">
                  <c:v>11.870106120928284</c:v>
                </c:pt>
                <c:pt idx="15">
                  <c:v>13.146309479543481</c:v>
                </c:pt>
                <c:pt idx="16">
                  <c:v>11.211772002164619</c:v>
                </c:pt>
                <c:pt idx="17">
                  <c:v>8.9776180181468028</c:v>
                </c:pt>
                <c:pt idx="18">
                  <c:v>-3.2327838268829292</c:v>
                </c:pt>
                <c:pt idx="19">
                  <c:v>-1.2159862376115478</c:v>
                </c:pt>
                <c:pt idx="20">
                  <c:v>-5.0957647237932591</c:v>
                </c:pt>
                <c:pt idx="21">
                  <c:v>-4.2068608448306426</c:v>
                </c:pt>
                <c:pt idx="22">
                  <c:v>-3.0973555754801207</c:v>
                </c:pt>
                <c:pt idx="23">
                  <c:v>-7.9340099346010531</c:v>
                </c:pt>
                <c:pt idx="24">
                  <c:v>-11.389732068783598</c:v>
                </c:pt>
                <c:pt idx="25">
                  <c:v>-13.063768224593518</c:v>
                </c:pt>
                <c:pt idx="26">
                  <c:v>-13.090700094553394</c:v>
                </c:pt>
                <c:pt idx="27">
                  <c:v>-12.672429336417753</c:v>
                </c:pt>
                <c:pt idx="28">
                  <c:v>-8.8537661336825266</c:v>
                </c:pt>
                <c:pt idx="29">
                  <c:v>-7.2727206831161793</c:v>
                </c:pt>
                <c:pt idx="30">
                  <c:v>-7.7131091840762114</c:v>
                </c:pt>
                <c:pt idx="31">
                  <c:v>-8.0828133778612727</c:v>
                </c:pt>
                <c:pt idx="32">
                  <c:v>-14.22824639578895</c:v>
                </c:pt>
                <c:pt idx="33">
                  <c:v>-7.5906192549525784</c:v>
                </c:pt>
                <c:pt idx="34">
                  <c:v>-7.0591296227720894</c:v>
                </c:pt>
                <c:pt idx="35">
                  <c:v>-2.3745123557304657</c:v>
                </c:pt>
                <c:pt idx="36">
                  <c:v>5.7386765593441833</c:v>
                </c:pt>
                <c:pt idx="37">
                  <c:v>11.056984366480338</c:v>
                </c:pt>
                <c:pt idx="38">
                  <c:v>10.513852464527606</c:v>
                </c:pt>
                <c:pt idx="39">
                  <c:v>11.534776778164916</c:v>
                </c:pt>
                <c:pt idx="40">
                  <c:v>16.612852585837704</c:v>
                </c:pt>
                <c:pt idx="41" formatCode="0.0">
                  <c:v>14.986375562038818</c:v>
                </c:pt>
                <c:pt idx="42" formatCode="0.0">
                  <c:v>11.908882798368182</c:v>
                </c:pt>
                <c:pt idx="43" formatCode="0.0">
                  <c:v>9</c:v>
                </c:pt>
                <c:pt idx="44" formatCode="0.0">
                  <c:v>9.9894562713734256</c:v>
                </c:pt>
                <c:pt idx="45" formatCode="0.0">
                  <c:v>4.7256177899689273</c:v>
                </c:pt>
                <c:pt idx="46" formatCode="0.0">
                  <c:v>-3.6764057837750337</c:v>
                </c:pt>
                <c:pt idx="47" formatCode="0.0">
                  <c:v>-2.1591381326741157</c:v>
                </c:pt>
                <c:pt idx="48" formatCode="0.0">
                  <c:v>-4.6486149345966226</c:v>
                </c:pt>
                <c:pt idx="49" formatCode="0.0">
                  <c:v>-11.439989639150372</c:v>
                </c:pt>
                <c:pt idx="50">
                  <c:v>-17.39518349525548</c:v>
                </c:pt>
                <c:pt idx="51" formatCode="0.0">
                  <c:v>-17.398438698388123</c:v>
                </c:pt>
                <c:pt idx="52" formatCode="0.0">
                  <c:v>13.2</c:v>
                </c:pt>
                <c:pt idx="53" formatCode="0.0">
                  <c:v>0.23038768840290025</c:v>
                </c:pt>
                <c:pt idx="54" formatCode="0.0">
                  <c:v>9.3481827020713517</c:v>
                </c:pt>
                <c:pt idx="55" formatCode="0.0">
                  <c:v>-1.3718594161528617</c:v>
                </c:pt>
                <c:pt idx="56">
                  <c:v>-21.440746708881619</c:v>
                </c:pt>
                <c:pt idx="57" formatCode="###0.0">
                  <c:v>-34.307671667317386</c:v>
                </c:pt>
                <c:pt idx="58" formatCode="###0.0">
                  <c:v>-41.560642466335395</c:v>
                </c:pt>
                <c:pt idx="59" formatCode="###0.0">
                  <c:v>-43.041302609193096</c:v>
                </c:pt>
                <c:pt idx="60" formatCode="###0.0">
                  <c:v>-38.777551768230154</c:v>
                </c:pt>
                <c:pt idx="61">
                  <c:v>-43.671200534104102</c:v>
                </c:pt>
              </c:numCache>
            </c:numRef>
          </c:val>
        </c:ser>
        <c:marker val="1"/>
        <c:axId val="119683712"/>
        <c:axId val="119693696"/>
      </c:lineChart>
      <c:catAx>
        <c:axId val="119683712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600"/>
            </a:pPr>
            <a:endParaRPr lang="fr-FR"/>
          </a:p>
        </c:txPr>
        <c:crossAx val="119693696"/>
        <c:crosses val="autoZero"/>
        <c:auto val="1"/>
        <c:lblAlgn val="ctr"/>
        <c:lblOffset val="100"/>
      </c:catAx>
      <c:valAx>
        <c:axId val="119693696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lang="en-US" sz="900"/>
            </a:pPr>
            <a:endParaRPr lang="fr-FR"/>
          </a:p>
        </c:txPr>
        <c:crossAx val="119683712"/>
        <c:crosses val="autoZero"/>
        <c:crossBetween val="between"/>
      </c:valAx>
    </c:plotArea>
    <c:legend>
      <c:legendPos val="b"/>
      <c:txPr>
        <a:bodyPr/>
        <a:lstStyle/>
        <a:p>
          <a:pPr>
            <a:defRPr lang="en-US"/>
          </a:pPr>
          <a:endParaRPr lang="fr-FR"/>
        </a:p>
      </c:txPr>
    </c:legend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 lang="en-US"/>
            </a:pPr>
            <a:r>
              <a:rPr lang="fr-FR" sz="1400"/>
              <a:t>Perception par les ménages de l'évolution du nombre de chômeurs</a:t>
            </a:r>
          </a:p>
          <a:p>
            <a:pPr>
              <a:defRPr lang="en-US"/>
            </a:pPr>
            <a:r>
              <a:rPr lang="fr-FR" sz="1400"/>
              <a:t> (soldes d'opinions)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'tableau note fr'!$A$5</c:f>
              <c:strCache>
                <c:ptCount val="1"/>
                <c:pt idx="0">
                  <c:v>Perspective d'évolution du nombre de chômeur</c:v>
                </c:pt>
              </c:strCache>
            </c:strRef>
          </c:tx>
          <c:marker>
            <c:symbol val="none"/>
          </c:marker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fr'!$B$5:$BK$5</c:f>
              <c:numCache>
                <c:formatCode>#,##0.0</c:formatCode>
                <c:ptCount val="62"/>
                <c:pt idx="0">
                  <c:v>-52.095692279179175</c:v>
                </c:pt>
                <c:pt idx="1">
                  <c:v>-56.601297669293338</c:v>
                </c:pt>
                <c:pt idx="2">
                  <c:v>-51.593765595534528</c:v>
                </c:pt>
                <c:pt idx="3">
                  <c:v>-51.137343653505525</c:v>
                </c:pt>
                <c:pt idx="4">
                  <c:v>-50.999102607130283</c:v>
                </c:pt>
                <c:pt idx="5">
                  <c:v>-59.135165785990033</c:v>
                </c:pt>
                <c:pt idx="6">
                  <c:v>-57.930600458568485</c:v>
                </c:pt>
                <c:pt idx="7">
                  <c:v>-57.517749523976526</c:v>
                </c:pt>
                <c:pt idx="8">
                  <c:v>-59.239397454073007</c:v>
                </c:pt>
                <c:pt idx="9">
                  <c:v>-61.048152851769579</c:v>
                </c:pt>
                <c:pt idx="10">
                  <c:v>-56.106436371502731</c:v>
                </c:pt>
                <c:pt idx="11">
                  <c:v>-52.335316844022444</c:v>
                </c:pt>
                <c:pt idx="12">
                  <c:v>-52.408437207990296</c:v>
                </c:pt>
                <c:pt idx="13">
                  <c:v>-45.98227848623349</c:v>
                </c:pt>
                <c:pt idx="14">
                  <c:v>-40.986479794930496</c:v>
                </c:pt>
                <c:pt idx="15">
                  <c:v>-41.619683700101234</c:v>
                </c:pt>
                <c:pt idx="16">
                  <c:v>-44.058495214148614</c:v>
                </c:pt>
                <c:pt idx="17">
                  <c:v>-48.557155794606146</c:v>
                </c:pt>
                <c:pt idx="18">
                  <c:v>-56.657119953107134</c:v>
                </c:pt>
                <c:pt idx="19">
                  <c:v>-58.054676707354794</c:v>
                </c:pt>
                <c:pt idx="20">
                  <c:v>-61.683132655398175</c:v>
                </c:pt>
                <c:pt idx="21">
                  <c:v>-67.848891093145681</c:v>
                </c:pt>
                <c:pt idx="22">
                  <c:v>-69.816287861188869</c:v>
                </c:pt>
                <c:pt idx="23">
                  <c:v>-68.20001271186625</c:v>
                </c:pt>
                <c:pt idx="24">
                  <c:v>-69.100751044168078</c:v>
                </c:pt>
                <c:pt idx="25">
                  <c:v>-66.49396988110918</c:v>
                </c:pt>
                <c:pt idx="26">
                  <c:v>-68.825577821249937</c:v>
                </c:pt>
                <c:pt idx="27">
                  <c:v>-68.019160185663324</c:v>
                </c:pt>
                <c:pt idx="28">
                  <c:v>-65.155740215393678</c:v>
                </c:pt>
                <c:pt idx="29">
                  <c:v>-67.056481822589717</c:v>
                </c:pt>
                <c:pt idx="30">
                  <c:v>-66.189276460398091</c:v>
                </c:pt>
                <c:pt idx="31">
                  <c:v>-64.100777949741769</c:v>
                </c:pt>
                <c:pt idx="32">
                  <c:v>-67.734442836360969</c:v>
                </c:pt>
                <c:pt idx="33">
                  <c:v>-68.976178952187723</c:v>
                </c:pt>
                <c:pt idx="34">
                  <c:v>-70.599999999999994</c:v>
                </c:pt>
                <c:pt idx="35">
                  <c:v>-66.808709762830389</c:v>
                </c:pt>
                <c:pt idx="36">
                  <c:v>-64.932045987858601</c:v>
                </c:pt>
                <c:pt idx="37">
                  <c:v>-54.327058153454743</c:v>
                </c:pt>
                <c:pt idx="38">
                  <c:v>-59.886763094223149</c:v>
                </c:pt>
                <c:pt idx="39">
                  <c:v>-58.5</c:v>
                </c:pt>
                <c:pt idx="40">
                  <c:v>-54.525998602090162</c:v>
                </c:pt>
                <c:pt idx="41" formatCode="0.0">
                  <c:v>-61.706282712863526</c:v>
                </c:pt>
                <c:pt idx="42" formatCode="0.0">
                  <c:v>-65.247643368132046</c:v>
                </c:pt>
                <c:pt idx="43" formatCode="0.0">
                  <c:v>-70</c:v>
                </c:pt>
                <c:pt idx="44" formatCode="0.0">
                  <c:v>-75.565732444458874</c:v>
                </c:pt>
                <c:pt idx="45" formatCode="0.0">
                  <c:v>-76.905120512383789</c:v>
                </c:pt>
                <c:pt idx="46" formatCode="0.0">
                  <c:v>-71.817697941940438</c:v>
                </c:pt>
                <c:pt idx="47" formatCode="0.0">
                  <c:v>-71.645886731132009</c:v>
                </c:pt>
                <c:pt idx="48" formatCode="0.0">
                  <c:v>-70.7934404370435</c:v>
                </c:pt>
                <c:pt idx="49" formatCode="0.0">
                  <c:v>-75.16855360593533</c:v>
                </c:pt>
                <c:pt idx="50">
                  <c:v>-82.012609773267997</c:v>
                </c:pt>
                <c:pt idx="51" formatCode="0.0">
                  <c:v>-78.280561499164364</c:v>
                </c:pt>
                <c:pt idx="52" formatCode="0.0">
                  <c:v>-62.2</c:v>
                </c:pt>
                <c:pt idx="53" formatCode="0.0">
                  <c:v>-69.830611321827732</c:v>
                </c:pt>
                <c:pt idx="54" formatCode="0.0">
                  <c:v>-78.313406558982848</c:v>
                </c:pt>
                <c:pt idx="55" formatCode="0.0">
                  <c:v>-77.577031249355031</c:v>
                </c:pt>
                <c:pt idx="56">
                  <c:v>-82.803590957343502</c:v>
                </c:pt>
                <c:pt idx="57" formatCode="###0.0">
                  <c:v>-81.13998967210614</c:v>
                </c:pt>
                <c:pt idx="58" formatCode="###0.0">
                  <c:v>-83.498658671309229</c:v>
                </c:pt>
                <c:pt idx="59" formatCode="###0.0">
                  <c:v>-79.636069225786045</c:v>
                </c:pt>
                <c:pt idx="60" formatCode="###0.0">
                  <c:v>-81.389540713196439</c:v>
                </c:pt>
                <c:pt idx="61">
                  <c:v>-80.42672546201733</c:v>
                </c:pt>
              </c:numCache>
            </c:numRef>
          </c:val>
        </c:ser>
        <c:marker val="1"/>
        <c:axId val="119722368"/>
        <c:axId val="119723904"/>
      </c:lineChart>
      <c:catAx>
        <c:axId val="119722368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600"/>
            </a:pPr>
            <a:endParaRPr lang="fr-FR"/>
          </a:p>
        </c:txPr>
        <c:crossAx val="119723904"/>
        <c:crosses val="autoZero"/>
        <c:auto val="1"/>
        <c:lblAlgn val="ctr"/>
        <c:lblOffset val="100"/>
      </c:catAx>
      <c:valAx>
        <c:axId val="119723904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lang="en-US" sz="900"/>
            </a:pPr>
            <a:endParaRPr lang="fr-FR"/>
          </a:p>
        </c:txPr>
        <c:crossAx val="119722368"/>
        <c:crosses val="autoZero"/>
        <c:crossBetween val="between"/>
      </c:valAx>
    </c:plotArea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/>
              <a:t>Perception par les ménages de l'opportunité d'achat des biens durables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/>
              <a:t> (soldes d'opinions)</a:t>
            </a:r>
            <a:endParaRPr lang="fr-FR" sz="140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/>
              <a:t> </a:t>
            </a:r>
            <a:endParaRPr lang="fr-FR" sz="1400"/>
          </a:p>
        </c:rich>
      </c:tx>
    </c:title>
    <c:plotArea>
      <c:layout>
        <c:manualLayout>
          <c:layoutTarget val="inner"/>
          <c:xMode val="edge"/>
          <c:yMode val="edge"/>
          <c:x val="4.4033556097871122E-2"/>
          <c:y val="0.29728497617625405"/>
          <c:w val="0.94772791848141624"/>
          <c:h val="0.58713658806871016"/>
        </c:manualLayout>
      </c:layout>
      <c:lineChart>
        <c:grouping val="standard"/>
        <c:ser>
          <c:idx val="0"/>
          <c:order val="0"/>
          <c:tx>
            <c:strRef>
              <c:f>'tableau note fr'!$A$8</c:f>
              <c:strCache>
                <c:ptCount val="1"/>
                <c:pt idx="0">
                  <c:v>Opportunité d'achat</c:v>
                </c:pt>
              </c:strCache>
            </c:strRef>
          </c:tx>
          <c:marker>
            <c:symbol val="none"/>
          </c:marker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fr'!$B$8:$BK$8</c:f>
              <c:numCache>
                <c:formatCode>#,##0.0</c:formatCode>
                <c:ptCount val="62"/>
                <c:pt idx="0">
                  <c:v>-30.018449770831804</c:v>
                </c:pt>
                <c:pt idx="1">
                  <c:v>-34.254528080670752</c:v>
                </c:pt>
                <c:pt idx="2">
                  <c:v>-37.471777984571169</c:v>
                </c:pt>
                <c:pt idx="3">
                  <c:v>-39.103064640682895</c:v>
                </c:pt>
                <c:pt idx="4">
                  <c:v>-41.765350509033922</c:v>
                </c:pt>
                <c:pt idx="5">
                  <c:v>-46.542730671354157</c:v>
                </c:pt>
                <c:pt idx="6">
                  <c:v>-43.408027388108131</c:v>
                </c:pt>
                <c:pt idx="7">
                  <c:v>-42.642623532569331</c:v>
                </c:pt>
                <c:pt idx="8">
                  <c:v>-34.756506471721579</c:v>
                </c:pt>
                <c:pt idx="9">
                  <c:v>-37.532519098271834</c:v>
                </c:pt>
                <c:pt idx="10">
                  <c:v>-36.012077907569903</c:v>
                </c:pt>
                <c:pt idx="11">
                  <c:v>-44.335673139521013</c:v>
                </c:pt>
                <c:pt idx="12">
                  <c:v>-39.860076277616741</c:v>
                </c:pt>
                <c:pt idx="13">
                  <c:v>-39.017818744674372</c:v>
                </c:pt>
                <c:pt idx="14">
                  <c:v>-36.350911088685244</c:v>
                </c:pt>
                <c:pt idx="15">
                  <c:v>-38.491211120248494</c:v>
                </c:pt>
                <c:pt idx="16">
                  <c:v>-32.485234146306901</c:v>
                </c:pt>
                <c:pt idx="17">
                  <c:v>-37.388587169100504</c:v>
                </c:pt>
                <c:pt idx="18">
                  <c:v>-29.521996232881474</c:v>
                </c:pt>
                <c:pt idx="19">
                  <c:v>-29.332441443088875</c:v>
                </c:pt>
                <c:pt idx="20">
                  <c:v>-28.348240299081706</c:v>
                </c:pt>
                <c:pt idx="21">
                  <c:v>-31.722199742496027</c:v>
                </c:pt>
                <c:pt idx="22">
                  <c:v>-29.53704552622213</c:v>
                </c:pt>
                <c:pt idx="23">
                  <c:v>-31.849081241594892</c:v>
                </c:pt>
                <c:pt idx="24">
                  <c:v>-31.319060011477994</c:v>
                </c:pt>
                <c:pt idx="25">
                  <c:v>-28.892463445062127</c:v>
                </c:pt>
                <c:pt idx="26">
                  <c:v>-33.067265037911191</c:v>
                </c:pt>
                <c:pt idx="27">
                  <c:v>-38.061946980941102</c:v>
                </c:pt>
                <c:pt idx="28">
                  <c:v>-36.986420638663795</c:v>
                </c:pt>
                <c:pt idx="29">
                  <c:v>-35.967938268219903</c:v>
                </c:pt>
                <c:pt idx="30">
                  <c:v>-34.247070009141204</c:v>
                </c:pt>
                <c:pt idx="31">
                  <c:v>-37.509325471422464</c:v>
                </c:pt>
                <c:pt idx="32">
                  <c:v>-40.239810197161113</c:v>
                </c:pt>
                <c:pt idx="33">
                  <c:v>-34.794169125290885</c:v>
                </c:pt>
                <c:pt idx="34">
                  <c:v>-40.511458517814845</c:v>
                </c:pt>
                <c:pt idx="35">
                  <c:v>-43.033835365277199</c:v>
                </c:pt>
                <c:pt idx="36">
                  <c:v>-39.999291784066436</c:v>
                </c:pt>
                <c:pt idx="37">
                  <c:v>-28.160977836062902</c:v>
                </c:pt>
                <c:pt idx="38">
                  <c:v>-31.475843594428095</c:v>
                </c:pt>
                <c:pt idx="39">
                  <c:v>-25.6</c:v>
                </c:pt>
                <c:pt idx="40">
                  <c:v>-27.189644342164549</c:v>
                </c:pt>
                <c:pt idx="41" formatCode="0.0">
                  <c:v>-25.753095123938731</c:v>
                </c:pt>
                <c:pt idx="42" formatCode="0.0">
                  <c:v>-30.193271317535196</c:v>
                </c:pt>
                <c:pt idx="43" formatCode="0.0">
                  <c:v>-36.800000000000004</c:v>
                </c:pt>
                <c:pt idx="44" formatCode="0.0">
                  <c:v>-36.294477943510053</c:v>
                </c:pt>
                <c:pt idx="45" formatCode="0.0">
                  <c:v>-41.423646990592751</c:v>
                </c:pt>
                <c:pt idx="46" formatCode="0.0">
                  <c:v>-37.730567473068398</c:v>
                </c:pt>
                <c:pt idx="47" formatCode="0.0">
                  <c:v>-29.21833531467249</c:v>
                </c:pt>
                <c:pt idx="48" formatCode="0.0">
                  <c:v>-32.611752500665851</c:v>
                </c:pt>
                <c:pt idx="49" formatCode="0.0">
                  <c:v>-67.951617125134092</c:v>
                </c:pt>
                <c:pt idx="50">
                  <c:v>-63.469757370471925</c:v>
                </c:pt>
                <c:pt idx="51" formatCode="0.0">
                  <c:v>-61.233843482530801</c:v>
                </c:pt>
                <c:pt idx="52" formatCode="0.0">
                  <c:v>-61.6</c:v>
                </c:pt>
                <c:pt idx="53" formatCode="0.0">
                  <c:v>-65.565215742281509</c:v>
                </c:pt>
                <c:pt idx="54" formatCode="0.0">
                  <c:v>-61.974386136345984</c:v>
                </c:pt>
                <c:pt idx="55" formatCode="0.0">
                  <c:v>-62.794548879325561</c:v>
                </c:pt>
                <c:pt idx="56">
                  <c:v>-66.694844970978195</c:v>
                </c:pt>
                <c:pt idx="57" formatCode="###0.0">
                  <c:v>-69.145089033375214</c:v>
                </c:pt>
                <c:pt idx="58" formatCode="###0.0">
                  <c:v>-74.005196986116957</c:v>
                </c:pt>
                <c:pt idx="59" formatCode="###0.0">
                  <c:v>-70.308042764648889</c:v>
                </c:pt>
                <c:pt idx="60" formatCode="###0.0">
                  <c:v>-69.793610379094631</c:v>
                </c:pt>
                <c:pt idx="61">
                  <c:v>-68.920694966427703</c:v>
                </c:pt>
              </c:numCache>
            </c:numRef>
          </c:val>
        </c:ser>
        <c:marker val="1"/>
        <c:axId val="113849472"/>
        <c:axId val="113851008"/>
      </c:lineChart>
      <c:catAx>
        <c:axId val="113849472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600"/>
            </a:pPr>
            <a:endParaRPr lang="fr-FR"/>
          </a:p>
        </c:txPr>
        <c:crossAx val="113851008"/>
        <c:crosses val="autoZero"/>
        <c:auto val="1"/>
        <c:lblAlgn val="ctr"/>
        <c:lblOffset val="100"/>
      </c:catAx>
      <c:valAx>
        <c:axId val="113851008"/>
        <c:scaling>
          <c:orientation val="minMax"/>
        </c:scaling>
        <c:axPos val="l"/>
        <c:majorGridlines/>
        <c:numFmt formatCode="#,##0" sourceLinked="0"/>
        <c:tickLblPos val="nextTo"/>
        <c:txPr>
          <a:bodyPr/>
          <a:lstStyle/>
          <a:p>
            <a:pPr>
              <a:defRPr lang="en-US" sz="900"/>
            </a:pPr>
            <a:endParaRPr lang="fr-FR"/>
          </a:p>
        </c:txPr>
        <c:crossAx val="113849472"/>
        <c:crosses val="autoZero"/>
        <c:crossBetween val="between"/>
      </c:valAx>
    </c:plotArea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/>
              <a:t>Perception par les ménages de leurs situations financières</a:t>
            </a:r>
            <a:r>
              <a:rPr lang="fr-FR" sz="1800" b="1" i="0" baseline="0"/>
              <a:t> </a:t>
            </a:r>
            <a:r>
              <a:rPr lang="fr-FR" sz="1400" b="1" i="0" baseline="0"/>
              <a:t>(soldes d'opinions)</a:t>
            </a:r>
            <a:endParaRPr lang="fr-FR" sz="140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 sz="1400"/>
          </a:p>
        </c:rich>
      </c:tx>
    </c:title>
    <c:plotArea>
      <c:layout>
        <c:manualLayout>
          <c:layoutTarget val="inner"/>
          <c:xMode val="edge"/>
          <c:yMode val="edge"/>
          <c:x val="5.6863351819674883E-2"/>
          <c:y val="0.1425325966211804"/>
          <c:w val="0.91973204979759959"/>
          <c:h val="0.53862016475268149"/>
        </c:manualLayout>
      </c:layout>
      <c:lineChart>
        <c:grouping val="standard"/>
        <c:ser>
          <c:idx val="0"/>
          <c:order val="0"/>
          <c:tx>
            <c:strRef>
              <c:f>'tableau note fr'!$A$9</c:f>
              <c:strCache>
                <c:ptCount val="1"/>
                <c:pt idx="0">
                  <c:v>Situation financière actuelle des ménages</c:v>
                </c:pt>
              </c:strCache>
            </c:strRef>
          </c:tx>
          <c:marker>
            <c:symbol val="circle"/>
            <c:size val="4"/>
          </c:marker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fr'!$B$9:$BK$9</c:f>
              <c:numCache>
                <c:formatCode>#,##0.0</c:formatCode>
                <c:ptCount val="62"/>
                <c:pt idx="0">
                  <c:v>-33.000396349797541</c:v>
                </c:pt>
                <c:pt idx="1">
                  <c:v>-32.92085732825101</c:v>
                </c:pt>
                <c:pt idx="2">
                  <c:v>-34.418326375664194</c:v>
                </c:pt>
                <c:pt idx="3">
                  <c:v>-33.119220631579381</c:v>
                </c:pt>
                <c:pt idx="4">
                  <c:v>-31.284887127595891</c:v>
                </c:pt>
                <c:pt idx="5">
                  <c:v>-26.871936633729426</c:v>
                </c:pt>
                <c:pt idx="6">
                  <c:v>-28.286909450889887</c:v>
                </c:pt>
                <c:pt idx="7">
                  <c:v>-25.297554133135563</c:v>
                </c:pt>
                <c:pt idx="8">
                  <c:v>-27.535808431365773</c:v>
                </c:pt>
                <c:pt idx="9">
                  <c:v>-27.628417792744592</c:v>
                </c:pt>
                <c:pt idx="10">
                  <c:v>-29.997502753451052</c:v>
                </c:pt>
                <c:pt idx="11">
                  <c:v>-28.06262489249632</c:v>
                </c:pt>
                <c:pt idx="12">
                  <c:v>-30.645498931903749</c:v>
                </c:pt>
                <c:pt idx="13">
                  <c:v>-27.092549889444342</c:v>
                </c:pt>
                <c:pt idx="14">
                  <c:v>-24.28899054728441</c:v>
                </c:pt>
                <c:pt idx="15">
                  <c:v>-25.669712181349748</c:v>
                </c:pt>
                <c:pt idx="16">
                  <c:v>-25.435462945688826</c:v>
                </c:pt>
                <c:pt idx="17">
                  <c:v>-31.040689498948886</c:v>
                </c:pt>
                <c:pt idx="18">
                  <c:v>-30.846093343724206</c:v>
                </c:pt>
                <c:pt idx="19">
                  <c:v>-29.426966691861274</c:v>
                </c:pt>
                <c:pt idx="20">
                  <c:v>-29.764200665198015</c:v>
                </c:pt>
                <c:pt idx="21">
                  <c:v>-30.168616451396016</c:v>
                </c:pt>
                <c:pt idx="22">
                  <c:v>-29.48413128265123</c:v>
                </c:pt>
                <c:pt idx="23">
                  <c:v>-29.485585569479966</c:v>
                </c:pt>
                <c:pt idx="24">
                  <c:v>-31.290770339915053</c:v>
                </c:pt>
                <c:pt idx="25">
                  <c:v>-29.704256665370011</c:v>
                </c:pt>
                <c:pt idx="26">
                  <c:v>-28.344504427944035</c:v>
                </c:pt>
                <c:pt idx="27">
                  <c:v>-30.637429411694043</c:v>
                </c:pt>
                <c:pt idx="28">
                  <c:v>-32.404955656558201</c:v>
                </c:pt>
                <c:pt idx="29">
                  <c:v>-28</c:v>
                </c:pt>
                <c:pt idx="30">
                  <c:v>-25.071467645625653</c:v>
                </c:pt>
                <c:pt idx="31">
                  <c:v>-25.699936983325877</c:v>
                </c:pt>
                <c:pt idx="32">
                  <c:v>-27.232686212381424</c:v>
                </c:pt>
                <c:pt idx="33">
                  <c:v>-22.997618165471859</c:v>
                </c:pt>
                <c:pt idx="34">
                  <c:v>-25.8</c:v>
                </c:pt>
                <c:pt idx="35">
                  <c:v>-28.725836843764064</c:v>
                </c:pt>
                <c:pt idx="36">
                  <c:v>-27.797585066069505</c:v>
                </c:pt>
                <c:pt idx="37">
                  <c:v>-25.340990239285759</c:v>
                </c:pt>
                <c:pt idx="38">
                  <c:v>-22.581783906285729</c:v>
                </c:pt>
                <c:pt idx="39">
                  <c:v>-24.392000147868323</c:v>
                </c:pt>
                <c:pt idx="40">
                  <c:v>-25.236685531801346</c:v>
                </c:pt>
                <c:pt idx="41" formatCode="0.0">
                  <c:v>-24.077817715725971</c:v>
                </c:pt>
                <c:pt idx="42" formatCode="0.0">
                  <c:v>-29.675061855859198</c:v>
                </c:pt>
                <c:pt idx="43" formatCode="0.0">
                  <c:v>-28.4</c:v>
                </c:pt>
                <c:pt idx="44" formatCode="0.0">
                  <c:v>-28.874306637901356</c:v>
                </c:pt>
                <c:pt idx="45" formatCode="0.0">
                  <c:v>-30.794330285810986</c:v>
                </c:pt>
                <c:pt idx="46" formatCode="0.0">
                  <c:v>-29.543474949783889</c:v>
                </c:pt>
                <c:pt idx="47" formatCode="0.0">
                  <c:v>-26.38685501138583</c:v>
                </c:pt>
                <c:pt idx="48" formatCode="0.0">
                  <c:v>-27.71199590975063</c:v>
                </c:pt>
                <c:pt idx="49" formatCode="0.0">
                  <c:v>-29.95522089472167</c:v>
                </c:pt>
                <c:pt idx="50">
                  <c:v>-31.504825451700448</c:v>
                </c:pt>
                <c:pt idx="51" formatCode="0.0">
                  <c:v>-29.083585505842859</c:v>
                </c:pt>
                <c:pt idx="52" formatCode="0.0">
                  <c:v>-34.4</c:v>
                </c:pt>
                <c:pt idx="53" formatCode="0.0">
                  <c:v>-38.035486047325477</c:v>
                </c:pt>
                <c:pt idx="54" formatCode="0.0">
                  <c:v>-36.428256542769461</c:v>
                </c:pt>
                <c:pt idx="55" formatCode="0.0">
                  <c:v>-40.395301048613071</c:v>
                </c:pt>
                <c:pt idx="56">
                  <c:v>-43.360121736390973</c:v>
                </c:pt>
                <c:pt idx="57" formatCode="###0.0">
                  <c:v>-42.859520384168782</c:v>
                </c:pt>
                <c:pt idx="58" formatCode="###0.0">
                  <c:v>-40.852070365263764</c:v>
                </c:pt>
                <c:pt idx="59" formatCode="###0.0">
                  <c:v>-42.073262915232313</c:v>
                </c:pt>
                <c:pt idx="60" formatCode="###0.0">
                  <c:v>-42.039252344626163</c:v>
                </c:pt>
                <c:pt idx="61">
                  <c:v>-41.443683343818755</c:v>
                </c:pt>
              </c:numCache>
            </c:numRef>
          </c:val>
        </c:ser>
        <c:ser>
          <c:idx val="1"/>
          <c:order val="1"/>
          <c:tx>
            <c:strRef>
              <c:f>'tableau note fr'!$A$10</c:f>
              <c:strCache>
                <c:ptCount val="1"/>
                <c:pt idx="0">
                  <c:v>Evolution  passée de la situation financière des ménages</c:v>
                </c:pt>
              </c:strCache>
            </c:strRef>
          </c:tx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fr'!$B$10:$BK$10</c:f>
              <c:numCache>
                <c:formatCode>#,##0.0</c:formatCode>
                <c:ptCount val="62"/>
                <c:pt idx="0">
                  <c:v>-11.760493904860514</c:v>
                </c:pt>
                <c:pt idx="1">
                  <c:v>-11.376439540974172</c:v>
                </c:pt>
                <c:pt idx="2">
                  <c:v>-11.707546774199248</c:v>
                </c:pt>
                <c:pt idx="3">
                  <c:v>-9.5250570435126427</c:v>
                </c:pt>
                <c:pt idx="4">
                  <c:v>-18.438210074457366</c:v>
                </c:pt>
                <c:pt idx="5">
                  <c:v>-13.353492384896759</c:v>
                </c:pt>
                <c:pt idx="6">
                  <c:v>-8.3398771422969418</c:v>
                </c:pt>
                <c:pt idx="7">
                  <c:v>-11.02764060888175</c:v>
                </c:pt>
                <c:pt idx="8">
                  <c:v>-9.9712946623485852</c:v>
                </c:pt>
                <c:pt idx="9">
                  <c:v>-7.900036816111526</c:v>
                </c:pt>
                <c:pt idx="10">
                  <c:v>-7.5448517126855705</c:v>
                </c:pt>
                <c:pt idx="11">
                  <c:v>-12.80990794833837</c:v>
                </c:pt>
                <c:pt idx="12">
                  <c:v>-10.526395373972909</c:v>
                </c:pt>
                <c:pt idx="13">
                  <c:v>-8.9058745431594577</c:v>
                </c:pt>
                <c:pt idx="14">
                  <c:v>-6.3663328535796895</c:v>
                </c:pt>
                <c:pt idx="15">
                  <c:v>-9.8004349690183989</c:v>
                </c:pt>
                <c:pt idx="16">
                  <c:v>-14.12986220998387</c:v>
                </c:pt>
                <c:pt idx="17">
                  <c:v>-16.595107957258964</c:v>
                </c:pt>
                <c:pt idx="18">
                  <c:v>-16.673706990082124</c:v>
                </c:pt>
                <c:pt idx="19">
                  <c:v>-15.707035536653336</c:v>
                </c:pt>
                <c:pt idx="20">
                  <c:v>-19.633449783694058</c:v>
                </c:pt>
                <c:pt idx="21">
                  <c:v>-23.788807201688929</c:v>
                </c:pt>
                <c:pt idx="22">
                  <c:v>-21.891965579068497</c:v>
                </c:pt>
                <c:pt idx="23">
                  <c:v>-21.870867995539985</c:v>
                </c:pt>
                <c:pt idx="24">
                  <c:v>-21.277780753263979</c:v>
                </c:pt>
                <c:pt idx="25">
                  <c:v>-23.337257864101161</c:v>
                </c:pt>
                <c:pt idx="26">
                  <c:v>-25.773771694272</c:v>
                </c:pt>
                <c:pt idx="27">
                  <c:v>-29.150994705705713</c:v>
                </c:pt>
                <c:pt idx="28">
                  <c:v>-26.965288381475773</c:v>
                </c:pt>
                <c:pt idx="29">
                  <c:v>-20.216971341645095</c:v>
                </c:pt>
                <c:pt idx="30">
                  <c:v>-20.789363149769283</c:v>
                </c:pt>
                <c:pt idx="31">
                  <c:v>-18.50333400384844</c:v>
                </c:pt>
                <c:pt idx="32">
                  <c:v>-27.398022856415231</c:v>
                </c:pt>
                <c:pt idx="33">
                  <c:v>-22.820131487915329</c:v>
                </c:pt>
                <c:pt idx="34">
                  <c:v>-26.987361336961204</c:v>
                </c:pt>
                <c:pt idx="35">
                  <c:v>-33.305012733303052</c:v>
                </c:pt>
                <c:pt idx="36">
                  <c:v>-26.764408087130526</c:v>
                </c:pt>
                <c:pt idx="37">
                  <c:v>-16.62670425295973</c:v>
                </c:pt>
                <c:pt idx="38">
                  <c:v>-14.506801572644617</c:v>
                </c:pt>
                <c:pt idx="39">
                  <c:v>-16.7</c:v>
                </c:pt>
                <c:pt idx="40">
                  <c:v>-18.12020796730943</c:v>
                </c:pt>
                <c:pt idx="41" formatCode="0.0">
                  <c:v>-15.241299993196513</c:v>
                </c:pt>
                <c:pt idx="42" formatCode="0.0">
                  <c:v>-18.212765523946558</c:v>
                </c:pt>
                <c:pt idx="43" formatCode="0.0">
                  <c:v>-20.7</c:v>
                </c:pt>
                <c:pt idx="44" formatCode="0.0">
                  <c:v>-21.239570741294095</c:v>
                </c:pt>
                <c:pt idx="45" formatCode="0.0">
                  <c:v>-24.187755596841431</c:v>
                </c:pt>
                <c:pt idx="46" formatCode="0.0">
                  <c:v>-26.020639530378276</c:v>
                </c:pt>
                <c:pt idx="47" formatCode="0.0">
                  <c:v>-22.058531326387186</c:v>
                </c:pt>
                <c:pt idx="48" formatCode="0.0">
                  <c:v>-22.878127876162289</c:v>
                </c:pt>
                <c:pt idx="49" formatCode="0.0">
                  <c:v>-26.986745192981463</c:v>
                </c:pt>
                <c:pt idx="50">
                  <c:v>-33.978821699551595</c:v>
                </c:pt>
                <c:pt idx="51" formatCode="0.0">
                  <c:v>-39.90109851869714</c:v>
                </c:pt>
                <c:pt idx="52" formatCode="0.0">
                  <c:v>-47.4</c:v>
                </c:pt>
                <c:pt idx="53" formatCode="0.0">
                  <c:v>-49.983603873812044</c:v>
                </c:pt>
                <c:pt idx="54" formatCode="0.0">
                  <c:v>-47.976189869600539</c:v>
                </c:pt>
                <c:pt idx="55" formatCode="0.0">
                  <c:v>-48.996187860965861</c:v>
                </c:pt>
                <c:pt idx="56">
                  <c:v>-50.914989365217039</c:v>
                </c:pt>
                <c:pt idx="57" formatCode="###0.0">
                  <c:v>-48.695739372079345</c:v>
                </c:pt>
                <c:pt idx="58" formatCode="###0.0">
                  <c:v>-47.705982595091868</c:v>
                </c:pt>
                <c:pt idx="59" formatCode="###0.0">
                  <c:v>-52.997909819539771</c:v>
                </c:pt>
                <c:pt idx="60" formatCode="###0.0">
                  <c:v>-57.178423227688718</c:v>
                </c:pt>
                <c:pt idx="61">
                  <c:v>-57.331610038737644</c:v>
                </c:pt>
              </c:numCache>
            </c:numRef>
          </c:val>
        </c:ser>
        <c:ser>
          <c:idx val="2"/>
          <c:order val="2"/>
          <c:tx>
            <c:strRef>
              <c:f>'tableau note fr'!$A$11</c:f>
              <c:strCache>
                <c:ptCount val="1"/>
                <c:pt idx="0">
                  <c:v>Evolution  future de la situation financière des ménages</c:v>
                </c:pt>
              </c:strCache>
            </c:strRef>
          </c:tx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fr'!$B$11:$BK$11</c:f>
              <c:numCache>
                <c:formatCode>#,##0.0</c:formatCode>
                <c:ptCount val="62"/>
                <c:pt idx="0">
                  <c:v>23.9</c:v>
                </c:pt>
                <c:pt idx="1">
                  <c:v>15.58418860861071</c:v>
                </c:pt>
                <c:pt idx="2">
                  <c:v>16.580364039590329</c:v>
                </c:pt>
                <c:pt idx="3">
                  <c:v>26.705941849103194</c:v>
                </c:pt>
                <c:pt idx="4">
                  <c:v>26.769154239001935</c:v>
                </c:pt>
                <c:pt idx="5">
                  <c:v>21.986954089697061</c:v>
                </c:pt>
                <c:pt idx="6">
                  <c:v>17.532817766676487</c:v>
                </c:pt>
                <c:pt idx="7">
                  <c:v>17.09400625121032</c:v>
                </c:pt>
                <c:pt idx="8">
                  <c:v>17.787694440036187</c:v>
                </c:pt>
                <c:pt idx="9">
                  <c:v>11.776375704730508</c:v>
                </c:pt>
                <c:pt idx="10">
                  <c:v>7.8068380126684715</c:v>
                </c:pt>
                <c:pt idx="11">
                  <c:v>9.3656519222157506</c:v>
                </c:pt>
                <c:pt idx="12">
                  <c:v>10.223761077165181</c:v>
                </c:pt>
                <c:pt idx="13">
                  <c:v>20.35454845779272</c:v>
                </c:pt>
                <c:pt idx="14">
                  <c:v>15.105327443781253</c:v>
                </c:pt>
                <c:pt idx="15">
                  <c:v>13.999505506513676</c:v>
                </c:pt>
                <c:pt idx="16">
                  <c:v>11.230833640450332</c:v>
                </c:pt>
                <c:pt idx="17">
                  <c:v>11.136340416980383</c:v>
                </c:pt>
                <c:pt idx="18">
                  <c:v>7.6658451594012966</c:v>
                </c:pt>
                <c:pt idx="19">
                  <c:v>10.649290737183625</c:v>
                </c:pt>
                <c:pt idx="20">
                  <c:v>4.5484811189173895</c:v>
                </c:pt>
                <c:pt idx="21">
                  <c:v>0.71644439200690369</c:v>
                </c:pt>
                <c:pt idx="22">
                  <c:v>2.7930128120198785</c:v>
                </c:pt>
                <c:pt idx="23">
                  <c:v>-1.7003971659207195</c:v>
                </c:pt>
                <c:pt idx="24">
                  <c:v>1.2126606998519158</c:v>
                </c:pt>
                <c:pt idx="25">
                  <c:v>-2.6659512091834952</c:v>
                </c:pt>
                <c:pt idx="26">
                  <c:v>-1.4735728224612341</c:v>
                </c:pt>
                <c:pt idx="27">
                  <c:v>-3.913903848287156</c:v>
                </c:pt>
                <c:pt idx="28">
                  <c:v>8.9330913123193523E-2</c:v>
                </c:pt>
                <c:pt idx="29">
                  <c:v>4.1756310519058966</c:v>
                </c:pt>
                <c:pt idx="30">
                  <c:v>3.3451516718598637</c:v>
                </c:pt>
                <c:pt idx="31">
                  <c:v>7.6417999475620588</c:v>
                </c:pt>
                <c:pt idx="32">
                  <c:v>1.237335192809401</c:v>
                </c:pt>
                <c:pt idx="33">
                  <c:v>2.2988859177154</c:v>
                </c:pt>
                <c:pt idx="34">
                  <c:v>4.9642092382991612</c:v>
                </c:pt>
                <c:pt idx="35">
                  <c:v>6.4877666459978194</c:v>
                </c:pt>
                <c:pt idx="36">
                  <c:v>13.359772169150252</c:v>
                </c:pt>
                <c:pt idx="37">
                  <c:v>22.123807522802235</c:v>
                </c:pt>
                <c:pt idx="38">
                  <c:v>19.596485843359812</c:v>
                </c:pt>
                <c:pt idx="39">
                  <c:v>19.180868333171652</c:v>
                </c:pt>
                <c:pt idx="40">
                  <c:v>25.926424488378231</c:v>
                </c:pt>
                <c:pt idx="41" formatCode="0.0">
                  <c:v>28.13049374002523</c:v>
                </c:pt>
                <c:pt idx="42" formatCode="0.0">
                  <c:v>18.237772049662333</c:v>
                </c:pt>
                <c:pt idx="43" formatCode="0.0">
                  <c:v>19.100000000000001</c:v>
                </c:pt>
                <c:pt idx="44" formatCode="0.0">
                  <c:v>20.686932465103727</c:v>
                </c:pt>
                <c:pt idx="45" formatCode="0.0">
                  <c:v>18.273992721467774</c:v>
                </c:pt>
                <c:pt idx="46" formatCode="0.0">
                  <c:v>12.775065694831193</c:v>
                </c:pt>
                <c:pt idx="47" formatCode="0.0">
                  <c:v>15.949037871016621</c:v>
                </c:pt>
                <c:pt idx="48" formatCode="0.0">
                  <c:v>8.5440476832129519</c:v>
                </c:pt>
                <c:pt idx="49" formatCode="0.0">
                  <c:v>-4.5622056678242258</c:v>
                </c:pt>
                <c:pt idx="50" formatCode="0.0">
                  <c:v>-11.891224568065192</c:v>
                </c:pt>
                <c:pt idx="51" formatCode="0.0">
                  <c:v>0.5872218846748406</c:v>
                </c:pt>
                <c:pt idx="52" formatCode="0.0">
                  <c:v>21.2</c:v>
                </c:pt>
                <c:pt idx="53" formatCode="0.0">
                  <c:v>14.805679039075395</c:v>
                </c:pt>
                <c:pt idx="54" formatCode="0.0">
                  <c:v>15.138710068393648</c:v>
                </c:pt>
                <c:pt idx="55" formatCode="0.0">
                  <c:v>15.055968466044563</c:v>
                </c:pt>
                <c:pt idx="56" formatCode="0.0">
                  <c:v>8.2820663349680643</c:v>
                </c:pt>
                <c:pt idx="57" formatCode="###0.0">
                  <c:v>-0.1</c:v>
                </c:pt>
                <c:pt idx="58" formatCode="###0.0">
                  <c:v>-5.9102037420420421</c:v>
                </c:pt>
                <c:pt idx="59" formatCode="###0.0">
                  <c:v>-7.7399452408305418</c:v>
                </c:pt>
                <c:pt idx="60" formatCode="###0.0">
                  <c:v>-5.1985459027706948</c:v>
                </c:pt>
                <c:pt idx="61">
                  <c:v>-6.1002172114981841</c:v>
                </c:pt>
              </c:numCache>
            </c:numRef>
          </c:val>
        </c:ser>
        <c:marker val="1"/>
        <c:axId val="119812864"/>
        <c:axId val="119814400"/>
      </c:lineChart>
      <c:catAx>
        <c:axId val="119812864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600"/>
            </a:pPr>
            <a:endParaRPr lang="fr-FR"/>
          </a:p>
        </c:txPr>
        <c:crossAx val="119814400"/>
        <c:crosses val="autoZero"/>
        <c:auto val="1"/>
        <c:lblAlgn val="ctr"/>
        <c:lblOffset val="100"/>
      </c:catAx>
      <c:valAx>
        <c:axId val="119814400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lang="en-US" sz="900"/>
            </a:pPr>
            <a:endParaRPr lang="fr-FR"/>
          </a:p>
        </c:txPr>
        <c:crossAx val="119812864"/>
        <c:crosses val="autoZero"/>
        <c:crossBetween val="between"/>
      </c:valAx>
    </c:plotArea>
    <c:legend>
      <c:legendPos val="b"/>
      <c:txPr>
        <a:bodyPr/>
        <a:lstStyle/>
        <a:p>
          <a:pPr>
            <a:defRPr lang="en-US"/>
          </a:pPr>
          <a:endParaRPr lang="fr-FR"/>
        </a:p>
      </c:txPr>
    </c:legend>
    <c:plotVisOnly val="1"/>
    <c:dispBlanksAs val="gap"/>
  </c:chart>
  <c:spPr>
    <a:ln w="3175">
      <a:solidFill>
        <a:schemeClr val="tx1"/>
      </a:solidFill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/>
              <a:t>Perception par les ménages des évolutions passée et future des prix des produits alimentaires  (soldes d'opinions)</a:t>
            </a:r>
            <a:endParaRPr lang="fr-FR" sz="140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US"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 sz="1400"/>
          </a:p>
        </c:rich>
      </c:tx>
      <c:layout>
        <c:manualLayout>
          <c:xMode val="edge"/>
          <c:yMode val="edge"/>
          <c:x val="0.13624361023608397"/>
          <c:y val="2.1465163303846953E-2"/>
        </c:manualLayout>
      </c:layout>
    </c:title>
    <c:plotArea>
      <c:layout>
        <c:manualLayout>
          <c:layoutTarget val="inner"/>
          <c:xMode val="edge"/>
          <c:yMode val="edge"/>
          <c:x val="6.0527361936278584E-2"/>
          <c:y val="0.17448190629883464"/>
          <c:w val="0.91007862895562319"/>
          <c:h val="0.53428380945537268"/>
        </c:manualLayout>
      </c:layout>
      <c:lineChart>
        <c:grouping val="standard"/>
        <c:ser>
          <c:idx val="0"/>
          <c:order val="0"/>
          <c:tx>
            <c:strRef>
              <c:f>'tableau note fr'!$A$13</c:f>
              <c:strCache>
                <c:ptCount val="1"/>
                <c:pt idx="0">
                  <c:v>Evolution future des prix des produits alimentaires</c:v>
                </c:pt>
              </c:strCache>
            </c:strRef>
          </c:tx>
          <c:marker>
            <c:symbol val="circle"/>
            <c:size val="4"/>
          </c:marker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fr'!$B$13:$BK$13</c:f>
              <c:numCache>
                <c:formatCode>#,##0.0</c:formatCode>
                <c:ptCount val="62"/>
                <c:pt idx="0">
                  <c:v>-74.061389031284818</c:v>
                </c:pt>
                <c:pt idx="1">
                  <c:v>-77.71657465161033</c:v>
                </c:pt>
                <c:pt idx="2">
                  <c:v>-78.940542419693813</c:v>
                </c:pt>
                <c:pt idx="3">
                  <c:v>-49.653420650313564</c:v>
                </c:pt>
                <c:pt idx="4">
                  <c:v>-34.869529990694446</c:v>
                </c:pt>
                <c:pt idx="5">
                  <c:v>-33.523065681383372</c:v>
                </c:pt>
                <c:pt idx="6">
                  <c:v>-50.919242344766445</c:v>
                </c:pt>
                <c:pt idx="7">
                  <c:v>-47.871947864454597</c:v>
                </c:pt>
                <c:pt idx="8">
                  <c:v>-46.515022811525796</c:v>
                </c:pt>
                <c:pt idx="9">
                  <c:v>-56.832932011427914</c:v>
                </c:pt>
                <c:pt idx="10">
                  <c:v>-62.176731306136908</c:v>
                </c:pt>
                <c:pt idx="11">
                  <c:v>-70.131788082404228</c:v>
                </c:pt>
                <c:pt idx="12">
                  <c:v>-73.412747182583928</c:v>
                </c:pt>
                <c:pt idx="13">
                  <c:v>-58.832065504603946</c:v>
                </c:pt>
                <c:pt idx="14">
                  <c:v>-72.59048616904964</c:v>
                </c:pt>
                <c:pt idx="15">
                  <c:v>-72.965887012435047</c:v>
                </c:pt>
                <c:pt idx="16">
                  <c:v>-69.834720496858949</c:v>
                </c:pt>
                <c:pt idx="17">
                  <c:v>-71.450027411204985</c:v>
                </c:pt>
                <c:pt idx="18">
                  <c:v>-73.57837146643395</c:v>
                </c:pt>
                <c:pt idx="19">
                  <c:v>-70.049698245525676</c:v>
                </c:pt>
                <c:pt idx="20">
                  <c:v>-76.09629668730058</c:v>
                </c:pt>
                <c:pt idx="21">
                  <c:v>-73.375476646911608</c:v>
                </c:pt>
                <c:pt idx="22">
                  <c:v>-76.007455926126042</c:v>
                </c:pt>
                <c:pt idx="23">
                  <c:v>-76.048555842624538</c:v>
                </c:pt>
                <c:pt idx="24">
                  <c:v>-77.551787041299889</c:v>
                </c:pt>
                <c:pt idx="25">
                  <c:v>-78.042355521266373</c:v>
                </c:pt>
                <c:pt idx="26">
                  <c:v>-76.898841721729823</c:v>
                </c:pt>
                <c:pt idx="27">
                  <c:v>-77.2</c:v>
                </c:pt>
                <c:pt idx="28">
                  <c:v>-77.231717010323948</c:v>
                </c:pt>
                <c:pt idx="29">
                  <c:v>-75.641194802119557</c:v>
                </c:pt>
                <c:pt idx="30">
                  <c:v>-75.301499740412396</c:v>
                </c:pt>
                <c:pt idx="31">
                  <c:v>-75.201077205088083</c:v>
                </c:pt>
                <c:pt idx="32">
                  <c:v>-79.25874198980361</c:v>
                </c:pt>
                <c:pt idx="33">
                  <c:v>-77.326465444648022</c:v>
                </c:pt>
                <c:pt idx="34">
                  <c:v>-77.900000000000006</c:v>
                </c:pt>
                <c:pt idx="35">
                  <c:v>-77.33590195130148</c:v>
                </c:pt>
                <c:pt idx="36">
                  <c:v>-77.664169536728878</c:v>
                </c:pt>
                <c:pt idx="37">
                  <c:v>-74.5</c:v>
                </c:pt>
                <c:pt idx="38">
                  <c:v>-73.964173414184586</c:v>
                </c:pt>
                <c:pt idx="39">
                  <c:v>-79.602800137507927</c:v>
                </c:pt>
                <c:pt idx="40">
                  <c:v>-82.909090889011466</c:v>
                </c:pt>
                <c:pt idx="41" formatCode="0.0">
                  <c:v>-84.024833717392056</c:v>
                </c:pt>
                <c:pt idx="42">
                  <c:v>-82.078038176837424</c:v>
                </c:pt>
                <c:pt idx="43">
                  <c:v>-86.6</c:v>
                </c:pt>
                <c:pt idx="44">
                  <c:v>-87.54271632969234</c:v>
                </c:pt>
                <c:pt idx="45">
                  <c:v>-86.508482649196509</c:v>
                </c:pt>
                <c:pt idx="46">
                  <c:v>-83.288697742697579</c:v>
                </c:pt>
                <c:pt idx="47">
                  <c:v>-82.220036585575144</c:v>
                </c:pt>
                <c:pt idx="48">
                  <c:v>-82.585609750348496</c:v>
                </c:pt>
                <c:pt idx="49" formatCode="0.0">
                  <c:v>-69.044082249115988</c:v>
                </c:pt>
                <c:pt idx="50">
                  <c:v>-68.063522341730973</c:v>
                </c:pt>
                <c:pt idx="51" formatCode="0.0">
                  <c:v>-64.634662916008139</c:v>
                </c:pt>
                <c:pt idx="52">
                  <c:v>-60.2</c:v>
                </c:pt>
                <c:pt idx="53">
                  <c:v>-67.626807058147179</c:v>
                </c:pt>
                <c:pt idx="54">
                  <c:v>-70.948472628894308</c:v>
                </c:pt>
                <c:pt idx="55">
                  <c:v>-76.250623411131627</c:v>
                </c:pt>
                <c:pt idx="56">
                  <c:v>-74.08113857965067</c:v>
                </c:pt>
                <c:pt idx="57" formatCode="###0.0">
                  <c:v>-74.293813887540622</c:v>
                </c:pt>
                <c:pt idx="58" formatCode="###0.0">
                  <c:v>-73.590712253861767</c:v>
                </c:pt>
                <c:pt idx="59" formatCode="###0.0">
                  <c:v>-71.823546131746824</c:v>
                </c:pt>
                <c:pt idx="60" formatCode="###0.0">
                  <c:v>-69.775201547129754</c:v>
                </c:pt>
                <c:pt idx="61">
                  <c:v>-67.713945367946124</c:v>
                </c:pt>
              </c:numCache>
            </c:numRef>
          </c:val>
        </c:ser>
        <c:ser>
          <c:idx val="1"/>
          <c:order val="1"/>
          <c:tx>
            <c:strRef>
              <c:f>'tableau note fr'!$A$14</c:f>
              <c:strCache>
                <c:ptCount val="1"/>
                <c:pt idx="0">
                  <c:v>Evolution  passée des prix des produits alimentaires</c:v>
                </c:pt>
              </c:strCache>
            </c:strRef>
          </c:tx>
          <c:cat>
            <c:strRef>
              <c:f>'tableau note fr'!$B$3:$BK$3</c:f>
              <c:strCache>
                <c:ptCount val="62"/>
                <c:pt idx="0">
                  <c:v>T1/08</c:v>
                </c:pt>
                <c:pt idx="1">
                  <c:v>T2/08</c:v>
                </c:pt>
                <c:pt idx="2">
                  <c:v>T3/08</c:v>
                </c:pt>
                <c:pt idx="3">
                  <c:v>T4/08</c:v>
                </c:pt>
                <c:pt idx="4">
                  <c:v>T1/09</c:v>
                </c:pt>
                <c:pt idx="5">
                  <c:v>T2/09</c:v>
                </c:pt>
                <c:pt idx="6">
                  <c:v>T3/09</c:v>
                </c:pt>
                <c:pt idx="7">
                  <c:v>T4/09</c:v>
                </c:pt>
                <c:pt idx="8">
                  <c:v>T1/10</c:v>
                </c:pt>
                <c:pt idx="9">
                  <c:v>T2/10</c:v>
                </c:pt>
                <c:pt idx="10">
                  <c:v>T3/10</c:v>
                </c:pt>
                <c:pt idx="11">
                  <c:v>T4/10</c:v>
                </c:pt>
                <c:pt idx="12">
                  <c:v>T1/11</c:v>
                </c:pt>
                <c:pt idx="13">
                  <c:v>T2/11</c:v>
                </c:pt>
                <c:pt idx="14">
                  <c:v>T3/11</c:v>
                </c:pt>
                <c:pt idx="15">
                  <c:v>T4/11</c:v>
                </c:pt>
                <c:pt idx="16">
                  <c:v>T1/12</c:v>
                </c:pt>
                <c:pt idx="17">
                  <c:v>T2/12</c:v>
                </c:pt>
                <c:pt idx="18">
                  <c:v>T3/12</c:v>
                </c:pt>
                <c:pt idx="19">
                  <c:v>T4/12</c:v>
                </c:pt>
                <c:pt idx="20">
                  <c:v>T1/13</c:v>
                </c:pt>
                <c:pt idx="21">
                  <c:v>T2/13</c:v>
                </c:pt>
                <c:pt idx="22">
                  <c:v>T3/13</c:v>
                </c:pt>
                <c:pt idx="23">
                  <c:v>T4/13</c:v>
                </c:pt>
                <c:pt idx="24">
                  <c:v>T1/14</c:v>
                </c:pt>
                <c:pt idx="25">
                  <c:v>T2/14</c:v>
                </c:pt>
                <c:pt idx="26">
                  <c:v>T3/14</c:v>
                </c:pt>
                <c:pt idx="27">
                  <c:v>T4/14</c:v>
                </c:pt>
                <c:pt idx="28">
                  <c:v>T1/15</c:v>
                </c:pt>
                <c:pt idx="29">
                  <c:v>T2/15</c:v>
                </c:pt>
                <c:pt idx="30">
                  <c:v>T3/15</c:v>
                </c:pt>
                <c:pt idx="31">
                  <c:v>T4/15</c:v>
                </c:pt>
                <c:pt idx="32">
                  <c:v>T1/16</c:v>
                </c:pt>
                <c:pt idx="33">
                  <c:v>T2/16</c:v>
                </c:pt>
                <c:pt idx="34">
                  <c:v>T3/16</c:v>
                </c:pt>
                <c:pt idx="35">
                  <c:v>T4/16</c:v>
                </c:pt>
                <c:pt idx="36">
                  <c:v>T1/17</c:v>
                </c:pt>
                <c:pt idx="37">
                  <c:v>T2/17</c:v>
                </c:pt>
                <c:pt idx="38">
                  <c:v>T3/17</c:v>
                </c:pt>
                <c:pt idx="39">
                  <c:v>T4/17</c:v>
                </c:pt>
                <c:pt idx="40">
                  <c:v>T1/18</c:v>
                </c:pt>
                <c:pt idx="41">
                  <c:v>T2/18</c:v>
                </c:pt>
                <c:pt idx="42">
                  <c:v>T3/18</c:v>
                </c:pt>
                <c:pt idx="43">
                  <c:v>T4/18</c:v>
                </c:pt>
                <c:pt idx="44">
                  <c:v>T1/19</c:v>
                </c:pt>
                <c:pt idx="45">
                  <c:v>T2/19</c:v>
                </c:pt>
                <c:pt idx="46">
                  <c:v>T3/19</c:v>
                </c:pt>
                <c:pt idx="47">
                  <c:v>T4/19</c:v>
                </c:pt>
                <c:pt idx="48">
                  <c:v>T1/20</c:v>
                </c:pt>
                <c:pt idx="49">
                  <c:v>T2/20</c:v>
                </c:pt>
                <c:pt idx="50">
                  <c:v>T3/20</c:v>
                </c:pt>
                <c:pt idx="51">
                  <c:v>T4/20</c:v>
                </c:pt>
                <c:pt idx="52">
                  <c:v>T1/21</c:v>
                </c:pt>
                <c:pt idx="53">
                  <c:v>T2/21</c:v>
                </c:pt>
                <c:pt idx="54">
                  <c:v>T3/21</c:v>
                </c:pt>
                <c:pt idx="55">
                  <c:v>T4/21</c:v>
                </c:pt>
                <c:pt idx="56">
                  <c:v>T1/22</c:v>
                </c:pt>
                <c:pt idx="57">
                  <c:v>T2/22</c:v>
                </c:pt>
                <c:pt idx="58">
                  <c:v>T3/22</c:v>
                </c:pt>
                <c:pt idx="59">
                  <c:v>T4/22</c:v>
                </c:pt>
                <c:pt idx="60">
                  <c:v>T1/23</c:v>
                </c:pt>
                <c:pt idx="61">
                  <c:v>T2/23</c:v>
                </c:pt>
              </c:strCache>
            </c:strRef>
          </c:cat>
          <c:val>
            <c:numRef>
              <c:f>'tableau note fr'!$B$14:$BK$14</c:f>
              <c:numCache>
                <c:formatCode>#,##0.0</c:formatCode>
                <c:ptCount val="62"/>
                <c:pt idx="0">
                  <c:v>-93.561530615416999</c:v>
                </c:pt>
                <c:pt idx="1">
                  <c:v>-95.947220816722407</c:v>
                </c:pt>
                <c:pt idx="2">
                  <c:v>-98.048475442965014</c:v>
                </c:pt>
                <c:pt idx="3">
                  <c:v>-96.216541508823312</c:v>
                </c:pt>
                <c:pt idx="4">
                  <c:v>-93.990402062896209</c:v>
                </c:pt>
                <c:pt idx="5">
                  <c:v>-87.215803326852651</c:v>
                </c:pt>
                <c:pt idx="6">
                  <c:v>-85.738329527783449</c:v>
                </c:pt>
                <c:pt idx="7">
                  <c:v>-83.278098478101469</c:v>
                </c:pt>
                <c:pt idx="8">
                  <c:v>-79.493520436579956</c:v>
                </c:pt>
                <c:pt idx="9">
                  <c:v>-87.814557184919167</c:v>
                </c:pt>
                <c:pt idx="10">
                  <c:v>-89.729007404339953</c:v>
                </c:pt>
                <c:pt idx="11">
                  <c:v>-90.967802162493541</c:v>
                </c:pt>
                <c:pt idx="12">
                  <c:v>-95.526783459398686</c:v>
                </c:pt>
                <c:pt idx="13">
                  <c:v>-87.197236284295727</c:v>
                </c:pt>
                <c:pt idx="14">
                  <c:v>-89.924388392526126</c:v>
                </c:pt>
                <c:pt idx="15">
                  <c:v>-92.495216554147731</c:v>
                </c:pt>
                <c:pt idx="16">
                  <c:v>-91.625316584481851</c:v>
                </c:pt>
                <c:pt idx="17">
                  <c:v>-91.140544889708991</c:v>
                </c:pt>
                <c:pt idx="18">
                  <c:v>-91.653648288633619</c:v>
                </c:pt>
                <c:pt idx="19">
                  <c:v>-90.602273539903038</c:v>
                </c:pt>
                <c:pt idx="20">
                  <c:v>-91.630328830979678</c:v>
                </c:pt>
                <c:pt idx="21">
                  <c:v>-88.947630714849396</c:v>
                </c:pt>
                <c:pt idx="22">
                  <c:v>-90.507981291878522</c:v>
                </c:pt>
                <c:pt idx="23">
                  <c:v>-90.842402571703019</c:v>
                </c:pt>
                <c:pt idx="24">
                  <c:v>-89.421972084851788</c:v>
                </c:pt>
                <c:pt idx="25">
                  <c:v>-84.135715875789089</c:v>
                </c:pt>
                <c:pt idx="26">
                  <c:v>-81.763249669623718</c:v>
                </c:pt>
                <c:pt idx="27">
                  <c:v>-84.521199779532196</c:v>
                </c:pt>
                <c:pt idx="28">
                  <c:v>-87.223881643150108</c:v>
                </c:pt>
                <c:pt idx="29">
                  <c:v>-85.304961002513068</c:v>
                </c:pt>
                <c:pt idx="30">
                  <c:v>-84.28450715952377</c:v>
                </c:pt>
                <c:pt idx="31">
                  <c:v>-85.427496568127424</c:v>
                </c:pt>
                <c:pt idx="32">
                  <c:v>-85.452277394276848</c:v>
                </c:pt>
                <c:pt idx="33">
                  <c:v>-87.871778057968186</c:v>
                </c:pt>
                <c:pt idx="34">
                  <c:v>-87.672521775530939</c:v>
                </c:pt>
                <c:pt idx="35">
                  <c:v>-87.308587775463394</c:v>
                </c:pt>
                <c:pt idx="36">
                  <c:v>-86.771015006658288</c:v>
                </c:pt>
                <c:pt idx="37">
                  <c:v>-86.4</c:v>
                </c:pt>
                <c:pt idx="38">
                  <c:v>-82.805018292489478</c:v>
                </c:pt>
                <c:pt idx="39">
                  <c:v>-88.513579156072012</c:v>
                </c:pt>
                <c:pt idx="40">
                  <c:v>-86.694812387811382</c:v>
                </c:pt>
                <c:pt idx="41" formatCode="0.0">
                  <c:v>-88.182833745436696</c:v>
                </c:pt>
                <c:pt idx="42">
                  <c:v>-88.119908444008828</c:v>
                </c:pt>
                <c:pt idx="43">
                  <c:v>-90.3</c:v>
                </c:pt>
                <c:pt idx="44">
                  <c:v>-88.136419421127727</c:v>
                </c:pt>
                <c:pt idx="45">
                  <c:v>-88.912542109472369</c:v>
                </c:pt>
                <c:pt idx="46">
                  <c:v>-83.748311328811582</c:v>
                </c:pt>
                <c:pt idx="47">
                  <c:v>-85.084964738360227</c:v>
                </c:pt>
                <c:pt idx="48">
                  <c:v>-82.774085672956858</c:v>
                </c:pt>
                <c:pt idx="49" formatCode="0.0">
                  <c:v>-67.616999612935103</c:v>
                </c:pt>
                <c:pt idx="50">
                  <c:v>-75.123128911649388</c:v>
                </c:pt>
                <c:pt idx="51" formatCode="0.0">
                  <c:v>-74.676635648394679</c:v>
                </c:pt>
                <c:pt idx="52">
                  <c:v>-74</c:v>
                </c:pt>
                <c:pt idx="53">
                  <c:v>-86.830108784480686</c:v>
                </c:pt>
                <c:pt idx="54">
                  <c:v>-86.892269253653168</c:v>
                </c:pt>
                <c:pt idx="55">
                  <c:v>-95.946419387502317</c:v>
                </c:pt>
                <c:pt idx="56">
                  <c:v>-97.899492867529489</c:v>
                </c:pt>
                <c:pt idx="57" formatCode="###0.0">
                  <c:v>-99.090827572349781</c:v>
                </c:pt>
                <c:pt idx="58" formatCode="###0.0">
                  <c:v>-99.053454059204242</c:v>
                </c:pt>
                <c:pt idx="59" formatCode="###0.0">
                  <c:v>-98.761441528769112</c:v>
                </c:pt>
                <c:pt idx="60" formatCode="###0.0">
                  <c:v>-98.724700288378216</c:v>
                </c:pt>
                <c:pt idx="61">
                  <c:v>-97.999403296955293</c:v>
                </c:pt>
              </c:numCache>
            </c:numRef>
          </c:val>
        </c:ser>
        <c:marker val="1"/>
        <c:axId val="119844224"/>
        <c:axId val="119850112"/>
      </c:lineChart>
      <c:catAx>
        <c:axId val="119844224"/>
        <c:scaling>
          <c:orientation val="minMax"/>
        </c:scaling>
        <c:axPos val="b"/>
        <c:numFmt formatCode="General" sourceLinked="0"/>
        <c:majorTickMark val="none"/>
        <c:tickLblPos val="low"/>
        <c:txPr>
          <a:bodyPr/>
          <a:lstStyle/>
          <a:p>
            <a:pPr>
              <a:defRPr lang="en-US" sz="600"/>
            </a:pPr>
            <a:endParaRPr lang="fr-FR"/>
          </a:p>
        </c:txPr>
        <c:crossAx val="119850112"/>
        <c:crosses val="autoZero"/>
        <c:auto val="1"/>
        <c:lblAlgn val="ctr"/>
        <c:lblOffset val="100"/>
      </c:catAx>
      <c:valAx>
        <c:axId val="119850112"/>
        <c:scaling>
          <c:orientation val="minMax"/>
        </c:scaling>
        <c:axPos val="l"/>
        <c:majorGridlines/>
        <c:numFmt formatCode="#,##0" sourceLinked="0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lang="en-US" sz="900"/>
            </a:pPr>
            <a:endParaRPr lang="fr-FR"/>
          </a:p>
        </c:txPr>
        <c:crossAx val="119844224"/>
        <c:crosses val="autoZero"/>
        <c:crossBetween val="between"/>
      </c:valAx>
    </c:plotArea>
    <c:legend>
      <c:legendPos val="b"/>
      <c:txPr>
        <a:bodyPr/>
        <a:lstStyle/>
        <a:p>
          <a:pPr>
            <a:defRPr lang="en-US"/>
          </a:pPr>
          <a:endParaRPr lang="fr-FR"/>
        </a:p>
      </c:txPr>
    </c:legend>
    <c:plotVisOnly val="1"/>
    <c:dispBlanksAs val="gap"/>
  </c:chart>
  <c:spPr>
    <a:ln w="3175"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851A3-233D-4378-A06E-2296CD46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1666</Words>
  <Characters>9169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10814</CharactersWithSpaces>
  <SharedDoc>false</SharedDoc>
  <HLinks>
    <vt:vector size="6" baseType="variant">
      <vt:variant>
        <vt:i4>7405692</vt:i4>
      </vt:variant>
      <vt:variant>
        <vt:i4>0</vt:i4>
      </vt:variant>
      <vt:variant>
        <vt:i4>0</vt:i4>
      </vt:variant>
      <vt:variant>
        <vt:i4>5</vt:i4>
      </vt:variant>
      <vt:variant>
        <vt:lpwstr>http://www.hcp.ma/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HCP</cp:lastModifiedBy>
  <cp:revision>4</cp:revision>
  <cp:lastPrinted>2023-07-10T13:09:00Z</cp:lastPrinted>
  <dcterms:created xsi:type="dcterms:W3CDTF">2023-07-11T11:47:00Z</dcterms:created>
  <dcterms:modified xsi:type="dcterms:W3CDTF">2023-07-16T19:08:00Z</dcterms:modified>
</cp:coreProperties>
</file>