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F2" w:rsidRPr="00D65810" w:rsidRDefault="002E3CF2" w:rsidP="003B356E">
      <w:pPr>
        <w:widowControl/>
        <w:spacing w:line="276" w:lineRule="auto"/>
        <w:rPr>
          <w:rFonts w:asciiTheme="majorBidi" w:hAnsiTheme="majorBidi" w:cstheme="majorBidi"/>
          <w:b/>
          <w:bCs/>
          <w:color w:val="000000" w:themeColor="text1"/>
          <w:rtl/>
        </w:rPr>
      </w:pPr>
    </w:p>
    <w:p w:rsidR="003B356E" w:rsidRPr="00D65810" w:rsidRDefault="003B356E" w:rsidP="003B356E">
      <w:pPr>
        <w:widowControl/>
        <w:spacing w:line="276" w:lineRule="auto"/>
        <w:rPr>
          <w:rFonts w:asciiTheme="majorBidi" w:hAnsiTheme="majorBidi" w:cstheme="majorBidi"/>
          <w:b/>
          <w:bCs/>
          <w:color w:val="000000" w:themeColor="text1"/>
        </w:rPr>
      </w:pPr>
    </w:p>
    <w:p w:rsidR="009E682C" w:rsidRPr="00D65810" w:rsidRDefault="009E682C" w:rsidP="003B356E">
      <w:pPr>
        <w:widowControl/>
        <w:spacing w:line="276" w:lineRule="auto"/>
        <w:jc w:val="center"/>
        <w:rPr>
          <w:rFonts w:asciiTheme="majorBidi" w:hAnsiTheme="majorBidi" w:cstheme="majorBidi"/>
          <w:b/>
          <w:bCs/>
          <w:color w:val="660033"/>
        </w:rPr>
      </w:pPr>
    </w:p>
    <w:p w:rsidR="00912704" w:rsidRPr="00D65810" w:rsidRDefault="00912704" w:rsidP="003B356E">
      <w:pPr>
        <w:widowControl/>
        <w:spacing w:line="276" w:lineRule="auto"/>
        <w:jc w:val="center"/>
        <w:rPr>
          <w:rFonts w:asciiTheme="majorBidi" w:hAnsiTheme="majorBidi" w:cstheme="majorBidi"/>
          <w:b/>
          <w:bCs/>
          <w:color w:val="660033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color w:val="660033"/>
          <w:sz w:val="26"/>
          <w:szCs w:val="26"/>
        </w:rPr>
        <w:t>Note d’information</w:t>
      </w:r>
      <w:r w:rsidR="0069792B" w:rsidRPr="00D65810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 du Haut-commissariat au Plan</w:t>
      </w:r>
    </w:p>
    <w:p w:rsidR="00912704" w:rsidRPr="00D65810" w:rsidRDefault="00097300" w:rsidP="003B356E">
      <w:pPr>
        <w:widowControl/>
        <w:spacing w:line="276" w:lineRule="auto"/>
        <w:jc w:val="center"/>
        <w:rPr>
          <w:rFonts w:asciiTheme="majorBidi" w:hAnsiTheme="majorBidi" w:cstheme="majorBidi"/>
          <w:b/>
          <w:bCs/>
          <w:color w:val="660033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color w:val="660033"/>
          <w:sz w:val="26"/>
          <w:szCs w:val="26"/>
        </w:rPr>
        <w:t>R</w:t>
      </w:r>
      <w:r w:rsidR="00912704" w:rsidRPr="00D65810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ésultats de l’enquête de conjoncture auprès des ménages </w:t>
      </w:r>
    </w:p>
    <w:p w:rsidR="00912704" w:rsidRPr="00D65810" w:rsidRDefault="006860E0" w:rsidP="003B356E">
      <w:pPr>
        <w:widowControl/>
        <w:spacing w:line="276" w:lineRule="auto"/>
        <w:jc w:val="center"/>
        <w:rPr>
          <w:rFonts w:asciiTheme="majorBidi" w:hAnsiTheme="majorBidi" w:cstheme="majorBidi"/>
          <w:b/>
          <w:bCs/>
          <w:color w:val="660033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color w:val="660033"/>
          <w:sz w:val="26"/>
          <w:szCs w:val="26"/>
        </w:rPr>
        <w:t>Troisième trimestre</w:t>
      </w:r>
      <w:r w:rsidR="00E22192" w:rsidRPr="00D65810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 de</w:t>
      </w:r>
      <w:r w:rsidR="00546559" w:rsidRPr="00D65810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 l’année</w:t>
      </w:r>
      <w:r w:rsidR="005B321C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 </w:t>
      </w:r>
      <w:r w:rsidR="004C1BAB" w:rsidRPr="00D65810">
        <w:rPr>
          <w:rFonts w:asciiTheme="majorBidi" w:hAnsiTheme="majorBidi" w:cstheme="majorBidi"/>
          <w:b/>
          <w:bCs/>
          <w:color w:val="660033"/>
          <w:sz w:val="26"/>
          <w:szCs w:val="26"/>
        </w:rPr>
        <w:t>2023</w:t>
      </w:r>
    </w:p>
    <w:p w:rsidR="00570C0E" w:rsidRPr="00D65810" w:rsidRDefault="00202105" w:rsidP="003B356E">
      <w:pPr>
        <w:widowControl/>
        <w:spacing w:line="276" w:lineRule="auto"/>
        <w:jc w:val="both"/>
        <w:rPr>
          <w:rFonts w:asciiTheme="majorBidi" w:hAnsiTheme="majorBidi" w:cstheme="majorBidi"/>
          <w:b/>
          <w:color w:val="000000" w:themeColor="text1"/>
          <w:rtl/>
        </w:rPr>
      </w:pPr>
      <w:r>
        <w:rPr>
          <w:rFonts w:asciiTheme="majorBidi" w:hAnsiTheme="majorBidi" w:cstheme="majorBidi"/>
          <w:b/>
          <w:color w:val="000000" w:themeColor="text1"/>
        </w:rPr>
        <w:t xml:space="preserve">   </w:t>
      </w:r>
    </w:p>
    <w:p w:rsidR="003B356E" w:rsidRPr="00D65810" w:rsidRDefault="003B356E" w:rsidP="003B356E">
      <w:pPr>
        <w:widowControl/>
        <w:spacing w:line="276" w:lineRule="auto"/>
        <w:jc w:val="both"/>
        <w:rPr>
          <w:rFonts w:asciiTheme="majorBidi" w:hAnsiTheme="majorBidi" w:cstheme="majorBidi"/>
          <w:b/>
          <w:color w:val="000000" w:themeColor="text1"/>
          <w:rtl/>
        </w:rPr>
      </w:pPr>
    </w:p>
    <w:p w:rsidR="001930B7" w:rsidRPr="00D65810" w:rsidRDefault="005E2815" w:rsidP="0053493A">
      <w:pPr>
        <w:widowControl/>
        <w:spacing w:line="276" w:lineRule="auto"/>
        <w:jc w:val="both"/>
        <w:rPr>
          <w:rFonts w:asciiTheme="majorBidi" w:hAnsiTheme="majorBidi" w:cstheme="majorBidi"/>
          <w:b/>
          <w:color w:val="000000" w:themeColor="text1"/>
        </w:rPr>
      </w:pPr>
      <w:r w:rsidRPr="00D65810">
        <w:rPr>
          <w:rFonts w:asciiTheme="majorBidi" w:hAnsiTheme="majorBidi" w:cstheme="majorBidi"/>
          <w:b/>
          <w:color w:val="000000" w:themeColor="text1"/>
        </w:rPr>
        <w:t xml:space="preserve">Les </w:t>
      </w:r>
      <w:r w:rsidR="00A45128" w:rsidRPr="00D65810">
        <w:rPr>
          <w:rFonts w:asciiTheme="majorBidi" w:hAnsiTheme="majorBidi" w:cstheme="majorBidi"/>
          <w:b/>
          <w:color w:val="000000" w:themeColor="text1"/>
        </w:rPr>
        <w:t xml:space="preserve">résultats de l’enquête permanente de conjoncture auprès des ménages, menée par le HCP, </w:t>
      </w:r>
      <w:r w:rsidRPr="00D65810">
        <w:rPr>
          <w:rFonts w:asciiTheme="majorBidi" w:hAnsiTheme="majorBidi" w:cstheme="majorBidi"/>
          <w:b/>
          <w:color w:val="000000" w:themeColor="text1"/>
        </w:rPr>
        <w:t>montrent</w:t>
      </w:r>
      <w:r w:rsidR="002A5928" w:rsidRPr="00D65810">
        <w:rPr>
          <w:rFonts w:asciiTheme="majorBidi" w:hAnsiTheme="majorBidi" w:cstheme="majorBidi"/>
          <w:b/>
          <w:color w:val="000000" w:themeColor="text1"/>
        </w:rPr>
        <w:t xml:space="preserve"> qu’au </w:t>
      </w:r>
      <w:r w:rsidR="006860E0" w:rsidRPr="00D65810">
        <w:rPr>
          <w:rFonts w:asciiTheme="majorBidi" w:hAnsiTheme="majorBidi" w:cstheme="majorBidi"/>
          <w:b/>
          <w:color w:val="000000" w:themeColor="text1"/>
        </w:rPr>
        <w:t xml:space="preserve">troisième </w:t>
      </w:r>
      <w:r w:rsidR="002A5928" w:rsidRPr="00D65810">
        <w:rPr>
          <w:rFonts w:asciiTheme="majorBidi" w:hAnsiTheme="majorBidi" w:cstheme="majorBidi"/>
          <w:b/>
          <w:color w:val="000000" w:themeColor="text1"/>
        </w:rPr>
        <w:t xml:space="preserve">de </w:t>
      </w:r>
      <w:r w:rsidR="004C1BAB" w:rsidRPr="00D65810">
        <w:rPr>
          <w:rFonts w:asciiTheme="majorBidi" w:hAnsiTheme="majorBidi" w:cstheme="majorBidi"/>
          <w:b/>
          <w:color w:val="000000" w:themeColor="text1"/>
        </w:rPr>
        <w:t>2023</w:t>
      </w:r>
      <w:r w:rsidR="00761D08" w:rsidRPr="00D65810">
        <w:rPr>
          <w:rFonts w:asciiTheme="majorBidi" w:hAnsiTheme="majorBidi" w:cstheme="majorBidi"/>
          <w:b/>
          <w:color w:val="000000" w:themeColor="text1"/>
        </w:rPr>
        <w:t>,</w:t>
      </w:r>
      <w:r w:rsidR="0053493A">
        <w:rPr>
          <w:rFonts w:asciiTheme="majorBidi" w:hAnsiTheme="majorBidi" w:cstheme="majorBidi"/>
          <w:b/>
          <w:color w:val="000000" w:themeColor="text1"/>
        </w:rPr>
        <w:t xml:space="preserve"> </w:t>
      </w:r>
      <w:r w:rsidR="007818DB" w:rsidRPr="00D65810">
        <w:rPr>
          <w:rFonts w:asciiTheme="majorBidi" w:hAnsiTheme="majorBidi" w:cstheme="majorBidi"/>
          <w:b/>
          <w:color w:val="000000" w:themeColor="text1"/>
        </w:rPr>
        <w:t xml:space="preserve">le moral des ménages enregistre une amélioration par rapport au trimestre précédent </w:t>
      </w:r>
      <w:r w:rsidR="00ED4C66">
        <w:rPr>
          <w:rFonts w:asciiTheme="majorBidi" w:hAnsiTheme="majorBidi" w:cstheme="majorBidi"/>
          <w:b/>
          <w:color w:val="000000" w:themeColor="text1"/>
        </w:rPr>
        <w:t>mais reste au-dessous du niveau enregistré au</w:t>
      </w:r>
      <w:r w:rsidR="007818DB" w:rsidRPr="00D65810">
        <w:rPr>
          <w:rFonts w:asciiTheme="majorBidi" w:hAnsiTheme="majorBidi" w:cstheme="majorBidi"/>
          <w:b/>
          <w:color w:val="000000" w:themeColor="text1"/>
        </w:rPr>
        <w:t xml:space="preserve"> même trimestre de l’année précédente. </w:t>
      </w:r>
    </w:p>
    <w:p w:rsidR="007818DB" w:rsidRPr="00D65810" w:rsidRDefault="007818DB" w:rsidP="003B356E">
      <w:pPr>
        <w:widowControl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</w:p>
    <w:p w:rsidR="000838BF" w:rsidRPr="00D65810" w:rsidRDefault="00580123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>L'indice</w:t>
      </w:r>
      <w:r w:rsidR="0044099F" w:rsidRPr="00D65810">
        <w:rPr>
          <w:rFonts w:asciiTheme="majorBidi" w:hAnsiTheme="majorBidi" w:cstheme="majorBidi"/>
          <w:color w:val="000000" w:themeColor="text1"/>
        </w:rPr>
        <w:t xml:space="preserve"> de confiance des ménages (ICM) s’établit à </w:t>
      </w:r>
      <w:r w:rsidR="004C1BAB" w:rsidRPr="00D65810">
        <w:rPr>
          <w:rFonts w:asciiTheme="majorBidi" w:hAnsiTheme="majorBidi" w:cstheme="majorBidi"/>
          <w:color w:val="000000" w:themeColor="text1"/>
        </w:rPr>
        <w:t>4</w:t>
      </w:r>
      <w:r w:rsidR="007818DB" w:rsidRPr="00D65810">
        <w:rPr>
          <w:rFonts w:asciiTheme="majorBidi" w:hAnsiTheme="majorBidi" w:cstheme="majorBidi"/>
          <w:color w:val="000000" w:themeColor="text1"/>
        </w:rPr>
        <w:t>6</w:t>
      </w:r>
      <w:r w:rsidR="004C1BAB" w:rsidRPr="00D65810">
        <w:rPr>
          <w:rFonts w:asciiTheme="majorBidi" w:hAnsiTheme="majorBidi" w:cstheme="majorBidi"/>
          <w:color w:val="000000" w:themeColor="text1"/>
        </w:rPr>
        <w:t>,</w:t>
      </w:r>
      <w:r w:rsidR="007818DB" w:rsidRPr="00D65810">
        <w:rPr>
          <w:rFonts w:asciiTheme="majorBidi" w:hAnsiTheme="majorBidi" w:cstheme="majorBidi"/>
          <w:color w:val="000000" w:themeColor="text1"/>
        </w:rPr>
        <w:t>5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F04852" w:rsidRPr="00D65810">
        <w:rPr>
          <w:rFonts w:asciiTheme="majorBidi" w:hAnsiTheme="majorBidi" w:cstheme="majorBidi"/>
          <w:color w:val="000000" w:themeColor="text1"/>
        </w:rPr>
        <w:t>points</w:t>
      </w:r>
      <w:r w:rsidR="00CD17D5" w:rsidRPr="00D65810">
        <w:rPr>
          <w:rFonts w:asciiTheme="majorBidi" w:hAnsiTheme="majorBidi" w:cstheme="majorBidi"/>
          <w:color w:val="000000" w:themeColor="text1"/>
        </w:rPr>
        <w:t xml:space="preserve"> au lieu de </w:t>
      </w:r>
      <w:r w:rsidR="007818DB" w:rsidRPr="00D65810">
        <w:rPr>
          <w:rFonts w:asciiTheme="majorBidi" w:hAnsiTheme="majorBidi" w:cstheme="majorBidi"/>
          <w:color w:val="000000" w:themeColor="text1"/>
        </w:rPr>
        <w:t xml:space="preserve">45,4 </w:t>
      </w:r>
      <w:r w:rsidRPr="00D65810">
        <w:rPr>
          <w:rFonts w:asciiTheme="majorBidi" w:hAnsiTheme="majorBidi" w:cstheme="majorBidi"/>
          <w:color w:val="000000" w:themeColor="text1"/>
        </w:rPr>
        <w:t xml:space="preserve">points enregistrés le trimestre </w:t>
      </w:r>
      <w:r w:rsidR="000838BF" w:rsidRPr="00D65810">
        <w:rPr>
          <w:rFonts w:asciiTheme="majorBidi" w:hAnsiTheme="majorBidi" w:cstheme="majorBidi"/>
          <w:color w:val="000000" w:themeColor="text1"/>
        </w:rPr>
        <w:t>précéd</w:t>
      </w:r>
      <w:r w:rsidR="00BC42E9" w:rsidRPr="00D65810">
        <w:rPr>
          <w:rFonts w:asciiTheme="majorBidi" w:hAnsiTheme="majorBidi" w:cstheme="majorBidi"/>
          <w:color w:val="000000" w:themeColor="text1"/>
        </w:rPr>
        <w:t>e</w:t>
      </w:r>
      <w:r w:rsidR="000838BF" w:rsidRPr="00D65810">
        <w:rPr>
          <w:rFonts w:asciiTheme="majorBidi" w:hAnsiTheme="majorBidi" w:cstheme="majorBidi"/>
          <w:color w:val="000000" w:themeColor="text1"/>
        </w:rPr>
        <w:t>nt</w:t>
      </w:r>
      <w:r w:rsidRPr="00D65810">
        <w:rPr>
          <w:rFonts w:asciiTheme="majorBidi" w:hAnsiTheme="majorBidi" w:cstheme="majorBidi"/>
          <w:color w:val="000000" w:themeColor="text1"/>
        </w:rPr>
        <w:t xml:space="preserve"> et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7818DB" w:rsidRPr="00D65810">
        <w:rPr>
          <w:rFonts w:asciiTheme="majorBidi" w:hAnsiTheme="majorBidi" w:cstheme="majorBidi"/>
          <w:color w:val="000000" w:themeColor="text1"/>
        </w:rPr>
        <w:t>47</w:t>
      </w:r>
      <w:r w:rsidR="004C1BAB" w:rsidRPr="00D65810">
        <w:rPr>
          <w:rFonts w:asciiTheme="majorBidi" w:hAnsiTheme="majorBidi" w:cstheme="majorBidi"/>
          <w:color w:val="000000" w:themeColor="text1"/>
        </w:rPr>
        <w:t>,</w:t>
      </w:r>
      <w:r w:rsidR="007818DB" w:rsidRPr="00D65810">
        <w:rPr>
          <w:rFonts w:asciiTheme="majorBidi" w:hAnsiTheme="majorBidi" w:cstheme="majorBidi"/>
          <w:color w:val="000000" w:themeColor="text1"/>
        </w:rPr>
        <w:t>4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color w:val="000000" w:themeColor="text1"/>
        </w:rPr>
        <w:t xml:space="preserve">points </w:t>
      </w:r>
      <w:r w:rsidR="00FA0B9D" w:rsidRPr="00D65810">
        <w:rPr>
          <w:rFonts w:asciiTheme="majorBidi" w:hAnsiTheme="majorBidi" w:cstheme="majorBidi"/>
          <w:color w:val="000000" w:themeColor="text1"/>
        </w:rPr>
        <w:t>le même trimestre de l’année précédente</w:t>
      </w:r>
      <w:r w:rsidRPr="00D65810">
        <w:rPr>
          <w:rFonts w:asciiTheme="majorBidi" w:hAnsiTheme="majorBidi" w:cstheme="majorBidi"/>
          <w:color w:val="000000" w:themeColor="text1"/>
        </w:rPr>
        <w:t>.</w:t>
      </w:r>
    </w:p>
    <w:p w:rsidR="004C1BAB" w:rsidRPr="00D65810" w:rsidRDefault="004C1BAB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4C1BAB" w:rsidRPr="00D65810" w:rsidRDefault="002830E2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</w:rPr>
        <w:t xml:space="preserve">Graphique 1 : Evolution de l'indice de confiance des ménages </w:t>
      </w:r>
    </w:p>
    <w:p w:rsidR="003F2957" w:rsidRPr="00D65810" w:rsidRDefault="006860E0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972810" cy="3613150"/>
            <wp:effectExtent l="19050" t="0" r="27940" b="63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54591" w:rsidRPr="00D65810" w:rsidRDefault="00354591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570C0E" w:rsidRPr="00D65810" w:rsidRDefault="00570C0E" w:rsidP="003B356E">
      <w:pPr>
        <w:spacing w:line="276" w:lineRule="auto"/>
        <w:jc w:val="center"/>
        <w:rPr>
          <w:rFonts w:asciiTheme="majorBidi" w:hAnsiTheme="majorBidi" w:cstheme="majorBidi"/>
          <w:color w:val="000000" w:themeColor="text1"/>
        </w:rPr>
      </w:pPr>
    </w:p>
    <w:p w:rsidR="008D3806" w:rsidRPr="00D65810" w:rsidRDefault="006F1D72" w:rsidP="003B356E">
      <w:pPr>
        <w:pStyle w:val="Paragraphedeliste"/>
        <w:numPr>
          <w:ilvl w:val="0"/>
          <w:numId w:val="9"/>
        </w:numPr>
        <w:ind w:left="284" w:hanging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bookmarkStart w:id="0" w:name="_Ref379209308"/>
      <w:r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Evolution des </w:t>
      </w:r>
      <w:r w:rsidR="00860E86"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composantes de</w:t>
      </w:r>
      <w:r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l'ICM</w:t>
      </w:r>
      <w:bookmarkEnd w:id="0"/>
    </w:p>
    <w:p w:rsidR="00C07FB5" w:rsidRPr="00D65810" w:rsidRDefault="00722F6F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>L</w:t>
      </w:r>
      <w:r w:rsidR="00560ED1" w:rsidRPr="00D65810">
        <w:rPr>
          <w:rFonts w:asciiTheme="majorBidi" w:hAnsiTheme="majorBidi" w:cstheme="majorBidi"/>
          <w:color w:val="000000" w:themeColor="text1"/>
        </w:rPr>
        <w:t xml:space="preserve">es composantes </w:t>
      </w:r>
      <w:r w:rsidRPr="00D65810">
        <w:rPr>
          <w:rFonts w:asciiTheme="majorBidi" w:hAnsiTheme="majorBidi" w:cstheme="majorBidi"/>
          <w:color w:val="000000" w:themeColor="text1"/>
        </w:rPr>
        <w:t xml:space="preserve">de l’ICM </w:t>
      </w:r>
      <w:r w:rsidR="00560ED1" w:rsidRPr="00D65810">
        <w:rPr>
          <w:rFonts w:asciiTheme="majorBidi" w:hAnsiTheme="majorBidi" w:cstheme="majorBidi"/>
          <w:color w:val="000000" w:themeColor="text1"/>
        </w:rPr>
        <w:t>portent sur la perception par les ménages de l’évolution du niveau de vie</w:t>
      </w:r>
      <w:r w:rsidR="005C2EDD" w:rsidRPr="00D65810">
        <w:rPr>
          <w:rFonts w:asciiTheme="majorBidi" w:hAnsiTheme="majorBidi" w:cstheme="majorBidi"/>
          <w:color w:val="000000" w:themeColor="text1"/>
        </w:rPr>
        <w:t>,</w:t>
      </w:r>
      <w:r w:rsidR="00560ED1" w:rsidRPr="00D65810">
        <w:rPr>
          <w:rFonts w:asciiTheme="majorBidi" w:hAnsiTheme="majorBidi" w:cstheme="majorBidi"/>
          <w:color w:val="000000" w:themeColor="text1"/>
        </w:rPr>
        <w:t xml:space="preserve"> du chômage, de </w:t>
      </w:r>
      <w:r w:rsidR="008F33D5" w:rsidRPr="00D65810">
        <w:rPr>
          <w:rFonts w:asciiTheme="majorBidi" w:hAnsiTheme="majorBidi" w:cstheme="majorBidi"/>
          <w:color w:val="000000" w:themeColor="text1"/>
        </w:rPr>
        <w:t>l’opportunité</w:t>
      </w:r>
      <w:r w:rsidR="00560ED1" w:rsidRPr="00D65810">
        <w:rPr>
          <w:rFonts w:asciiTheme="majorBidi" w:hAnsiTheme="majorBidi" w:cstheme="majorBidi"/>
          <w:color w:val="000000" w:themeColor="text1"/>
        </w:rPr>
        <w:t xml:space="preserve"> à </w:t>
      </w:r>
      <w:r w:rsidR="008F33D5" w:rsidRPr="00D65810">
        <w:rPr>
          <w:rFonts w:asciiTheme="majorBidi" w:hAnsiTheme="majorBidi" w:cstheme="majorBidi"/>
          <w:color w:val="000000" w:themeColor="text1"/>
        </w:rPr>
        <w:t>effectuer des achats de</w:t>
      </w:r>
      <w:r w:rsidR="00560ED1" w:rsidRPr="00D65810">
        <w:rPr>
          <w:rFonts w:asciiTheme="majorBidi" w:hAnsiTheme="majorBidi" w:cstheme="majorBidi"/>
          <w:color w:val="000000" w:themeColor="text1"/>
        </w:rPr>
        <w:t xml:space="preserve"> biens</w:t>
      </w:r>
      <w:r w:rsidR="00C07FB5" w:rsidRPr="00D65810">
        <w:rPr>
          <w:rFonts w:asciiTheme="majorBidi" w:hAnsiTheme="majorBidi" w:cstheme="majorBidi"/>
          <w:color w:val="000000" w:themeColor="text1"/>
        </w:rPr>
        <w:t xml:space="preserve"> durables et de </w:t>
      </w:r>
      <w:r w:rsidR="00560ED1" w:rsidRPr="00D65810">
        <w:rPr>
          <w:rFonts w:asciiTheme="majorBidi" w:hAnsiTheme="majorBidi" w:cstheme="majorBidi"/>
          <w:color w:val="000000" w:themeColor="text1"/>
        </w:rPr>
        <w:t>leur situation financière.</w:t>
      </w:r>
    </w:p>
    <w:p w:rsidR="00B6552D" w:rsidRPr="00D65810" w:rsidRDefault="00B6552D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3B356E" w:rsidRPr="00D65810" w:rsidRDefault="003B356E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3B356E" w:rsidRPr="00D65810" w:rsidRDefault="003B356E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3B356E" w:rsidRPr="00D65810" w:rsidRDefault="003B356E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DA7314" w:rsidRPr="00D65810" w:rsidRDefault="00DA7314" w:rsidP="003B356E">
      <w:pPr>
        <w:pStyle w:val="Paragraphedeliste"/>
        <w:numPr>
          <w:ilvl w:val="0"/>
          <w:numId w:val="8"/>
        </w:numPr>
        <w:spacing w:before="240"/>
        <w:ind w:left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 xml:space="preserve">Attente d’une amélioration du niveau de vie selon les perceptions des ménages </w:t>
      </w:r>
    </w:p>
    <w:p w:rsidR="001161F3" w:rsidRPr="00D65810" w:rsidRDefault="00580123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 xml:space="preserve">Au </w:t>
      </w:r>
      <w:r w:rsidR="006860E0" w:rsidRPr="00D65810">
        <w:rPr>
          <w:rFonts w:asciiTheme="majorBidi" w:hAnsiTheme="majorBidi" w:cstheme="majorBidi"/>
          <w:color w:val="000000" w:themeColor="text1"/>
        </w:rPr>
        <w:t>troisième trimestre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707360" w:rsidRPr="00D65810">
        <w:rPr>
          <w:rFonts w:asciiTheme="majorBidi" w:hAnsiTheme="majorBidi" w:cstheme="majorBidi"/>
          <w:color w:val="000000" w:themeColor="text1"/>
        </w:rPr>
        <w:t>de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4C1BAB" w:rsidRPr="00D65810">
        <w:rPr>
          <w:rFonts w:asciiTheme="majorBidi" w:hAnsiTheme="majorBidi" w:cstheme="majorBidi"/>
          <w:color w:val="000000" w:themeColor="text1"/>
        </w:rPr>
        <w:t>2023</w:t>
      </w:r>
      <w:r w:rsidRPr="00D65810">
        <w:rPr>
          <w:rFonts w:asciiTheme="majorBidi" w:hAnsiTheme="majorBidi" w:cstheme="majorBidi"/>
          <w:color w:val="000000" w:themeColor="text1"/>
        </w:rPr>
        <w:t xml:space="preserve">, </w:t>
      </w:r>
      <w:r w:rsidR="00CC4120" w:rsidRPr="00D65810">
        <w:rPr>
          <w:rFonts w:asciiTheme="majorBidi" w:hAnsiTheme="majorBidi" w:cstheme="majorBidi"/>
          <w:color w:val="000000" w:themeColor="text1"/>
        </w:rPr>
        <w:t>8</w:t>
      </w:r>
      <w:r w:rsidR="007818DB" w:rsidRPr="00D65810">
        <w:rPr>
          <w:rFonts w:asciiTheme="majorBidi" w:hAnsiTheme="majorBidi" w:cstheme="majorBidi"/>
          <w:color w:val="000000" w:themeColor="text1"/>
        </w:rPr>
        <w:t>6</w:t>
      </w:r>
      <w:r w:rsidR="00CC4120" w:rsidRPr="00D65810">
        <w:rPr>
          <w:rFonts w:asciiTheme="majorBidi" w:hAnsiTheme="majorBidi" w:cstheme="majorBidi"/>
          <w:color w:val="000000" w:themeColor="text1"/>
        </w:rPr>
        <w:t>,</w:t>
      </w:r>
      <w:r w:rsidR="007818DB" w:rsidRPr="00D65810">
        <w:rPr>
          <w:rFonts w:asciiTheme="majorBidi" w:hAnsiTheme="majorBidi" w:cstheme="majorBidi"/>
          <w:color w:val="000000" w:themeColor="text1"/>
        </w:rPr>
        <w:t>1</w:t>
      </w:r>
      <w:r w:rsidR="00CC4120" w:rsidRPr="00D65810">
        <w:rPr>
          <w:rFonts w:asciiTheme="majorBidi" w:hAnsiTheme="majorBidi" w:cstheme="majorBidi"/>
          <w:color w:val="000000" w:themeColor="text1"/>
        </w:rPr>
        <w:t>%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color w:val="000000" w:themeColor="text1"/>
        </w:rPr>
        <w:t xml:space="preserve">des ménages déclarent une dégradation du niveau de vie au cours des 12 derniers mois, </w:t>
      </w:r>
      <w:r w:rsidR="007818DB" w:rsidRPr="00D65810">
        <w:rPr>
          <w:rFonts w:asciiTheme="majorBidi" w:hAnsiTheme="majorBidi" w:cstheme="majorBidi"/>
          <w:color w:val="000000" w:themeColor="text1"/>
        </w:rPr>
        <w:t>9</w:t>
      </w:r>
      <w:r w:rsidR="00CC4120" w:rsidRPr="00D65810">
        <w:rPr>
          <w:rFonts w:asciiTheme="majorBidi" w:hAnsiTheme="majorBidi" w:cstheme="majorBidi"/>
          <w:color w:val="000000" w:themeColor="text1"/>
        </w:rPr>
        <w:t>,</w:t>
      </w:r>
      <w:r w:rsidR="007818DB" w:rsidRPr="00D65810">
        <w:rPr>
          <w:rFonts w:asciiTheme="majorBidi" w:hAnsiTheme="majorBidi" w:cstheme="majorBidi"/>
          <w:color w:val="000000" w:themeColor="text1"/>
        </w:rPr>
        <w:t>3</w:t>
      </w:r>
      <w:r w:rsidR="00E067D0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Pr="00D65810">
        <w:rPr>
          <w:rFonts w:asciiTheme="majorBidi" w:hAnsiTheme="majorBidi" w:cstheme="majorBidi"/>
          <w:color w:val="000000" w:themeColor="text1"/>
        </w:rPr>
        <w:t xml:space="preserve">un maintien au même niveau et </w:t>
      </w:r>
      <w:r w:rsidR="007818DB" w:rsidRPr="00D65810">
        <w:rPr>
          <w:rFonts w:asciiTheme="majorBidi" w:hAnsiTheme="majorBidi" w:cstheme="majorBidi"/>
          <w:color w:val="000000" w:themeColor="text1"/>
        </w:rPr>
        <w:t>4</w:t>
      </w:r>
      <w:r w:rsidR="00CC4120" w:rsidRPr="00D65810">
        <w:rPr>
          <w:rFonts w:asciiTheme="majorBidi" w:hAnsiTheme="majorBidi" w:cstheme="majorBidi"/>
          <w:color w:val="000000" w:themeColor="text1"/>
        </w:rPr>
        <w:t>,</w:t>
      </w:r>
      <w:r w:rsidR="007818DB" w:rsidRPr="00D65810">
        <w:rPr>
          <w:rFonts w:asciiTheme="majorBidi" w:hAnsiTheme="majorBidi" w:cstheme="majorBidi"/>
          <w:color w:val="000000" w:themeColor="text1"/>
        </w:rPr>
        <w:t>6</w:t>
      </w:r>
      <w:r w:rsidR="00E067D0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Pr="00D65810">
        <w:rPr>
          <w:rFonts w:asciiTheme="majorBidi" w:hAnsiTheme="majorBidi" w:cstheme="majorBidi"/>
          <w:color w:val="000000" w:themeColor="text1"/>
        </w:rPr>
        <w:t xml:space="preserve">une amélioration. Le solde d’opinion sur l’évolution passée du niveau de vie </w:t>
      </w:r>
      <w:r w:rsidR="00E1264D" w:rsidRPr="00D65810">
        <w:rPr>
          <w:rFonts w:asciiTheme="majorBidi" w:hAnsiTheme="majorBidi" w:cstheme="majorBidi"/>
          <w:color w:val="000000" w:themeColor="text1"/>
        </w:rPr>
        <w:t xml:space="preserve">s’établit à moins </w:t>
      </w:r>
      <w:r w:rsidR="004F6318" w:rsidRPr="00D65810">
        <w:rPr>
          <w:rFonts w:asciiTheme="majorBidi" w:hAnsiTheme="majorBidi" w:cstheme="majorBidi"/>
          <w:color w:val="000000" w:themeColor="text1"/>
        </w:rPr>
        <w:t>8</w:t>
      </w:r>
      <w:r w:rsidR="007818DB" w:rsidRPr="00D65810">
        <w:rPr>
          <w:rFonts w:asciiTheme="majorBidi" w:hAnsiTheme="majorBidi" w:cstheme="majorBidi"/>
          <w:color w:val="000000" w:themeColor="text1"/>
        </w:rPr>
        <w:t>1</w:t>
      </w:r>
      <w:r w:rsidR="004F6318" w:rsidRPr="00D65810">
        <w:rPr>
          <w:rFonts w:asciiTheme="majorBidi" w:hAnsiTheme="majorBidi" w:cstheme="majorBidi"/>
          <w:color w:val="000000" w:themeColor="text1"/>
        </w:rPr>
        <w:t>,</w:t>
      </w:r>
      <w:r w:rsidR="007818DB" w:rsidRPr="00D65810">
        <w:rPr>
          <w:rFonts w:asciiTheme="majorBidi" w:hAnsiTheme="majorBidi" w:cstheme="majorBidi"/>
          <w:color w:val="000000" w:themeColor="text1"/>
        </w:rPr>
        <w:t>5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color w:val="000000" w:themeColor="text1"/>
        </w:rPr>
        <w:t>points</w:t>
      </w:r>
      <w:r w:rsidR="00CD5F53" w:rsidRPr="00D65810">
        <w:rPr>
          <w:rFonts w:asciiTheme="majorBidi" w:hAnsiTheme="majorBidi" w:cstheme="majorBidi"/>
          <w:color w:val="000000" w:themeColor="text1"/>
        </w:rPr>
        <w:t xml:space="preserve"> contre moins </w:t>
      </w:r>
      <w:r w:rsidR="007818DB" w:rsidRPr="00D65810">
        <w:rPr>
          <w:rFonts w:asciiTheme="majorBidi" w:hAnsiTheme="majorBidi" w:cstheme="majorBidi"/>
          <w:color w:val="000000" w:themeColor="text1"/>
        </w:rPr>
        <w:t xml:space="preserve">84,6 </w:t>
      </w:r>
      <w:r w:rsidR="00CD5F53" w:rsidRPr="00D65810">
        <w:rPr>
          <w:rFonts w:asciiTheme="majorBidi" w:hAnsiTheme="majorBidi" w:cstheme="majorBidi"/>
          <w:color w:val="000000" w:themeColor="text1"/>
        </w:rPr>
        <w:t xml:space="preserve">points au trimestre </w:t>
      </w:r>
      <w:r w:rsidR="00E061AE" w:rsidRPr="00D65810">
        <w:rPr>
          <w:rFonts w:asciiTheme="majorBidi" w:hAnsiTheme="majorBidi" w:cstheme="majorBidi"/>
          <w:color w:val="000000" w:themeColor="text1"/>
        </w:rPr>
        <w:t>précédent</w:t>
      </w:r>
      <w:r w:rsidR="00CD5F53" w:rsidRPr="00D65810">
        <w:rPr>
          <w:rFonts w:asciiTheme="majorBidi" w:hAnsiTheme="majorBidi" w:cstheme="majorBidi"/>
          <w:color w:val="000000" w:themeColor="text1"/>
        </w:rPr>
        <w:t xml:space="preserve"> et moins </w:t>
      </w:r>
      <w:r w:rsidR="004F6318" w:rsidRPr="00D65810">
        <w:rPr>
          <w:rFonts w:asciiTheme="majorBidi" w:hAnsiTheme="majorBidi" w:cstheme="majorBidi"/>
          <w:color w:val="000000" w:themeColor="text1"/>
        </w:rPr>
        <w:t>7</w:t>
      </w:r>
      <w:r w:rsidR="007818DB" w:rsidRPr="00D65810">
        <w:rPr>
          <w:rFonts w:asciiTheme="majorBidi" w:hAnsiTheme="majorBidi" w:cstheme="majorBidi"/>
          <w:color w:val="000000" w:themeColor="text1"/>
        </w:rPr>
        <w:t>4,6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CD5F53" w:rsidRPr="00D65810">
        <w:rPr>
          <w:rFonts w:asciiTheme="majorBidi" w:hAnsiTheme="majorBidi" w:cstheme="majorBidi"/>
          <w:color w:val="000000" w:themeColor="text1"/>
        </w:rPr>
        <w:t>points au même trimestre de l’année passée</w:t>
      </w:r>
      <w:r w:rsidRPr="00D65810">
        <w:rPr>
          <w:rFonts w:asciiTheme="majorBidi" w:hAnsiTheme="majorBidi" w:cstheme="majorBidi"/>
          <w:color w:val="000000" w:themeColor="text1"/>
        </w:rPr>
        <w:t>.</w:t>
      </w:r>
    </w:p>
    <w:p w:rsidR="00203316" w:rsidRPr="00D65810" w:rsidRDefault="00203316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164979" w:rsidRPr="00D65810" w:rsidRDefault="00EB605E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>S’agissant de l’évolution du niveau de vie a</w:t>
      </w:r>
      <w:r w:rsidR="00580123" w:rsidRPr="00D65810">
        <w:rPr>
          <w:rFonts w:asciiTheme="majorBidi" w:hAnsiTheme="majorBidi" w:cstheme="majorBidi"/>
          <w:color w:val="000000" w:themeColor="text1"/>
        </w:rPr>
        <w:t xml:space="preserve">u cours des 12 prochains mois, </w:t>
      </w:r>
      <w:r w:rsidR="007818DB" w:rsidRPr="00D65810">
        <w:rPr>
          <w:rFonts w:asciiTheme="majorBidi" w:hAnsiTheme="majorBidi" w:cstheme="majorBidi"/>
          <w:color w:val="000000" w:themeColor="text1"/>
        </w:rPr>
        <w:t>52</w:t>
      </w:r>
      <w:r w:rsidR="00CC4120" w:rsidRPr="00D65810">
        <w:rPr>
          <w:rFonts w:asciiTheme="majorBidi" w:hAnsiTheme="majorBidi" w:cstheme="majorBidi"/>
          <w:color w:val="000000" w:themeColor="text1"/>
        </w:rPr>
        <w:t>,</w:t>
      </w:r>
      <w:r w:rsidR="007818DB" w:rsidRPr="00D65810">
        <w:rPr>
          <w:rFonts w:asciiTheme="majorBidi" w:hAnsiTheme="majorBidi" w:cstheme="majorBidi"/>
          <w:color w:val="000000" w:themeColor="text1"/>
        </w:rPr>
        <w:t>5</w:t>
      </w:r>
      <w:r w:rsidR="00E067D0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="00580123" w:rsidRPr="00D65810">
        <w:rPr>
          <w:rFonts w:asciiTheme="majorBidi" w:hAnsiTheme="majorBidi" w:cstheme="majorBidi"/>
          <w:color w:val="000000" w:themeColor="text1"/>
        </w:rPr>
        <w:t xml:space="preserve">des ménages s’attendent à une dégradation, </w:t>
      </w:r>
      <w:r w:rsidR="00CC4120" w:rsidRPr="00D65810">
        <w:rPr>
          <w:rFonts w:asciiTheme="majorBidi" w:hAnsiTheme="majorBidi" w:cstheme="majorBidi"/>
          <w:color w:val="000000" w:themeColor="text1"/>
        </w:rPr>
        <w:t>36,</w:t>
      </w:r>
      <w:r w:rsidR="00012E4D" w:rsidRPr="00D65810">
        <w:rPr>
          <w:rFonts w:asciiTheme="majorBidi" w:hAnsiTheme="majorBidi" w:cstheme="majorBidi"/>
          <w:color w:val="000000" w:themeColor="text1"/>
        </w:rPr>
        <w:t>7</w:t>
      </w:r>
      <w:r w:rsidR="00E067D0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="000F2E6E" w:rsidRPr="00D65810">
        <w:rPr>
          <w:rFonts w:asciiTheme="majorBidi" w:hAnsiTheme="majorBidi" w:cstheme="majorBidi"/>
          <w:color w:val="000000" w:themeColor="text1"/>
        </w:rPr>
        <w:t>à un maintien au même nive</w:t>
      </w:r>
      <w:r w:rsidR="00580123" w:rsidRPr="00D65810">
        <w:rPr>
          <w:rFonts w:asciiTheme="majorBidi" w:hAnsiTheme="majorBidi" w:cstheme="majorBidi"/>
          <w:color w:val="000000" w:themeColor="text1"/>
        </w:rPr>
        <w:t xml:space="preserve">au et </w:t>
      </w:r>
      <w:r w:rsidR="007818DB" w:rsidRPr="00D65810">
        <w:rPr>
          <w:rFonts w:asciiTheme="majorBidi" w:hAnsiTheme="majorBidi" w:cstheme="majorBidi"/>
          <w:color w:val="000000" w:themeColor="text1"/>
        </w:rPr>
        <w:t>10,8</w:t>
      </w:r>
      <w:r w:rsidR="00E067D0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="00580123" w:rsidRPr="00D65810">
        <w:rPr>
          <w:rFonts w:asciiTheme="majorBidi" w:hAnsiTheme="majorBidi" w:cstheme="majorBidi"/>
          <w:color w:val="000000" w:themeColor="text1"/>
        </w:rPr>
        <w:t>à une amélioration. Le solde d’opinion relatif à cet indicateur</w:t>
      </w:r>
      <w:r w:rsidR="008E39FA" w:rsidRPr="00D65810">
        <w:rPr>
          <w:rFonts w:asciiTheme="majorBidi" w:hAnsiTheme="majorBidi" w:cstheme="majorBidi"/>
          <w:color w:val="000000" w:themeColor="text1"/>
        </w:rPr>
        <w:t xml:space="preserve"> s’établit </w:t>
      </w:r>
      <w:r w:rsidR="00E1264D" w:rsidRPr="00D65810">
        <w:rPr>
          <w:rFonts w:asciiTheme="majorBidi" w:hAnsiTheme="majorBidi" w:cstheme="majorBidi"/>
          <w:color w:val="000000" w:themeColor="text1"/>
        </w:rPr>
        <w:t xml:space="preserve">ainsi, </w:t>
      </w:r>
      <w:r w:rsidR="008E39FA" w:rsidRPr="00D65810">
        <w:rPr>
          <w:rFonts w:asciiTheme="majorBidi" w:hAnsiTheme="majorBidi" w:cstheme="majorBidi"/>
          <w:color w:val="000000" w:themeColor="text1"/>
        </w:rPr>
        <w:t xml:space="preserve">à moins </w:t>
      </w:r>
      <w:r w:rsidR="00E1264D" w:rsidRPr="00D65810">
        <w:rPr>
          <w:rFonts w:asciiTheme="majorBidi" w:hAnsiTheme="majorBidi" w:cstheme="majorBidi"/>
          <w:color w:val="000000" w:themeColor="text1"/>
        </w:rPr>
        <w:t>41,7</w:t>
      </w:r>
      <w:r w:rsidR="00EE43E3" w:rsidRPr="00D65810">
        <w:rPr>
          <w:rFonts w:asciiTheme="majorBidi" w:hAnsiTheme="majorBidi" w:cstheme="majorBidi"/>
          <w:color w:val="000000" w:themeColor="text1"/>
        </w:rPr>
        <w:t>points</w:t>
      </w:r>
      <w:r w:rsidR="00E1264D" w:rsidRPr="00D65810">
        <w:rPr>
          <w:rFonts w:asciiTheme="majorBidi" w:hAnsiTheme="majorBidi" w:cstheme="majorBidi"/>
          <w:color w:val="000000" w:themeColor="text1"/>
        </w:rPr>
        <w:t>contre</w:t>
      </w:r>
      <w:r w:rsidR="008E39FA" w:rsidRPr="00D65810">
        <w:rPr>
          <w:rFonts w:asciiTheme="majorBidi" w:hAnsiTheme="majorBidi" w:cstheme="majorBidi"/>
          <w:color w:val="000000" w:themeColor="text1"/>
        </w:rPr>
        <w:t xml:space="preserve">moins </w:t>
      </w:r>
      <w:r w:rsidR="00E1264D" w:rsidRPr="00D65810">
        <w:rPr>
          <w:rFonts w:asciiTheme="majorBidi" w:hAnsiTheme="majorBidi" w:cstheme="majorBidi"/>
          <w:color w:val="000000" w:themeColor="text1"/>
        </w:rPr>
        <w:t xml:space="preserve">43,7 </w:t>
      </w:r>
      <w:r w:rsidR="00580123" w:rsidRPr="00D65810">
        <w:rPr>
          <w:rFonts w:asciiTheme="majorBidi" w:hAnsiTheme="majorBidi" w:cstheme="majorBidi"/>
          <w:color w:val="000000" w:themeColor="text1"/>
        </w:rPr>
        <w:t xml:space="preserve">points </w:t>
      </w:r>
      <w:r w:rsidR="00E1264D" w:rsidRPr="00D65810">
        <w:rPr>
          <w:rFonts w:asciiTheme="majorBidi" w:hAnsiTheme="majorBidi" w:cstheme="majorBidi"/>
          <w:color w:val="000000" w:themeColor="text1"/>
        </w:rPr>
        <w:t xml:space="preserve">au trimestre précédent </w:t>
      </w:r>
      <w:r w:rsidR="00580123" w:rsidRPr="00D65810">
        <w:rPr>
          <w:rFonts w:asciiTheme="majorBidi" w:hAnsiTheme="majorBidi" w:cstheme="majorBidi"/>
          <w:color w:val="000000" w:themeColor="text1"/>
        </w:rPr>
        <w:t xml:space="preserve">et </w:t>
      </w:r>
      <w:r w:rsidR="00427977" w:rsidRPr="00D65810">
        <w:rPr>
          <w:rFonts w:asciiTheme="majorBidi" w:hAnsiTheme="majorBidi" w:cstheme="majorBidi"/>
          <w:color w:val="000000" w:themeColor="text1"/>
        </w:rPr>
        <w:t>à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4F6318" w:rsidRPr="00D65810">
        <w:rPr>
          <w:rFonts w:asciiTheme="majorBidi" w:hAnsiTheme="majorBidi" w:cstheme="majorBidi"/>
          <w:color w:val="000000" w:themeColor="text1"/>
        </w:rPr>
        <w:t>moins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E1264D" w:rsidRPr="00D65810">
        <w:rPr>
          <w:rFonts w:asciiTheme="majorBidi" w:hAnsiTheme="majorBidi" w:cstheme="majorBidi"/>
          <w:color w:val="000000" w:themeColor="text1"/>
        </w:rPr>
        <w:t>41,6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580123" w:rsidRPr="00D65810">
        <w:rPr>
          <w:rFonts w:asciiTheme="majorBidi" w:hAnsiTheme="majorBidi" w:cstheme="majorBidi"/>
          <w:color w:val="000000" w:themeColor="text1"/>
        </w:rPr>
        <w:t xml:space="preserve">points </w:t>
      </w:r>
      <w:r w:rsidR="00E1264D" w:rsidRPr="00D65810">
        <w:rPr>
          <w:rFonts w:asciiTheme="majorBidi" w:hAnsiTheme="majorBidi" w:cstheme="majorBidi"/>
          <w:color w:val="000000" w:themeColor="text1"/>
        </w:rPr>
        <w:t>au même trimestre de l’année précédente</w:t>
      </w:r>
      <w:r w:rsidR="00164979" w:rsidRPr="00D65810">
        <w:rPr>
          <w:rFonts w:asciiTheme="majorBidi" w:hAnsiTheme="majorBidi" w:cstheme="majorBidi"/>
          <w:color w:val="000000" w:themeColor="text1"/>
        </w:rPr>
        <w:t xml:space="preserve">. </w:t>
      </w:r>
    </w:p>
    <w:p w:rsidR="009F1748" w:rsidRPr="00D65810" w:rsidRDefault="002830E2" w:rsidP="003B356E">
      <w:pPr>
        <w:spacing w:before="24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</w:rPr>
        <w:t>Graphique 2 : Perception par les ménages de l'évolution passée et future du niveau de vie (soldes d'opinions)</w:t>
      </w:r>
      <w:r w:rsidR="009F1748" w:rsidRPr="00D65810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972810" cy="3822700"/>
            <wp:effectExtent l="19050" t="0" r="27940" b="6350"/>
            <wp:docPr id="3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30E2" w:rsidRPr="00D65810" w:rsidRDefault="002830E2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F87F4A" w:rsidRPr="00D65810" w:rsidRDefault="00F87F4A" w:rsidP="003B356E">
      <w:pPr>
        <w:pStyle w:val="Paragraphedeliste"/>
        <w:numPr>
          <w:ilvl w:val="0"/>
          <w:numId w:val="8"/>
        </w:numPr>
        <w:spacing w:before="240"/>
        <w:ind w:left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Evolution du chômage : perceptions </w:t>
      </w:r>
      <w:r w:rsidR="00F808DA"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négative</w:t>
      </w:r>
      <w:r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s  </w:t>
      </w:r>
    </w:p>
    <w:p w:rsidR="00172005" w:rsidRPr="00D65810" w:rsidRDefault="00580123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 xml:space="preserve">Au </w:t>
      </w:r>
      <w:r w:rsidR="006860E0" w:rsidRPr="00D65810">
        <w:rPr>
          <w:rFonts w:asciiTheme="majorBidi" w:hAnsiTheme="majorBidi" w:cstheme="majorBidi"/>
          <w:color w:val="000000" w:themeColor="text1"/>
        </w:rPr>
        <w:t>troisième trimestre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707360" w:rsidRPr="00D65810">
        <w:rPr>
          <w:rFonts w:asciiTheme="majorBidi" w:hAnsiTheme="majorBidi" w:cstheme="majorBidi"/>
          <w:color w:val="000000" w:themeColor="text1"/>
        </w:rPr>
        <w:t>de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4C1BAB" w:rsidRPr="00D65810">
        <w:rPr>
          <w:rFonts w:asciiTheme="majorBidi" w:hAnsiTheme="majorBidi" w:cstheme="majorBidi"/>
          <w:color w:val="000000" w:themeColor="text1"/>
        </w:rPr>
        <w:t>2023</w:t>
      </w:r>
      <w:r w:rsidRPr="00D65810">
        <w:rPr>
          <w:rFonts w:asciiTheme="majorBidi" w:hAnsiTheme="majorBidi" w:cstheme="majorBidi"/>
          <w:color w:val="000000" w:themeColor="text1"/>
        </w:rPr>
        <w:t>,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E1264D" w:rsidRPr="00D65810">
        <w:rPr>
          <w:rFonts w:asciiTheme="majorBidi" w:hAnsiTheme="majorBidi" w:cstheme="majorBidi"/>
          <w:color w:val="000000" w:themeColor="text1"/>
        </w:rPr>
        <w:t>86,7</w:t>
      </w:r>
      <w:r w:rsidR="00E067D0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="0044099F" w:rsidRPr="00D65810">
        <w:rPr>
          <w:rFonts w:asciiTheme="majorBidi" w:hAnsiTheme="majorBidi" w:cstheme="majorBidi"/>
          <w:color w:val="000000" w:themeColor="text1"/>
        </w:rPr>
        <w:t xml:space="preserve">contre </w:t>
      </w:r>
      <w:r w:rsidR="00CC4120" w:rsidRPr="00D65810">
        <w:rPr>
          <w:rFonts w:asciiTheme="majorBidi" w:hAnsiTheme="majorBidi" w:cstheme="majorBidi"/>
          <w:color w:val="000000" w:themeColor="text1"/>
        </w:rPr>
        <w:t>4,</w:t>
      </w:r>
      <w:r w:rsidR="00E1264D" w:rsidRPr="00D65810">
        <w:rPr>
          <w:rFonts w:asciiTheme="majorBidi" w:hAnsiTheme="majorBidi" w:cstheme="majorBidi"/>
          <w:color w:val="000000" w:themeColor="text1"/>
        </w:rPr>
        <w:t>8</w:t>
      </w:r>
      <w:r w:rsidR="00E067D0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="0044099F" w:rsidRPr="00D65810">
        <w:rPr>
          <w:rFonts w:asciiTheme="majorBidi" w:hAnsiTheme="majorBidi" w:cstheme="majorBidi"/>
          <w:color w:val="000000" w:themeColor="text1"/>
        </w:rPr>
        <w:t>des ménages s’attendent à une hausse du chômage au cours des 12 prochains mois</w:t>
      </w:r>
      <w:r w:rsidR="00AE721E" w:rsidRPr="00D65810">
        <w:rPr>
          <w:rFonts w:asciiTheme="majorBidi" w:hAnsiTheme="majorBidi" w:cstheme="majorBidi"/>
          <w:color w:val="000000" w:themeColor="text1"/>
        </w:rPr>
        <w:t xml:space="preserve">. </w:t>
      </w:r>
      <w:r w:rsidRPr="00D65810">
        <w:rPr>
          <w:rFonts w:asciiTheme="majorBidi" w:hAnsiTheme="majorBidi" w:cstheme="majorBidi"/>
          <w:color w:val="000000" w:themeColor="text1"/>
        </w:rPr>
        <w:t xml:space="preserve">Le solde d’opinion est resté ainsi négatif à moins </w:t>
      </w:r>
      <w:r w:rsidR="00954956" w:rsidRPr="00D65810">
        <w:rPr>
          <w:rFonts w:asciiTheme="majorBidi" w:hAnsiTheme="majorBidi" w:cstheme="majorBidi"/>
          <w:color w:val="000000" w:themeColor="text1"/>
        </w:rPr>
        <w:t>8</w:t>
      </w:r>
      <w:r w:rsidR="00E1264D" w:rsidRPr="00D65810">
        <w:rPr>
          <w:rFonts w:asciiTheme="majorBidi" w:hAnsiTheme="majorBidi" w:cstheme="majorBidi"/>
          <w:color w:val="000000" w:themeColor="text1"/>
        </w:rPr>
        <w:t>1</w:t>
      </w:r>
      <w:r w:rsidR="00954956" w:rsidRPr="00D65810">
        <w:rPr>
          <w:rFonts w:asciiTheme="majorBidi" w:hAnsiTheme="majorBidi" w:cstheme="majorBidi"/>
          <w:color w:val="000000" w:themeColor="text1"/>
        </w:rPr>
        <w:t>,</w:t>
      </w:r>
      <w:r w:rsidR="00E1264D" w:rsidRPr="00D65810">
        <w:rPr>
          <w:rFonts w:asciiTheme="majorBidi" w:hAnsiTheme="majorBidi" w:cstheme="majorBidi"/>
          <w:color w:val="000000" w:themeColor="text1"/>
        </w:rPr>
        <w:t>9</w:t>
      </w:r>
      <w:r w:rsidR="0053493A">
        <w:rPr>
          <w:rFonts w:asciiTheme="majorBidi" w:hAnsiTheme="majorBidi" w:cstheme="majorBidi"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color w:val="000000" w:themeColor="text1"/>
        </w:rPr>
        <w:t>points</w:t>
      </w:r>
      <w:r w:rsidR="00C142AB" w:rsidRPr="00D65810">
        <w:rPr>
          <w:rFonts w:asciiTheme="majorBidi" w:hAnsiTheme="majorBidi" w:cstheme="majorBidi"/>
          <w:color w:val="000000" w:themeColor="text1"/>
        </w:rPr>
        <w:t xml:space="preserve"> contre</w:t>
      </w:r>
      <w:r w:rsidRPr="00D65810">
        <w:rPr>
          <w:rFonts w:asciiTheme="majorBidi" w:hAnsiTheme="majorBidi" w:cstheme="majorBidi"/>
          <w:color w:val="000000" w:themeColor="text1"/>
        </w:rPr>
        <w:t xml:space="preserve"> moins </w:t>
      </w:r>
      <w:r w:rsidR="00954956" w:rsidRPr="00D65810">
        <w:rPr>
          <w:rFonts w:asciiTheme="majorBidi" w:hAnsiTheme="majorBidi" w:cstheme="majorBidi"/>
          <w:color w:val="000000" w:themeColor="text1"/>
        </w:rPr>
        <w:t>8</w:t>
      </w:r>
      <w:r w:rsidR="00E1264D" w:rsidRPr="00D65810">
        <w:rPr>
          <w:rFonts w:asciiTheme="majorBidi" w:hAnsiTheme="majorBidi" w:cstheme="majorBidi"/>
          <w:color w:val="000000" w:themeColor="text1"/>
        </w:rPr>
        <w:t>0</w:t>
      </w:r>
      <w:r w:rsidR="00954956" w:rsidRPr="00D65810">
        <w:rPr>
          <w:rFonts w:asciiTheme="majorBidi" w:hAnsiTheme="majorBidi" w:cstheme="majorBidi"/>
          <w:color w:val="000000" w:themeColor="text1"/>
        </w:rPr>
        <w:t>,4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color w:val="000000" w:themeColor="text1"/>
        </w:rPr>
        <w:t xml:space="preserve">points </w:t>
      </w:r>
      <w:r w:rsidR="00C142AB" w:rsidRPr="00D65810">
        <w:rPr>
          <w:rFonts w:asciiTheme="majorBidi" w:hAnsiTheme="majorBidi" w:cstheme="majorBidi"/>
          <w:color w:val="000000" w:themeColor="text1"/>
        </w:rPr>
        <w:t xml:space="preserve">un trimestre auparavant et moins </w:t>
      </w:r>
      <w:r w:rsidR="00954956" w:rsidRPr="00D65810">
        <w:rPr>
          <w:rFonts w:asciiTheme="majorBidi" w:hAnsiTheme="majorBidi" w:cstheme="majorBidi"/>
          <w:color w:val="000000" w:themeColor="text1"/>
        </w:rPr>
        <w:t>8</w:t>
      </w:r>
      <w:r w:rsidR="00E1264D" w:rsidRPr="00D65810">
        <w:rPr>
          <w:rFonts w:asciiTheme="majorBidi" w:hAnsiTheme="majorBidi" w:cstheme="majorBidi"/>
          <w:color w:val="000000" w:themeColor="text1"/>
        </w:rPr>
        <w:t>3</w:t>
      </w:r>
      <w:r w:rsidR="00954956" w:rsidRPr="00D65810">
        <w:rPr>
          <w:rFonts w:asciiTheme="majorBidi" w:hAnsiTheme="majorBidi" w:cstheme="majorBidi"/>
          <w:color w:val="000000" w:themeColor="text1"/>
        </w:rPr>
        <w:t>,</w:t>
      </w:r>
      <w:r w:rsidR="00E1264D" w:rsidRPr="00D65810">
        <w:rPr>
          <w:rFonts w:asciiTheme="majorBidi" w:hAnsiTheme="majorBidi" w:cstheme="majorBidi"/>
          <w:color w:val="000000" w:themeColor="text1"/>
        </w:rPr>
        <w:t>5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color w:val="000000" w:themeColor="text1"/>
        </w:rPr>
        <w:t>points</w:t>
      </w:r>
      <w:r w:rsidR="00C142AB" w:rsidRPr="00D65810">
        <w:rPr>
          <w:rFonts w:asciiTheme="majorBidi" w:hAnsiTheme="majorBidi" w:cstheme="majorBidi"/>
          <w:color w:val="000000" w:themeColor="text1"/>
        </w:rPr>
        <w:t xml:space="preserve"> un an auparavant</w:t>
      </w:r>
      <w:r w:rsidRPr="00D65810">
        <w:rPr>
          <w:rFonts w:asciiTheme="majorBidi" w:hAnsiTheme="majorBidi" w:cstheme="majorBidi"/>
          <w:color w:val="000000" w:themeColor="text1"/>
        </w:rPr>
        <w:t>.</w:t>
      </w:r>
    </w:p>
    <w:p w:rsidR="00570C0E" w:rsidRPr="00D65810" w:rsidRDefault="00570C0E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</w:rPr>
      </w:pPr>
    </w:p>
    <w:p w:rsidR="003B356E" w:rsidRPr="00D65810" w:rsidRDefault="003B356E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</w:rPr>
      </w:pPr>
    </w:p>
    <w:p w:rsidR="003B356E" w:rsidRPr="00D65810" w:rsidRDefault="003B356E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</w:rPr>
      </w:pPr>
    </w:p>
    <w:p w:rsidR="003B356E" w:rsidRPr="00D65810" w:rsidRDefault="003B356E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</w:rPr>
      </w:pPr>
    </w:p>
    <w:p w:rsidR="003B356E" w:rsidRPr="00D65810" w:rsidRDefault="003B356E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</w:rPr>
      </w:pPr>
    </w:p>
    <w:p w:rsidR="003B356E" w:rsidRPr="00D65810" w:rsidRDefault="003B356E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</w:rPr>
      </w:pPr>
    </w:p>
    <w:p w:rsidR="00FC470E" w:rsidRPr="00D65810" w:rsidRDefault="002830E2" w:rsidP="00BA7515">
      <w:pPr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</w:rPr>
        <w:lastRenderedPageBreak/>
        <w:t>Graphique 3 : Perception par les ménages de l'évolution du nombre de chômeurs</w:t>
      </w:r>
      <w:r w:rsidR="00D36B4B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b/>
          <w:bCs/>
          <w:color w:val="000000" w:themeColor="text1"/>
        </w:rPr>
        <w:t>(soldes d'opinions)</w:t>
      </w:r>
    </w:p>
    <w:p w:rsidR="00184134" w:rsidRPr="00D65810" w:rsidRDefault="009F1748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795645" cy="2825750"/>
            <wp:effectExtent l="19050" t="0" r="14605" b="0"/>
            <wp:docPr id="4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30E2" w:rsidRPr="00D65810" w:rsidRDefault="002830E2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CE5F9D" w:rsidRPr="00D65810" w:rsidRDefault="00A33336" w:rsidP="003B356E">
      <w:pPr>
        <w:pStyle w:val="Paragraphedeliste"/>
        <w:numPr>
          <w:ilvl w:val="0"/>
          <w:numId w:val="8"/>
        </w:numPr>
        <w:tabs>
          <w:tab w:val="left" w:pos="709"/>
        </w:tabs>
        <w:spacing w:before="240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b/>
          <w:bCs/>
          <w:color w:val="000000"/>
          <w:sz w:val="24"/>
          <w:szCs w:val="24"/>
        </w:rPr>
        <w:t>Une c</w:t>
      </w:r>
      <w:r w:rsidR="003541C4" w:rsidRPr="00D6581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onjoncture </w:t>
      </w:r>
      <w:r w:rsidR="00051A04" w:rsidRPr="00D6581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perçue comme peu favorable à </w:t>
      </w:r>
      <w:r w:rsidR="00051A04" w:rsidRPr="00D65810">
        <w:rPr>
          <w:rFonts w:asciiTheme="majorBidi" w:hAnsiTheme="majorBidi" w:cstheme="majorBidi"/>
          <w:b/>
          <w:bCs/>
          <w:color w:val="000000"/>
          <w:sz w:val="24"/>
          <w:szCs w:val="24"/>
        </w:rPr>
        <w:t>l</w:t>
      </w:r>
      <w:r w:rsidR="00051A04" w:rsidRPr="00D6581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’achat des biens durables </w:t>
      </w:r>
    </w:p>
    <w:p w:rsidR="00570C0E" w:rsidRPr="00D65810" w:rsidRDefault="00580123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 xml:space="preserve">Au </w:t>
      </w:r>
      <w:r w:rsidR="006860E0" w:rsidRPr="00D65810">
        <w:rPr>
          <w:rFonts w:asciiTheme="majorBidi" w:hAnsiTheme="majorBidi" w:cstheme="majorBidi"/>
          <w:color w:val="000000" w:themeColor="text1"/>
        </w:rPr>
        <w:t>troisième trimestre</w:t>
      </w:r>
      <w:r w:rsidR="00707360" w:rsidRPr="00D65810">
        <w:rPr>
          <w:rFonts w:asciiTheme="majorBidi" w:hAnsiTheme="majorBidi" w:cstheme="majorBidi"/>
          <w:color w:val="000000" w:themeColor="text1"/>
        </w:rPr>
        <w:t>de</w:t>
      </w:r>
      <w:r w:rsidR="004C1BAB" w:rsidRPr="00D65810">
        <w:rPr>
          <w:rFonts w:asciiTheme="majorBidi" w:hAnsiTheme="majorBidi" w:cstheme="majorBidi"/>
          <w:color w:val="000000" w:themeColor="text1"/>
        </w:rPr>
        <w:t>2023</w:t>
      </w:r>
      <w:r w:rsidRPr="00D65810">
        <w:rPr>
          <w:rFonts w:asciiTheme="majorBidi" w:hAnsiTheme="majorBidi" w:cstheme="majorBidi"/>
          <w:color w:val="000000" w:themeColor="text1"/>
        </w:rPr>
        <w:t xml:space="preserve">, </w:t>
      </w:r>
      <w:r w:rsidR="009E6E15" w:rsidRPr="00D65810">
        <w:rPr>
          <w:rFonts w:asciiTheme="majorBidi" w:hAnsiTheme="majorBidi" w:cstheme="majorBidi"/>
          <w:color w:val="000000" w:themeColor="text1"/>
        </w:rPr>
        <w:t>79,5</w:t>
      </w:r>
      <w:r w:rsidR="00E067D0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Pr="00D65810">
        <w:rPr>
          <w:rFonts w:asciiTheme="majorBidi" w:hAnsiTheme="majorBidi" w:cstheme="majorBidi"/>
          <w:color w:val="000000" w:themeColor="text1"/>
        </w:rPr>
        <w:t xml:space="preserve">contre </w:t>
      </w:r>
      <w:r w:rsidR="009E6E15" w:rsidRPr="00D65810">
        <w:rPr>
          <w:rFonts w:asciiTheme="majorBidi" w:hAnsiTheme="majorBidi" w:cstheme="majorBidi"/>
          <w:color w:val="000000" w:themeColor="text1"/>
        </w:rPr>
        <w:t>8,0</w:t>
      </w:r>
      <w:r w:rsidR="00E067D0" w:rsidRPr="00D65810">
        <w:rPr>
          <w:rFonts w:asciiTheme="majorBidi" w:hAnsiTheme="majorBidi" w:cstheme="majorBidi"/>
          <w:color w:val="000000" w:themeColor="text1"/>
        </w:rPr>
        <w:t>%</w:t>
      </w:r>
      <w:r w:rsidRPr="00D65810">
        <w:rPr>
          <w:rFonts w:asciiTheme="majorBidi" w:hAnsiTheme="majorBidi" w:cstheme="majorBidi"/>
          <w:color w:val="000000" w:themeColor="text1"/>
        </w:rPr>
        <w:t xml:space="preserve"> des ménages considèrent que le moment n’est pas opportun pour effectuer des achats de biens durables. </w:t>
      </w:r>
      <w:r w:rsidR="004C6EE9" w:rsidRPr="00D65810">
        <w:rPr>
          <w:rFonts w:asciiTheme="majorBidi" w:hAnsiTheme="majorBidi" w:cstheme="majorBidi"/>
          <w:color w:val="000000" w:themeColor="text1"/>
        </w:rPr>
        <w:t xml:space="preserve">Le solde d’opinion de cet indicateur est resté ainsi négatif à moins </w:t>
      </w:r>
      <w:r w:rsidR="009E6E15" w:rsidRPr="00D65810">
        <w:rPr>
          <w:rFonts w:asciiTheme="majorBidi" w:hAnsiTheme="majorBidi" w:cstheme="majorBidi"/>
          <w:color w:val="000000" w:themeColor="text1"/>
        </w:rPr>
        <w:t>71,5</w:t>
      </w:r>
      <w:r w:rsidR="004C6EE9" w:rsidRPr="00D65810">
        <w:rPr>
          <w:rFonts w:asciiTheme="majorBidi" w:hAnsiTheme="majorBidi" w:cstheme="majorBidi"/>
          <w:color w:val="000000" w:themeColor="text1"/>
        </w:rPr>
        <w:t xml:space="preserve"> points contre moins </w:t>
      </w:r>
      <w:r w:rsidR="009E6E15" w:rsidRPr="00D65810">
        <w:rPr>
          <w:rFonts w:asciiTheme="majorBidi" w:hAnsiTheme="majorBidi" w:cstheme="majorBidi"/>
          <w:color w:val="000000" w:themeColor="text1"/>
        </w:rPr>
        <w:t xml:space="preserve">68,9 </w:t>
      </w:r>
      <w:r w:rsidR="004C6EE9" w:rsidRPr="00D65810">
        <w:rPr>
          <w:rFonts w:asciiTheme="majorBidi" w:hAnsiTheme="majorBidi" w:cstheme="majorBidi"/>
          <w:color w:val="000000" w:themeColor="text1"/>
        </w:rPr>
        <w:t xml:space="preserve">points un trimestre auparavant et moins </w:t>
      </w:r>
      <w:r w:rsidR="009E6E15" w:rsidRPr="00D65810">
        <w:rPr>
          <w:rFonts w:asciiTheme="majorBidi" w:hAnsiTheme="majorBidi" w:cstheme="majorBidi"/>
          <w:color w:val="000000" w:themeColor="text1"/>
        </w:rPr>
        <w:t>74,0</w:t>
      </w:r>
      <w:r w:rsidR="004C6EE9" w:rsidRPr="00D65810">
        <w:rPr>
          <w:rFonts w:asciiTheme="majorBidi" w:hAnsiTheme="majorBidi" w:cstheme="majorBidi"/>
          <w:color w:val="000000" w:themeColor="text1"/>
        </w:rPr>
        <w:t xml:space="preserve"> points un an auparavant.</w:t>
      </w:r>
    </w:p>
    <w:p w:rsidR="00B6552D" w:rsidRPr="00D65810" w:rsidRDefault="00B6552D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1161F3" w:rsidRPr="00D65810" w:rsidRDefault="002830E2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</w:rPr>
        <w:t>Graphique 4 : Perception par les ménages de l'opportunité d'achat des biens durables  (soldes d'opinions)</w:t>
      </w:r>
    </w:p>
    <w:p w:rsidR="00FC470E" w:rsidRPr="00D65810" w:rsidRDefault="009F1748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972810" cy="2901950"/>
            <wp:effectExtent l="19050" t="0" r="27940" b="0"/>
            <wp:docPr id="5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30E2" w:rsidRPr="00D65810" w:rsidRDefault="002830E2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EE0F05" w:rsidRPr="00D65810" w:rsidRDefault="00EE0F05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</w:rPr>
      </w:pPr>
    </w:p>
    <w:p w:rsidR="003B356E" w:rsidRPr="00D65810" w:rsidRDefault="003B356E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</w:rPr>
      </w:pPr>
    </w:p>
    <w:p w:rsidR="003B356E" w:rsidRPr="00D65810" w:rsidRDefault="003B356E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</w:rPr>
      </w:pPr>
    </w:p>
    <w:p w:rsidR="00DA7314" w:rsidRPr="00D65810" w:rsidRDefault="0055446F" w:rsidP="003B356E">
      <w:pPr>
        <w:pStyle w:val="Paragraphedeliste"/>
        <w:numPr>
          <w:ilvl w:val="0"/>
          <w:numId w:val="8"/>
        </w:numPr>
        <w:tabs>
          <w:tab w:val="left" w:pos="709"/>
        </w:tabs>
        <w:spacing w:before="24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65810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S</w:t>
      </w:r>
      <w:r w:rsidR="00DA7314" w:rsidRPr="00D65810">
        <w:rPr>
          <w:rFonts w:asciiTheme="majorBidi" w:hAnsiTheme="majorBidi" w:cstheme="majorBidi"/>
          <w:b/>
          <w:bCs/>
          <w:color w:val="000000"/>
          <w:sz w:val="24"/>
          <w:szCs w:val="24"/>
        </w:rPr>
        <w:t>ituation financière des ménages : perceptions moins pessimistes</w:t>
      </w:r>
    </w:p>
    <w:p w:rsidR="00C11D92" w:rsidRPr="00D65810" w:rsidRDefault="00C11D92" w:rsidP="003B356E">
      <w:pPr>
        <w:pStyle w:val="Paragraphedeliste"/>
        <w:tabs>
          <w:tab w:val="left" w:pos="709"/>
        </w:tabs>
        <w:spacing w:before="240"/>
        <w:ind w:left="-76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CC4120" w:rsidRPr="00D65810" w:rsidRDefault="00516548" w:rsidP="00BA7515">
      <w:pPr>
        <w:pStyle w:val="Paragraphedeliste"/>
        <w:spacing w:before="240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Au </w:t>
      </w:r>
      <w:r w:rsidR="006860E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troisième trimestre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0736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C1BAB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2023</w:t>
      </w:r>
      <w:r w:rsidR="00E03B6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, </w:t>
      </w:r>
      <w:r w:rsidR="00D5279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55,8</w:t>
      </w:r>
      <w:r w:rsidR="00DC0DC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%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03B6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des ménages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03B6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estiment que leurs revenus couvrent leurs dépenses, </w:t>
      </w:r>
      <w:r w:rsidR="00D5279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42,2</w:t>
      </w:r>
      <w:r w:rsidR="00DC0DC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E03B6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déclarent s’endetter ou puiser dans leur épargne et </w:t>
      </w:r>
      <w:r w:rsidR="00D5279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2,0</w:t>
      </w:r>
      <w:r w:rsidR="00DC0DC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E03B6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affirment épargner une partie de leur revenu.</w:t>
      </w:r>
      <w:r w:rsidR="00D36B4B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03B6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Le solde d’opinion </w:t>
      </w:r>
      <w:r w:rsidR="007A29D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relatif à</w:t>
      </w:r>
      <w:r w:rsidR="00E03B6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la situation financière actuelle des ménages est resté ainsi négatif, à moins </w:t>
      </w:r>
      <w:r w:rsidR="00D5279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40,2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03B6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D90C0D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contre </w:t>
      </w:r>
      <w:r w:rsidR="00A5425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moins </w:t>
      </w:r>
      <w:r w:rsidR="00D5279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41,4 </w:t>
      </w:r>
      <w:r w:rsidR="005B09C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A5425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le trimestre </w:t>
      </w:r>
      <w:r w:rsidR="0005351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précédent</w:t>
      </w:r>
      <w:r w:rsidR="00A5425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et moins </w:t>
      </w:r>
      <w:r w:rsidR="00D5279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40,9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B09C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B1090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le même trimestre de l’année précédente</w:t>
      </w:r>
      <w:r w:rsidR="00A5425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.</w:t>
      </w:r>
    </w:p>
    <w:p w:rsidR="00527651" w:rsidRPr="00D65810" w:rsidRDefault="00035053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>Quant à</w:t>
      </w:r>
      <w:r w:rsidR="002B7C12" w:rsidRPr="00D65810">
        <w:rPr>
          <w:rFonts w:asciiTheme="majorBidi" w:hAnsiTheme="majorBidi" w:cstheme="majorBidi"/>
          <w:color w:val="000000" w:themeColor="text1"/>
        </w:rPr>
        <w:t xml:space="preserve"> l’évolution de</w:t>
      </w:r>
      <w:r w:rsidR="00F45C72" w:rsidRPr="00D65810">
        <w:rPr>
          <w:rFonts w:asciiTheme="majorBidi" w:hAnsiTheme="majorBidi" w:cstheme="majorBidi"/>
          <w:color w:val="000000" w:themeColor="text1"/>
        </w:rPr>
        <w:t xml:space="preserve"> leur </w:t>
      </w:r>
      <w:r w:rsidR="0016780D" w:rsidRPr="00D65810">
        <w:rPr>
          <w:rFonts w:asciiTheme="majorBidi" w:hAnsiTheme="majorBidi" w:cstheme="majorBidi"/>
          <w:color w:val="000000" w:themeColor="text1"/>
        </w:rPr>
        <w:t>situation financière</w:t>
      </w:r>
      <w:r w:rsidR="00F45C72" w:rsidRPr="00D65810">
        <w:rPr>
          <w:rFonts w:asciiTheme="majorBidi" w:hAnsiTheme="majorBidi" w:cstheme="majorBidi"/>
          <w:color w:val="000000" w:themeColor="text1"/>
        </w:rPr>
        <w:t xml:space="preserve"> au cours des 12 derniers mois</w:t>
      </w:r>
      <w:r w:rsidR="0016780D" w:rsidRPr="00D65810">
        <w:rPr>
          <w:rFonts w:asciiTheme="majorBidi" w:hAnsiTheme="majorBidi" w:cstheme="majorBidi"/>
          <w:color w:val="000000" w:themeColor="text1"/>
        </w:rPr>
        <w:t xml:space="preserve">, </w:t>
      </w:r>
      <w:r w:rsidR="00D52794" w:rsidRPr="00D65810">
        <w:rPr>
          <w:rFonts w:asciiTheme="majorBidi" w:hAnsiTheme="majorBidi" w:cstheme="majorBidi"/>
          <w:color w:val="000000" w:themeColor="text1"/>
        </w:rPr>
        <w:t>58,0</w:t>
      </w:r>
      <w:r w:rsidR="00D61D3A" w:rsidRPr="00D65810">
        <w:rPr>
          <w:rFonts w:asciiTheme="majorBidi" w:hAnsiTheme="majorBidi" w:cstheme="majorBidi"/>
          <w:color w:val="000000" w:themeColor="text1"/>
        </w:rPr>
        <w:t>%</w:t>
      </w:r>
      <w:r w:rsidR="005D3956" w:rsidRPr="00D65810">
        <w:rPr>
          <w:rFonts w:asciiTheme="majorBidi" w:hAnsiTheme="majorBidi" w:cstheme="majorBidi"/>
          <w:color w:val="000000" w:themeColor="text1"/>
        </w:rPr>
        <w:t xml:space="preserve"> contre </w:t>
      </w:r>
      <w:r w:rsidR="00D52794" w:rsidRPr="00D65810">
        <w:rPr>
          <w:rFonts w:asciiTheme="majorBidi" w:hAnsiTheme="majorBidi" w:cstheme="majorBidi"/>
          <w:color w:val="000000" w:themeColor="text1"/>
        </w:rPr>
        <w:t>4,7</w:t>
      </w:r>
      <w:r w:rsidR="00D61D3A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="0016780D" w:rsidRPr="00D65810">
        <w:rPr>
          <w:rFonts w:asciiTheme="majorBidi" w:hAnsiTheme="majorBidi" w:cstheme="majorBidi"/>
          <w:color w:val="000000" w:themeColor="text1"/>
        </w:rPr>
        <w:t xml:space="preserve">des ménages considèrent qu’elle </w:t>
      </w:r>
      <w:r w:rsidR="00540BE7" w:rsidRPr="00D65810">
        <w:rPr>
          <w:rFonts w:asciiTheme="majorBidi" w:hAnsiTheme="majorBidi" w:cstheme="majorBidi"/>
          <w:color w:val="000000" w:themeColor="text1"/>
        </w:rPr>
        <w:t>s’est dégradée</w:t>
      </w:r>
      <w:r w:rsidR="00BE624F" w:rsidRPr="00D65810">
        <w:rPr>
          <w:rFonts w:asciiTheme="majorBidi" w:hAnsiTheme="majorBidi" w:cstheme="majorBidi"/>
          <w:color w:val="000000" w:themeColor="text1"/>
        </w:rPr>
        <w:t xml:space="preserve">. </w:t>
      </w:r>
      <w:r w:rsidR="00F7332B" w:rsidRPr="00D65810">
        <w:rPr>
          <w:rFonts w:asciiTheme="majorBidi" w:hAnsiTheme="majorBidi" w:cstheme="majorBidi"/>
          <w:color w:val="000000" w:themeColor="text1"/>
        </w:rPr>
        <w:t xml:space="preserve">Le solde d’opinion de cet indicateur </w:t>
      </w:r>
      <w:r w:rsidR="00AA6F71" w:rsidRPr="00D65810">
        <w:rPr>
          <w:rFonts w:asciiTheme="majorBidi" w:hAnsiTheme="majorBidi" w:cstheme="majorBidi"/>
          <w:color w:val="000000" w:themeColor="text1"/>
        </w:rPr>
        <w:t>est resté ainsi négatif, à</w:t>
      </w:r>
      <w:r w:rsidR="00F7332B" w:rsidRPr="00D65810">
        <w:rPr>
          <w:rFonts w:asciiTheme="majorBidi" w:hAnsiTheme="majorBidi" w:cstheme="majorBidi"/>
          <w:color w:val="000000" w:themeColor="text1"/>
        </w:rPr>
        <w:t xml:space="preserve"> moins </w:t>
      </w:r>
      <w:r w:rsidR="00B02047" w:rsidRPr="00D65810">
        <w:rPr>
          <w:rFonts w:asciiTheme="majorBidi" w:hAnsiTheme="majorBidi" w:cstheme="majorBidi"/>
          <w:color w:val="000000" w:themeColor="text1"/>
        </w:rPr>
        <w:t>53,3</w:t>
      </w:r>
      <w:r w:rsidR="00F7332B" w:rsidRPr="00D65810">
        <w:rPr>
          <w:rFonts w:asciiTheme="majorBidi" w:hAnsiTheme="majorBidi" w:cstheme="majorBidi"/>
          <w:color w:val="000000" w:themeColor="text1"/>
        </w:rPr>
        <w:t xml:space="preserve"> points</w:t>
      </w:r>
      <w:r w:rsidR="00AA6F71" w:rsidRPr="00D65810">
        <w:rPr>
          <w:rFonts w:asciiTheme="majorBidi" w:hAnsiTheme="majorBidi" w:cstheme="majorBidi"/>
          <w:color w:val="000000" w:themeColor="text1"/>
        </w:rPr>
        <w:t xml:space="preserve"> contre </w:t>
      </w:r>
      <w:r w:rsidR="00F7332B" w:rsidRPr="00D65810">
        <w:rPr>
          <w:rFonts w:asciiTheme="majorBidi" w:hAnsiTheme="majorBidi" w:cstheme="majorBidi"/>
          <w:color w:val="000000" w:themeColor="text1"/>
        </w:rPr>
        <w:t xml:space="preserve">moins </w:t>
      </w:r>
      <w:r w:rsidR="00B02047" w:rsidRPr="00D65810">
        <w:rPr>
          <w:rFonts w:asciiTheme="majorBidi" w:hAnsiTheme="majorBidi" w:cstheme="majorBidi"/>
          <w:color w:val="000000" w:themeColor="text1"/>
        </w:rPr>
        <w:t xml:space="preserve">57,3 </w:t>
      </w:r>
      <w:r w:rsidR="00F7332B" w:rsidRPr="00D65810">
        <w:rPr>
          <w:rFonts w:asciiTheme="majorBidi" w:hAnsiTheme="majorBidi" w:cstheme="majorBidi"/>
          <w:color w:val="000000" w:themeColor="text1"/>
        </w:rPr>
        <w:t xml:space="preserve">points le trimestre précédent et moins </w:t>
      </w:r>
      <w:r w:rsidR="00B02047" w:rsidRPr="00D65810">
        <w:rPr>
          <w:rFonts w:asciiTheme="majorBidi" w:hAnsiTheme="majorBidi" w:cstheme="majorBidi"/>
          <w:color w:val="000000" w:themeColor="text1"/>
        </w:rPr>
        <w:t>47,7</w:t>
      </w:r>
      <w:r w:rsidR="00F7332B" w:rsidRPr="00D65810">
        <w:rPr>
          <w:rFonts w:asciiTheme="majorBidi" w:hAnsiTheme="majorBidi" w:cstheme="majorBidi"/>
          <w:color w:val="000000" w:themeColor="text1"/>
        </w:rPr>
        <w:t xml:space="preserve"> points une année auparavant</w:t>
      </w:r>
      <w:r w:rsidR="00203316" w:rsidRPr="00D65810">
        <w:rPr>
          <w:rFonts w:asciiTheme="majorBidi" w:hAnsiTheme="majorBidi" w:cstheme="majorBidi"/>
          <w:color w:val="000000" w:themeColor="text1"/>
        </w:rPr>
        <w:t>.</w:t>
      </w:r>
    </w:p>
    <w:p w:rsidR="00CC4120" w:rsidRPr="00D65810" w:rsidRDefault="00CC4120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CC4120" w:rsidRPr="00D65810" w:rsidRDefault="00491FB6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 xml:space="preserve">S’agissant </w:t>
      </w:r>
      <w:r w:rsidR="00B56764" w:rsidRPr="00D65810">
        <w:rPr>
          <w:rFonts w:asciiTheme="majorBidi" w:hAnsiTheme="majorBidi" w:cstheme="majorBidi"/>
          <w:color w:val="000000" w:themeColor="text1"/>
        </w:rPr>
        <w:t xml:space="preserve">de l’évolution </w:t>
      </w:r>
      <w:r w:rsidR="00D41CA0" w:rsidRPr="00D65810">
        <w:rPr>
          <w:rFonts w:asciiTheme="majorBidi" w:hAnsiTheme="majorBidi" w:cstheme="majorBidi"/>
          <w:color w:val="000000" w:themeColor="text1"/>
        </w:rPr>
        <w:t>de leur situation financière</w:t>
      </w:r>
      <w:r w:rsidR="00D36B4B">
        <w:rPr>
          <w:rFonts w:asciiTheme="majorBidi" w:hAnsiTheme="majorBidi" w:cstheme="majorBidi"/>
          <w:color w:val="000000" w:themeColor="text1"/>
        </w:rPr>
        <w:t xml:space="preserve"> </w:t>
      </w:r>
      <w:r w:rsidR="00B56764" w:rsidRPr="00D65810">
        <w:rPr>
          <w:rFonts w:asciiTheme="majorBidi" w:hAnsiTheme="majorBidi" w:cstheme="majorBidi"/>
          <w:color w:val="000000" w:themeColor="text1"/>
        </w:rPr>
        <w:t>au cours des 12 prochains mois,</w:t>
      </w:r>
      <w:r w:rsidR="001D3E54" w:rsidRPr="00D65810">
        <w:rPr>
          <w:rFonts w:asciiTheme="majorBidi" w:hAnsiTheme="majorBidi" w:cstheme="majorBidi"/>
          <w:color w:val="000000" w:themeColor="text1"/>
        </w:rPr>
        <w:t>20,3</w:t>
      </w:r>
      <w:r w:rsidR="00D61D3A" w:rsidRPr="00D65810">
        <w:rPr>
          <w:rFonts w:asciiTheme="majorBidi" w:hAnsiTheme="majorBidi" w:cstheme="majorBidi"/>
          <w:color w:val="000000" w:themeColor="text1"/>
        </w:rPr>
        <w:t xml:space="preserve">% </w:t>
      </w:r>
      <w:r w:rsidR="00A5145B" w:rsidRPr="00D65810">
        <w:rPr>
          <w:rFonts w:asciiTheme="majorBidi" w:hAnsiTheme="majorBidi" w:cstheme="majorBidi"/>
          <w:color w:val="000000" w:themeColor="text1"/>
        </w:rPr>
        <w:t xml:space="preserve">des ménages s’attendent à une amélioration de leur situation financière, </w:t>
      </w:r>
      <w:r w:rsidR="001D3E54" w:rsidRPr="00D65810">
        <w:rPr>
          <w:rFonts w:asciiTheme="majorBidi" w:hAnsiTheme="majorBidi" w:cstheme="majorBidi"/>
          <w:color w:val="000000" w:themeColor="text1"/>
        </w:rPr>
        <w:t>54,8</w:t>
      </w:r>
      <w:r w:rsidR="00A5145B" w:rsidRPr="00D65810">
        <w:rPr>
          <w:rFonts w:asciiTheme="majorBidi" w:hAnsiTheme="majorBidi" w:cstheme="majorBidi"/>
          <w:color w:val="000000" w:themeColor="text1"/>
        </w:rPr>
        <w:t xml:space="preserve">% à un maintien au même niveau et </w:t>
      </w:r>
      <w:r w:rsidR="001D3E54" w:rsidRPr="00D65810">
        <w:rPr>
          <w:rFonts w:asciiTheme="majorBidi" w:hAnsiTheme="majorBidi" w:cstheme="majorBidi"/>
          <w:color w:val="000000" w:themeColor="text1"/>
        </w:rPr>
        <w:t>24,9</w:t>
      </w:r>
      <w:r w:rsidR="00D61D3A" w:rsidRPr="00D65810">
        <w:rPr>
          <w:rFonts w:asciiTheme="majorBidi" w:hAnsiTheme="majorBidi" w:cstheme="majorBidi"/>
          <w:color w:val="000000" w:themeColor="text1"/>
        </w:rPr>
        <w:t>%</w:t>
      </w:r>
      <w:r w:rsidR="00A5145B" w:rsidRPr="00D65810">
        <w:rPr>
          <w:rFonts w:asciiTheme="majorBidi" w:hAnsiTheme="majorBidi" w:cstheme="majorBidi"/>
          <w:color w:val="000000" w:themeColor="text1"/>
        </w:rPr>
        <w:t xml:space="preserve"> à une dégradation</w:t>
      </w:r>
      <w:r w:rsidR="00F45C72" w:rsidRPr="00D65810">
        <w:rPr>
          <w:rFonts w:asciiTheme="majorBidi" w:hAnsiTheme="majorBidi" w:cstheme="majorBidi"/>
          <w:color w:val="000000" w:themeColor="text1"/>
        </w:rPr>
        <w:t xml:space="preserve">. </w:t>
      </w:r>
      <w:r w:rsidR="00AB3BAE" w:rsidRPr="00D65810">
        <w:rPr>
          <w:rFonts w:asciiTheme="majorBidi" w:hAnsiTheme="majorBidi" w:cstheme="majorBidi"/>
          <w:color w:val="000000" w:themeColor="text1"/>
        </w:rPr>
        <w:t xml:space="preserve">Le solde d’opinion de cet indicateur est resté négatif </w:t>
      </w:r>
      <w:r w:rsidR="001D3E54" w:rsidRPr="00D65810">
        <w:rPr>
          <w:rFonts w:asciiTheme="majorBidi" w:hAnsiTheme="majorBidi" w:cstheme="majorBidi"/>
          <w:color w:val="000000" w:themeColor="text1"/>
        </w:rPr>
        <w:t>à</w:t>
      </w:r>
      <w:r w:rsidR="00AB3BAE" w:rsidRPr="00D65810">
        <w:rPr>
          <w:rFonts w:asciiTheme="majorBidi" w:hAnsiTheme="majorBidi" w:cstheme="majorBidi"/>
          <w:color w:val="000000" w:themeColor="text1"/>
        </w:rPr>
        <w:t xml:space="preserve"> moins </w:t>
      </w:r>
      <w:r w:rsidR="001D3E54" w:rsidRPr="00D65810">
        <w:rPr>
          <w:rFonts w:asciiTheme="majorBidi" w:hAnsiTheme="majorBidi" w:cstheme="majorBidi"/>
          <w:color w:val="000000" w:themeColor="text1"/>
        </w:rPr>
        <w:t>4,6</w:t>
      </w:r>
      <w:r w:rsidR="005B321C">
        <w:rPr>
          <w:rFonts w:asciiTheme="majorBidi" w:hAnsiTheme="majorBidi" w:cstheme="majorBidi"/>
          <w:color w:val="000000" w:themeColor="text1"/>
        </w:rPr>
        <w:t xml:space="preserve"> </w:t>
      </w:r>
      <w:r w:rsidR="00AB3BAE" w:rsidRPr="00D65810">
        <w:rPr>
          <w:rFonts w:asciiTheme="majorBidi" w:hAnsiTheme="majorBidi" w:cstheme="majorBidi"/>
          <w:color w:val="000000" w:themeColor="text1"/>
        </w:rPr>
        <w:t xml:space="preserve">points  </w:t>
      </w:r>
      <w:r w:rsidR="001D3E54" w:rsidRPr="00D65810">
        <w:rPr>
          <w:rFonts w:asciiTheme="majorBidi" w:hAnsiTheme="majorBidi" w:cstheme="majorBidi"/>
          <w:color w:val="000000" w:themeColor="text1"/>
        </w:rPr>
        <w:t>contre</w:t>
      </w:r>
      <w:r w:rsidR="00AB3BAE" w:rsidRPr="00D65810">
        <w:rPr>
          <w:rFonts w:asciiTheme="majorBidi" w:hAnsiTheme="majorBidi" w:cstheme="majorBidi"/>
          <w:color w:val="000000" w:themeColor="text1"/>
        </w:rPr>
        <w:t xml:space="preserve"> moins </w:t>
      </w:r>
      <w:r w:rsidR="001D3E54" w:rsidRPr="00D65810">
        <w:rPr>
          <w:rFonts w:asciiTheme="majorBidi" w:hAnsiTheme="majorBidi" w:cstheme="majorBidi"/>
          <w:color w:val="000000" w:themeColor="text1"/>
        </w:rPr>
        <w:t>6,1</w:t>
      </w:r>
      <w:r w:rsidR="00AB3BAE" w:rsidRPr="00D65810">
        <w:rPr>
          <w:rFonts w:asciiTheme="majorBidi" w:hAnsiTheme="majorBidi" w:cstheme="majorBidi"/>
          <w:color w:val="000000" w:themeColor="text1"/>
        </w:rPr>
        <w:t xml:space="preserve"> points </w:t>
      </w:r>
      <w:r w:rsidR="001D3E54" w:rsidRPr="00D65810">
        <w:rPr>
          <w:rFonts w:asciiTheme="majorBidi" w:hAnsiTheme="majorBidi" w:cstheme="majorBidi"/>
          <w:color w:val="000000" w:themeColor="text1"/>
        </w:rPr>
        <w:t xml:space="preserve">au trimestre précédent </w:t>
      </w:r>
      <w:r w:rsidR="00AB3BAE" w:rsidRPr="00D65810">
        <w:rPr>
          <w:rFonts w:asciiTheme="majorBidi" w:hAnsiTheme="majorBidi" w:cstheme="majorBidi"/>
          <w:color w:val="000000" w:themeColor="text1"/>
        </w:rPr>
        <w:t xml:space="preserve">et à moins </w:t>
      </w:r>
      <w:r w:rsidR="001D3E54" w:rsidRPr="00D65810">
        <w:rPr>
          <w:rFonts w:asciiTheme="majorBidi" w:hAnsiTheme="majorBidi" w:cstheme="majorBidi"/>
          <w:color w:val="000000" w:themeColor="text1"/>
        </w:rPr>
        <w:t>5,9</w:t>
      </w:r>
      <w:r w:rsidR="00AB3BAE" w:rsidRPr="00D65810">
        <w:rPr>
          <w:rFonts w:asciiTheme="majorBidi" w:hAnsiTheme="majorBidi" w:cstheme="majorBidi"/>
          <w:color w:val="000000" w:themeColor="text1"/>
        </w:rPr>
        <w:t xml:space="preserve"> points </w:t>
      </w:r>
      <w:r w:rsidR="001D3E54" w:rsidRPr="00D65810">
        <w:rPr>
          <w:rFonts w:asciiTheme="majorBidi" w:hAnsiTheme="majorBidi" w:cstheme="majorBidi"/>
          <w:color w:val="000000" w:themeColor="text1"/>
        </w:rPr>
        <w:t>au même trimestre de l’année précédente</w:t>
      </w:r>
      <w:r w:rsidR="00AB3BAE" w:rsidRPr="00D65810">
        <w:rPr>
          <w:rFonts w:asciiTheme="majorBidi" w:hAnsiTheme="majorBidi" w:cstheme="majorBidi"/>
          <w:color w:val="000000" w:themeColor="text1"/>
        </w:rPr>
        <w:t xml:space="preserve">. </w:t>
      </w:r>
    </w:p>
    <w:p w:rsidR="00B6552D" w:rsidRPr="00D65810" w:rsidRDefault="00B6552D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FC470E" w:rsidRPr="00D65810" w:rsidRDefault="002830E2" w:rsidP="003B356E">
      <w:pPr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</w:rPr>
        <w:t xml:space="preserve">Graphique 5 : Perception par les ménages de leurs situations financières (soldes d'opinions) </w:t>
      </w:r>
    </w:p>
    <w:p w:rsidR="00EB147E" w:rsidRPr="00D65810" w:rsidRDefault="009F1748" w:rsidP="003B356E">
      <w:pPr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972810" cy="3371850"/>
            <wp:effectExtent l="19050" t="0" r="27940" b="0"/>
            <wp:docPr id="6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830E2" w:rsidRPr="00D65810" w:rsidRDefault="002830E2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EE0F05" w:rsidRPr="00D65810" w:rsidRDefault="00EE0F05" w:rsidP="003B356E">
      <w:pPr>
        <w:widowControl/>
        <w:spacing w:before="240" w:line="276" w:lineRule="auto"/>
        <w:jc w:val="center"/>
        <w:rPr>
          <w:rFonts w:asciiTheme="majorBidi" w:hAnsiTheme="majorBidi" w:cstheme="majorBidi"/>
          <w:noProof/>
          <w:color w:val="000000" w:themeColor="text1"/>
        </w:rPr>
      </w:pPr>
    </w:p>
    <w:p w:rsidR="000E21A1" w:rsidRPr="00D65810" w:rsidRDefault="000E21A1" w:rsidP="003B356E">
      <w:pPr>
        <w:pStyle w:val="Paragraphedeliste"/>
        <w:numPr>
          <w:ilvl w:val="0"/>
          <w:numId w:val="9"/>
        </w:numPr>
        <w:ind w:left="284" w:hanging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Evolution d’autres indicateurs </w:t>
      </w:r>
      <w:r w:rsidR="005D5DB2"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trimestriels </w:t>
      </w:r>
      <w:r w:rsidR="00D75C4F" w:rsidRPr="00D6581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 la conjoncture</w:t>
      </w:r>
    </w:p>
    <w:p w:rsidR="00345EE0" w:rsidRPr="00D65810" w:rsidRDefault="00D52D57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t>L’enquête fournit également des données trimestrielles sur l</w:t>
      </w:r>
      <w:r w:rsidR="001F7D34" w:rsidRPr="00D65810">
        <w:rPr>
          <w:rFonts w:asciiTheme="majorBidi" w:hAnsiTheme="majorBidi" w:cstheme="majorBidi"/>
          <w:color w:val="000000" w:themeColor="text1"/>
        </w:rPr>
        <w:t xml:space="preserve">a </w:t>
      </w:r>
      <w:r w:rsidRPr="00D65810">
        <w:rPr>
          <w:rFonts w:asciiTheme="majorBidi" w:hAnsiTheme="majorBidi" w:cstheme="majorBidi"/>
          <w:color w:val="000000" w:themeColor="text1"/>
        </w:rPr>
        <w:t xml:space="preserve">perception des ménages relatives à d’autres aspects des conditions de vie. Il s’agit en particulier de la </w:t>
      </w:r>
      <w:r w:rsidR="001F7D34" w:rsidRPr="00D65810">
        <w:rPr>
          <w:rFonts w:asciiTheme="majorBidi" w:hAnsiTheme="majorBidi" w:cstheme="majorBidi"/>
          <w:color w:val="000000" w:themeColor="text1"/>
        </w:rPr>
        <w:t>capacité des ménages à épargner et</w:t>
      </w:r>
      <w:r w:rsidR="00D36B4B">
        <w:rPr>
          <w:rFonts w:asciiTheme="majorBidi" w:hAnsiTheme="majorBidi" w:cstheme="majorBidi"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color w:val="000000" w:themeColor="text1"/>
        </w:rPr>
        <w:t xml:space="preserve">de </w:t>
      </w:r>
      <w:r w:rsidR="001F7D34" w:rsidRPr="00D65810">
        <w:rPr>
          <w:rFonts w:asciiTheme="majorBidi" w:hAnsiTheme="majorBidi" w:cstheme="majorBidi"/>
          <w:color w:val="000000" w:themeColor="text1"/>
        </w:rPr>
        <w:t xml:space="preserve"> l’évolution des prix des produits alimentaires</w:t>
      </w:r>
      <w:r w:rsidR="0071373B" w:rsidRPr="00D65810">
        <w:rPr>
          <w:rFonts w:asciiTheme="majorBidi" w:hAnsiTheme="majorBidi" w:cstheme="majorBidi"/>
          <w:color w:val="000000" w:themeColor="text1"/>
        </w:rPr>
        <w:t xml:space="preserve">. </w:t>
      </w:r>
    </w:p>
    <w:p w:rsidR="004E7B02" w:rsidRPr="00D65810" w:rsidRDefault="004E7B02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3B356E" w:rsidRPr="00D65810" w:rsidRDefault="003B356E" w:rsidP="003B356E">
      <w:pPr>
        <w:widowControl/>
        <w:tabs>
          <w:tab w:val="left" w:pos="709"/>
        </w:tabs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277499" w:rsidRPr="00D65810" w:rsidRDefault="00064654" w:rsidP="003B356E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65810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 xml:space="preserve">Capacité future à épargner : Perceptions </w:t>
      </w:r>
      <w:r w:rsidR="00B6552D" w:rsidRPr="00D65810">
        <w:rPr>
          <w:rFonts w:asciiTheme="majorBidi" w:hAnsiTheme="majorBidi" w:cstheme="majorBidi"/>
          <w:b/>
          <w:bCs/>
          <w:color w:val="000000"/>
          <w:sz w:val="24"/>
          <w:szCs w:val="24"/>
        </w:rPr>
        <w:t>négatives</w:t>
      </w:r>
    </w:p>
    <w:p w:rsidR="001161F3" w:rsidRPr="00D65810" w:rsidRDefault="001161F3" w:rsidP="003B356E">
      <w:pPr>
        <w:pStyle w:val="Paragraphedeliste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8450B0" w:rsidRPr="00D65810" w:rsidRDefault="00AE5641" w:rsidP="003B356E">
      <w:pPr>
        <w:pStyle w:val="Paragraphedeliste"/>
        <w:spacing w:before="240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Au </w:t>
      </w:r>
      <w:r w:rsidR="006860E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troisième trimestre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0736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C1BAB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2023</w:t>
      </w:r>
      <w:r w:rsidR="00D72CF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,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B9017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9,8</w:t>
      </w:r>
      <w:r w:rsidR="00D61D3A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256C0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contre </w:t>
      </w:r>
      <w:r w:rsidR="00B9017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90,2</w:t>
      </w:r>
      <w:r w:rsidR="00D61D3A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DE048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des ménages</w:t>
      </w:r>
      <w:r w:rsidR="00D36B4B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153FC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s’attendent à </w:t>
      </w:r>
      <w:r w:rsidR="00511C5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épargner au cours des 12 prochains </w:t>
      </w:r>
      <w:r w:rsidR="0005706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mois</w:t>
      </w:r>
      <w:r w:rsidR="008450B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.</w:t>
      </w:r>
      <w:r w:rsidR="0053493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8450B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Le solde d’opinion sur l</w:t>
      </w:r>
      <w:r w:rsidR="0099476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 capacité future des ménages à épargner </w:t>
      </w:r>
      <w:r w:rsidR="008450B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est resté négatif et atteint son niveau le plus bas avec moins </w:t>
      </w:r>
      <w:r w:rsidR="00B9017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80,4</w:t>
      </w:r>
      <w:r w:rsidR="008450B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points, contre moins </w:t>
      </w:r>
      <w:r w:rsidR="00B9017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79,4 </w:t>
      </w:r>
      <w:r w:rsidR="008450B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points </w:t>
      </w:r>
      <w:r w:rsidR="00ED4C66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au trimestre</w:t>
      </w:r>
      <w:r w:rsidR="008450B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précédent et moins </w:t>
      </w:r>
      <w:r w:rsidR="00B6552D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78</w:t>
      </w:r>
      <w:r w:rsidR="00B9017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,0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8450B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 au même trimestre de l’année passée.</w:t>
      </w:r>
    </w:p>
    <w:p w:rsidR="00570C0E" w:rsidRPr="00D65810" w:rsidRDefault="00570C0E" w:rsidP="003B356E">
      <w:pPr>
        <w:pStyle w:val="Paragraphedeliste"/>
        <w:spacing w:before="240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</w:p>
    <w:p w:rsidR="00570C0E" w:rsidRPr="00D65810" w:rsidRDefault="0055446F" w:rsidP="003B356E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65810">
        <w:rPr>
          <w:rFonts w:asciiTheme="majorBidi" w:hAnsiTheme="majorBidi" w:cstheme="majorBidi"/>
          <w:b/>
          <w:bCs/>
          <w:color w:val="000000"/>
          <w:sz w:val="24"/>
          <w:szCs w:val="24"/>
        </w:rPr>
        <w:t>Prix des produits alimentaires : Attente d’une hausse moins prononcée</w:t>
      </w:r>
    </w:p>
    <w:p w:rsidR="00B6552D" w:rsidRPr="00D65810" w:rsidRDefault="00B6552D" w:rsidP="003B356E">
      <w:pPr>
        <w:pStyle w:val="Paragraphedeliste"/>
        <w:spacing w:before="240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eastAsia="fr-FR"/>
        </w:rPr>
      </w:pPr>
    </w:p>
    <w:p w:rsidR="00B626B3" w:rsidRPr="00D65810" w:rsidRDefault="00CE443B" w:rsidP="00BA7515">
      <w:pPr>
        <w:pStyle w:val="Paragraphedeliste"/>
        <w:spacing w:before="240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Au </w:t>
      </w:r>
      <w:r w:rsidR="006860E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troisième trimestre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0736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C1BAB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2023</w:t>
      </w:r>
      <w:r w:rsidR="00985AB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, </w:t>
      </w:r>
      <w:r w:rsidR="00CE5F9D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la quasi-totalité des ménages (</w:t>
      </w:r>
      <w:r w:rsidR="004F631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98,</w:t>
      </w:r>
      <w:r w:rsidR="00B9017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0</w:t>
      </w:r>
      <w:r w:rsidR="003B3D4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%</w:t>
      </w:r>
      <w:r w:rsidR="00CE5F9D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)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F72D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déclarent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A644C5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que les prix des produits alimentaires ont augmenté</w:t>
      </w:r>
      <w:r w:rsidR="00D36B4B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A013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au cours des </w:t>
      </w:r>
      <w:r w:rsidR="00E009EE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12 derniers mois</w:t>
      </w:r>
      <w:r w:rsidR="00D36B4B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27BBA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contre une proportion minime des ménages (</w:t>
      </w:r>
      <w:r w:rsidR="004F631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0,1</w:t>
      </w:r>
      <w:r w:rsidR="003B3D4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%</w:t>
      </w:r>
      <w:r w:rsidR="0060147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)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27BBA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qui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F72D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ressentent leur</w:t>
      </w:r>
      <w:r w:rsidR="00932455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diminution</w:t>
      </w:r>
      <w:r w:rsidR="00D77F2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. </w:t>
      </w:r>
      <w:r w:rsidR="00B626B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Le solde d’opinion est resté ainsi négatif à moins </w:t>
      </w:r>
      <w:r w:rsidR="00B9017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97,9</w:t>
      </w:r>
      <w:r w:rsidR="00B626B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points, au lieu de moins </w:t>
      </w:r>
      <w:r w:rsidR="00B9017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98,0 </w:t>
      </w:r>
      <w:r w:rsidR="00B626B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 un trimestre auparavant et moins 99,1 un an auparavant.</w:t>
      </w:r>
    </w:p>
    <w:p w:rsidR="00700125" w:rsidRPr="00D65810" w:rsidRDefault="00700125" w:rsidP="003B356E">
      <w:pPr>
        <w:pStyle w:val="Paragraphedeliste"/>
        <w:spacing w:before="240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</w:p>
    <w:p w:rsidR="00B6552D" w:rsidRPr="00D65810" w:rsidRDefault="00EB605E" w:rsidP="003B356E">
      <w:pPr>
        <w:pStyle w:val="Paragraphedeliste"/>
        <w:spacing w:before="240"/>
        <w:ind w:left="0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Quant à l’évolution des prix des produits alimentaires a</w:t>
      </w:r>
      <w:r w:rsidR="004153FC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u cours des 12 prochains mois, </w:t>
      </w:r>
      <w:r w:rsidR="004F631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72,</w:t>
      </w:r>
      <w:r w:rsidR="00C91FF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1</w:t>
      </w:r>
      <w:r w:rsidR="00CE5F9D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des ménages s’attendent à une augmentation, </w:t>
      </w:r>
      <w:r w:rsidR="004F6318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22,</w:t>
      </w:r>
      <w:r w:rsidR="00C91FF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0</w:t>
      </w:r>
      <w:r w:rsidR="00CE5F9D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% à un maintien au même niveau</w:t>
      </w:r>
      <w:r w:rsidR="001161F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et </w:t>
      </w:r>
      <w:r w:rsidR="00C91FF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5,9</w:t>
      </w:r>
      <w:r w:rsidR="003B3D4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1161F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seulement à une diminution.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40BE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L</w:t>
      </w:r>
      <w:r w:rsidR="00376AC0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e </w:t>
      </w:r>
      <w:r w:rsidR="00EA013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solde d’opinion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2A1529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est resté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1161F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ainsi </w:t>
      </w:r>
      <w:r w:rsidR="002A1529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négatif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2A1529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à</w:t>
      </w:r>
      <w:r w:rsidR="00EA79FB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moins </w:t>
      </w:r>
      <w:r w:rsidR="00C91FF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66,2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11BC9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</w:t>
      </w:r>
      <w:r w:rsidR="00F933F4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, </w:t>
      </w:r>
      <w:r w:rsidR="00E1790A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au lieu de</w:t>
      </w:r>
      <w:r w:rsidR="00540BE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moins </w:t>
      </w:r>
      <w:r w:rsidR="00C91FF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67,7 </w:t>
      </w:r>
      <w:r w:rsidR="00540BE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points </w:t>
      </w:r>
      <w:r w:rsidR="00E1790A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un trimestre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FA52F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auparavant</w:t>
      </w:r>
      <w:r w:rsidR="00CB5DC1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et moins </w:t>
      </w:r>
      <w:r w:rsidR="00C91FFF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73,6</w:t>
      </w:r>
      <w:r w:rsidR="005B321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1161F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un</w:t>
      </w:r>
      <w:r w:rsidR="00CB5DC1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an</w:t>
      </w:r>
      <w:r w:rsidR="001161F3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auparavant</w:t>
      </w:r>
      <w:r w:rsidR="00540BE7" w:rsidRPr="00D6581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.</w:t>
      </w:r>
    </w:p>
    <w:p w:rsidR="00527651" w:rsidRPr="00D65810" w:rsidRDefault="002830E2" w:rsidP="003B356E">
      <w:pPr>
        <w:spacing w:before="240" w:line="276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</w:rPr>
        <w:t>Graphique 6 :</w:t>
      </w:r>
      <w:r w:rsidR="00F86C20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D65810">
        <w:rPr>
          <w:rFonts w:asciiTheme="majorBidi" w:hAnsiTheme="majorBidi" w:cstheme="majorBidi"/>
          <w:b/>
          <w:bCs/>
          <w:color w:val="000000" w:themeColor="text1"/>
        </w:rPr>
        <w:t xml:space="preserve">Perception par les ménages des évolutions passée et future des prix des produits alimentaires (soldes d'opinions) </w:t>
      </w:r>
    </w:p>
    <w:p w:rsidR="00FC470E" w:rsidRPr="00D65810" w:rsidRDefault="009F1748" w:rsidP="003B356E">
      <w:pPr>
        <w:spacing w:before="24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65810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381750" cy="3536950"/>
            <wp:effectExtent l="19050" t="0" r="19050" b="6350"/>
            <wp:docPr id="7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30E2" w:rsidRPr="00D65810" w:rsidRDefault="002830E2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B71388" w:rsidRPr="00D65810" w:rsidRDefault="00B71388" w:rsidP="003B356E">
      <w:pPr>
        <w:spacing w:line="276" w:lineRule="auto"/>
        <w:rPr>
          <w:rFonts w:asciiTheme="majorBidi" w:hAnsiTheme="majorBidi" w:cstheme="majorBidi"/>
          <w:color w:val="000000" w:themeColor="text1"/>
          <w:rtl/>
        </w:rPr>
      </w:pPr>
    </w:p>
    <w:p w:rsidR="003B356E" w:rsidRPr="00D65810" w:rsidRDefault="003B356E" w:rsidP="003B356E">
      <w:pPr>
        <w:spacing w:line="276" w:lineRule="auto"/>
        <w:rPr>
          <w:rFonts w:asciiTheme="majorBidi" w:hAnsiTheme="majorBidi" w:cstheme="majorBidi"/>
          <w:color w:val="000000" w:themeColor="text1"/>
        </w:rPr>
      </w:pPr>
    </w:p>
    <w:p w:rsidR="00B71388" w:rsidRPr="00D65810" w:rsidRDefault="00B71388" w:rsidP="003B356E">
      <w:pPr>
        <w:spacing w:line="276" w:lineRule="auto"/>
        <w:rPr>
          <w:rFonts w:asciiTheme="majorBidi" w:hAnsiTheme="majorBidi" w:cstheme="majorBidi"/>
          <w:color w:val="000000" w:themeColor="text1"/>
        </w:rPr>
      </w:pPr>
    </w:p>
    <w:p w:rsidR="00B71388" w:rsidRPr="00D65810" w:rsidRDefault="00B71388" w:rsidP="003B356E">
      <w:pPr>
        <w:spacing w:line="276" w:lineRule="auto"/>
        <w:rPr>
          <w:rFonts w:asciiTheme="majorBidi" w:hAnsiTheme="majorBidi" w:cstheme="majorBidi"/>
          <w:color w:val="000000" w:themeColor="text1"/>
        </w:rPr>
      </w:pPr>
    </w:p>
    <w:p w:rsidR="00B71388" w:rsidRPr="00D65810" w:rsidRDefault="00B71388" w:rsidP="003B356E">
      <w:pPr>
        <w:spacing w:line="276" w:lineRule="auto"/>
        <w:rPr>
          <w:rFonts w:asciiTheme="majorBidi" w:hAnsiTheme="majorBidi" w:cstheme="majorBidi"/>
          <w:color w:val="000000" w:themeColor="text1"/>
        </w:rPr>
      </w:pPr>
    </w:p>
    <w:p w:rsidR="003A0725" w:rsidRPr="00D65810" w:rsidRDefault="00C72318" w:rsidP="003B356E">
      <w:pPr>
        <w:spacing w:line="276" w:lineRule="auto"/>
        <w:rPr>
          <w:rFonts w:asciiTheme="majorBidi" w:hAnsiTheme="majorBidi" w:cstheme="majorBidi"/>
          <w:color w:val="000000" w:themeColor="text1"/>
        </w:rPr>
      </w:pPr>
      <w:r w:rsidRPr="00D65810">
        <w:rPr>
          <w:rFonts w:asciiTheme="majorBidi" w:hAnsiTheme="majorBidi" w:cstheme="majorBidi"/>
          <w:color w:val="000000" w:themeColor="text1"/>
        </w:rPr>
        <w:lastRenderedPageBreak/>
        <w:t>Ci-joint les détails des différents indicateurs et un rappel des principaux concepts.</w:t>
      </w:r>
    </w:p>
    <w:tbl>
      <w:tblPr>
        <w:tblpPr w:leftFromText="141" w:rightFromText="141" w:vertAnchor="text" w:horzAnchor="margin" w:tblpY="289"/>
        <w:tblW w:w="9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10"/>
      </w:tblGrid>
      <w:tr w:rsidR="003A0725" w:rsidRPr="00D65810" w:rsidTr="00287AFB">
        <w:trPr>
          <w:trHeight w:val="8046"/>
        </w:trPr>
        <w:tc>
          <w:tcPr>
            <w:tcW w:w="9910" w:type="dxa"/>
          </w:tcPr>
          <w:p w:rsidR="000013E4" w:rsidRPr="00D65810" w:rsidRDefault="000013E4" w:rsidP="003B356E">
            <w:pPr>
              <w:spacing w:line="276" w:lineRule="auto"/>
              <w:ind w:left="36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</w:pPr>
          </w:p>
          <w:p w:rsidR="00C51B7C" w:rsidRPr="00D65810" w:rsidRDefault="00C51B7C" w:rsidP="003B356E">
            <w:pPr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Les évolutions des composantes de l’ICM et des autres indicateurs de l’enquête, illustrées dans les graphiques, sont exprimées en termes de soldes d'opinions</w:t>
            </w:r>
          </w:p>
          <w:p w:rsidR="000013E4" w:rsidRPr="00D65810" w:rsidRDefault="000013E4" w:rsidP="003B356E">
            <w:pPr>
              <w:spacing w:line="276" w:lineRule="auto"/>
              <w:ind w:left="36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  <w:p w:rsidR="003A0725" w:rsidRPr="00D65810" w:rsidRDefault="003A0725" w:rsidP="003B356E">
            <w:pPr>
              <w:spacing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</w:rPr>
              <w:br w:type="page"/>
            </w: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Rappelons</w:t>
            </w:r>
            <w:r w:rsidR="00C51B7C"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, par ailleurs, </w:t>
            </w: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que :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les questions abordées sont qualitatives à 3 modalités (amélioratio</w:t>
            </w:r>
            <w:r w:rsidR="00D72CF7"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n, stagnation et</w:t>
            </w: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détérioration). Les évolutions se réfèrent à une période de 12 mois. Les résultats sont présentés sous forme de soldes (différence entre les pourcentages des réponses « amélioration » et des réponses «détérioration»). Le niveau des soldes n’est pas directement interprétable, c’est leur évolution qui est analysée. 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L’Indice de Confiance des Ménages (ICM) est calculé sur la base de sept indicateurs, quatre relatifs à la situation générale et trois à la situation propre du ménage :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évolution  passée du niveau de vie ;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perspective d'évolution du niveau de vie ;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perspective d'évolution du nombre de chômeurs ;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opportunité d'achat de biens durables;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situation</w:t>
            </w:r>
            <w:r w:rsidR="00D36B4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financière actuelle des ménages ;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évolution</w:t>
            </w:r>
            <w:r w:rsidR="00D36B4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passée de la situation financière des ménages ;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3"/>
              </w:numPr>
              <w:spacing w:after="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évolution</w:t>
            </w:r>
            <w:r w:rsidR="00D36B4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future de la situation financière des ménages.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L’ICM est la moyenne arithmétique simple des soldes des 7 indicateurs, augmentée de 100, sa valeur varie ainsi de 0 à 200.</w:t>
            </w:r>
          </w:p>
          <w:p w:rsidR="003A0725" w:rsidRPr="00D65810" w:rsidRDefault="003A0725" w:rsidP="003B356E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Des tests statistiques de Fisher sur la série de l’indice de confiance des ménages</w:t>
            </w:r>
            <w:r w:rsidR="00B67B3D"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durant</w:t>
            </w: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la période allant de 2008 à 201</w:t>
            </w:r>
            <w:r w:rsidR="00B67B3D"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</w:t>
            </w: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 ont confirmé l’absence des variations saisonnières stables et mobiles.</w:t>
            </w:r>
          </w:p>
          <w:p w:rsidR="003A0725" w:rsidRPr="00D65810" w:rsidRDefault="003A0725" w:rsidP="003B356E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65810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Pour plus d’informations sur les aspects méthodologiques de cette enquête, consulter le site web du HCP au  </w:t>
            </w:r>
            <w:hyperlink r:id="rId14" w:history="1">
              <w:r w:rsidRPr="00D65810">
                <w:rPr>
                  <w:rStyle w:val="Lienhypertexte"/>
                  <w:rFonts w:asciiTheme="majorBidi" w:hAnsiTheme="majorBidi" w:cstheme="majorBidi"/>
                  <w:color w:val="000000" w:themeColor="text1"/>
                  <w:sz w:val="20"/>
                  <w:szCs w:val="20"/>
                </w:rPr>
                <w:t>www.hcp.ma</w:t>
              </w:r>
            </w:hyperlink>
          </w:p>
        </w:tc>
      </w:tr>
    </w:tbl>
    <w:p w:rsidR="001F5970" w:rsidRPr="00D65810" w:rsidRDefault="001F5970" w:rsidP="003B356E">
      <w:pPr>
        <w:spacing w:line="276" w:lineRule="auto"/>
        <w:rPr>
          <w:rFonts w:asciiTheme="majorBidi" w:hAnsiTheme="majorBidi" w:cstheme="majorBidi"/>
        </w:rPr>
      </w:pPr>
    </w:p>
    <w:p w:rsidR="001F5970" w:rsidRPr="00D65810" w:rsidRDefault="001F5970" w:rsidP="003B356E">
      <w:pPr>
        <w:spacing w:line="276" w:lineRule="auto"/>
        <w:ind w:left="-142"/>
        <w:rPr>
          <w:rFonts w:asciiTheme="majorBidi" w:hAnsiTheme="majorBidi" w:cstheme="majorBidi"/>
          <w:b/>
          <w:color w:val="000000" w:themeColor="text1"/>
          <w:sz w:val="28"/>
          <w:szCs w:val="28"/>
        </w:rPr>
        <w:sectPr w:rsidR="001F5970" w:rsidRPr="00D65810" w:rsidSect="005B1014">
          <w:footerReference w:type="default" r:id="rId15"/>
          <w:pgSz w:w="11906" w:h="16838" w:code="9"/>
          <w:pgMar w:top="1134" w:right="720" w:bottom="720" w:left="1077" w:header="709" w:footer="709" w:gutter="0"/>
          <w:cols w:space="708"/>
          <w:docGrid w:linePitch="360"/>
        </w:sectPr>
      </w:pPr>
    </w:p>
    <w:p w:rsidR="004F42C1" w:rsidRPr="00D65810" w:rsidRDefault="00F80338" w:rsidP="003B356E">
      <w:pPr>
        <w:spacing w:line="276" w:lineRule="auto"/>
        <w:jc w:val="center"/>
        <w:rPr>
          <w:rFonts w:asciiTheme="majorBidi" w:hAnsiTheme="majorBidi" w:cstheme="majorBidi"/>
          <w:b/>
          <w:bCs/>
          <w:color w:val="000000" w:themeColor="text1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</w:rPr>
        <w:lastRenderedPageBreak/>
        <w:t>Evolution</w:t>
      </w:r>
      <w:r w:rsidR="005D5B33" w:rsidRPr="00D65810">
        <w:rPr>
          <w:rFonts w:asciiTheme="majorBidi" w:hAnsiTheme="majorBidi" w:cstheme="majorBidi"/>
          <w:b/>
          <w:bCs/>
          <w:color w:val="000000" w:themeColor="text1"/>
        </w:rPr>
        <w:t xml:space="preserve"> de l’I</w:t>
      </w:r>
      <w:r w:rsidR="00C35BF2" w:rsidRPr="00D65810">
        <w:rPr>
          <w:rFonts w:asciiTheme="majorBidi" w:hAnsiTheme="majorBidi" w:cstheme="majorBidi"/>
          <w:b/>
          <w:bCs/>
          <w:color w:val="000000" w:themeColor="text1"/>
        </w:rPr>
        <w:t xml:space="preserve">ndice de </w:t>
      </w:r>
      <w:r w:rsidR="005D5B33" w:rsidRPr="00D65810">
        <w:rPr>
          <w:rFonts w:asciiTheme="majorBidi" w:hAnsiTheme="majorBidi" w:cstheme="majorBidi"/>
          <w:b/>
          <w:bCs/>
          <w:color w:val="000000" w:themeColor="text1"/>
        </w:rPr>
        <w:t>C</w:t>
      </w:r>
      <w:r w:rsidR="00C35BF2" w:rsidRPr="00D65810">
        <w:rPr>
          <w:rFonts w:asciiTheme="majorBidi" w:hAnsiTheme="majorBidi" w:cstheme="majorBidi"/>
          <w:b/>
          <w:bCs/>
          <w:color w:val="000000" w:themeColor="text1"/>
        </w:rPr>
        <w:t xml:space="preserve">onfiance des </w:t>
      </w:r>
      <w:r w:rsidR="005D5B33" w:rsidRPr="00D65810">
        <w:rPr>
          <w:rFonts w:asciiTheme="majorBidi" w:hAnsiTheme="majorBidi" w:cstheme="majorBidi"/>
          <w:b/>
          <w:bCs/>
          <w:color w:val="000000" w:themeColor="text1"/>
        </w:rPr>
        <w:t>M</w:t>
      </w:r>
      <w:r w:rsidR="00C35BF2" w:rsidRPr="00D65810">
        <w:rPr>
          <w:rFonts w:asciiTheme="majorBidi" w:hAnsiTheme="majorBidi" w:cstheme="majorBidi"/>
          <w:b/>
          <w:bCs/>
          <w:color w:val="000000" w:themeColor="text1"/>
        </w:rPr>
        <w:t xml:space="preserve">énages  (ICM) </w:t>
      </w:r>
      <w:r w:rsidR="005D5B33" w:rsidRPr="00D65810">
        <w:rPr>
          <w:rFonts w:asciiTheme="majorBidi" w:hAnsiTheme="majorBidi" w:cstheme="majorBidi"/>
          <w:b/>
          <w:bCs/>
          <w:color w:val="000000" w:themeColor="text1"/>
        </w:rPr>
        <w:t>et de ses composantes</w:t>
      </w:r>
    </w:p>
    <w:tbl>
      <w:tblPr>
        <w:tblW w:w="16353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95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07"/>
        <w:gridCol w:w="66"/>
        <w:gridCol w:w="504"/>
      </w:tblGrid>
      <w:tr w:rsidR="0028243A" w:rsidRPr="00D65810" w:rsidTr="005B321C">
        <w:trPr>
          <w:trHeight w:val="234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T1/16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T2/16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T3/16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T4/16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T1/17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T2/17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T3/17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T4/17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T1/18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T2/18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T3/18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T4/18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T1/19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T2/19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T3/19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T4/19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T1/20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T2/20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T3/20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T4/20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T1/21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T2/21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T3/21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T4/21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T1/22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T2/22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T3/22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T4/22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T1/23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T2/23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T</w:t>
            </w:r>
            <w:r w:rsidR="00B11C77"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  <w:rtl/>
              </w:rPr>
              <w:t>3</w:t>
            </w: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/23</w:t>
            </w:r>
          </w:p>
        </w:tc>
      </w:tr>
      <w:tr w:rsidR="0028243A" w:rsidRPr="00D65810" w:rsidTr="005B321C">
        <w:trPr>
          <w:trHeight w:val="65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Indice de Confiance des Ménages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85,8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79,1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74,8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46,5</w:t>
            </w:r>
          </w:p>
        </w:tc>
      </w:tr>
      <w:tr w:rsidR="0028243A" w:rsidRPr="00D65810" w:rsidTr="005B321C">
        <w:trPr>
          <w:trHeight w:val="92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Perspective d'évolution du nombre de chômeur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-67,7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-69,0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-70,6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-66,8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-64,9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-54,3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-59,9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-58,5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-54,5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-61,7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-65,2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-70,0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-75,6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-76,9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-71,8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-71,6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-70,8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-75,2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-82,0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-78,3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-62,2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-69,8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-78,3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-77,6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-82,8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-81,1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-83,5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-79,6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-81,4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-80,4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-81,9</w:t>
            </w:r>
          </w:p>
        </w:tc>
      </w:tr>
      <w:tr w:rsidR="0028243A" w:rsidRPr="00D65810" w:rsidTr="005B321C">
        <w:trPr>
          <w:trHeight w:val="23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 passée du niveau de vie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-22,9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-15,2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-17,4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-17,5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-12,0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-13,3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-15,0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-25,4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-20,2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-20,0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-19,8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-24,8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-35,6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-46,6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-50,5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-50,8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-55,2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-66,8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-73,0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-74,6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-78,0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-81,5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-84,6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-81,5</w:t>
            </w:r>
          </w:p>
        </w:tc>
      </w:tr>
      <w:tr w:rsidR="0028243A" w:rsidRPr="00D65810" w:rsidTr="005B321C">
        <w:trPr>
          <w:trHeight w:val="33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Perspective d'évolution du niveau de vie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-14,2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-11,4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-17,4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-17,4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-21,4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-34,3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-41,6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-43,0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-38,8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-43,7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-41,7</w:t>
            </w:r>
          </w:p>
        </w:tc>
      </w:tr>
      <w:tr w:rsidR="0028243A" w:rsidRPr="00D65810" w:rsidTr="005B321C">
        <w:trPr>
          <w:trHeight w:val="234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Opportunité d'achat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-40,2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-34,8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-40,5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-43,0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-40,0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-28,2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-25,6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-27,2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-25,8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-30,2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-36,8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-36,3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-41,4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-37,7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-29,2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-32,6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-68,0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-63,5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-61,2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-61,6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-65,6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-62,0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-62,8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-66,7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-69,1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-74,0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-70,3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-69,8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-68,9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-71,</w:t>
            </w:r>
            <w:r w:rsidR="009E6E15"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5</w:t>
            </w:r>
          </w:p>
        </w:tc>
      </w:tr>
      <w:tr w:rsidR="0028243A" w:rsidRPr="00D65810" w:rsidTr="005B321C">
        <w:trPr>
          <w:trHeight w:val="33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Situation financière actuelle des ménages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-27,2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-23,0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-25,8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-28,7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-27,8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-25,3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-22,6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-24,4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-25,2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-24,1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-29,7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-28,4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-28,9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-30,8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-29,5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-26,4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-27,7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-30,0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-29,1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-34,4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-38,0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-36,4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-40,4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-43,4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-42,9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-40,9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-42,1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-42,0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-41,4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-40,2</w:t>
            </w:r>
          </w:p>
        </w:tc>
      </w:tr>
      <w:tr w:rsidR="0028243A" w:rsidRPr="00D65810" w:rsidTr="005B321C">
        <w:trPr>
          <w:trHeight w:val="33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 passée de la situation financière des ménages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-27,4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-22,8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-27,0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-33,3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-26,8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-16,6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-14,5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-16,7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-18,1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-15,2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-18,2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-20,7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-21,2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-24,2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-26,0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-22,1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-22,9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-27,0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-34,0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-39,9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-47,4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-50,0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-48,0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-49,0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-50,9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-48,7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-47,7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-53,0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-57,2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-57,3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-53,3</w:t>
            </w:r>
          </w:p>
        </w:tc>
      </w:tr>
      <w:tr w:rsidR="0028243A" w:rsidRPr="00D65810" w:rsidTr="005B321C">
        <w:trPr>
          <w:trHeight w:val="33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 future de la situation financière des ménages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-11,9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-5,2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right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-4,6</w:t>
            </w:r>
          </w:p>
        </w:tc>
      </w:tr>
      <w:tr w:rsidR="004F42C1" w:rsidRPr="00D65810" w:rsidTr="005B321C">
        <w:trPr>
          <w:trHeight w:val="234"/>
        </w:trPr>
        <w:tc>
          <w:tcPr>
            <w:tcW w:w="16353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5B321C" w:rsidRDefault="004F42C1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Autres soldes</w:t>
            </w:r>
          </w:p>
        </w:tc>
      </w:tr>
      <w:tr w:rsidR="0028243A" w:rsidRPr="00D65810" w:rsidTr="005B321C">
        <w:trPr>
          <w:trHeight w:val="33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future des prix des produits alimentaires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-79,3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-77,3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-77,9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-77,3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-77,7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-74,5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-74,0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-79,6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-82,9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-84,0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-82,1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-86,6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-87,5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-86,5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-83,3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-82,2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-82,6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-69,0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-68,1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-64,6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-60,2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-67,6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-70,9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-76,3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-74,1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-74,3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-73,6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-71,8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-69,8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-67,7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-66,</w:t>
            </w:r>
            <w:r w:rsidR="009F7FCF"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2</w:t>
            </w:r>
          </w:p>
        </w:tc>
      </w:tr>
      <w:tr w:rsidR="0028243A" w:rsidRPr="00D65810" w:rsidTr="005B321C">
        <w:trPr>
          <w:trHeight w:val="33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 passée des prix des produits alimentaires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-85,5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-87,9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-87,7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-87,3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-86,8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-86,4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-82,8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-88,5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-86,7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-88,2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-88,1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-90,3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-88,1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-88,9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-83,7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-85,1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-82,8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-67,6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-75,1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-74,7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-74,0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-86,8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-86,9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-95,9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-97,9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-99,1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-99,1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-98,8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-98,7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-98,0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-97,9</w:t>
            </w:r>
          </w:p>
        </w:tc>
      </w:tr>
      <w:tr w:rsidR="0028243A" w:rsidRPr="00D65810" w:rsidTr="005B321C">
        <w:trPr>
          <w:trHeight w:val="33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5B321C" w:rsidRDefault="0028243A" w:rsidP="003B356E">
            <w:pPr>
              <w:widowControl/>
              <w:autoSpaceDE/>
              <w:autoSpaceDN/>
              <w:adjustRightInd/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5B321C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Capacité à épargner des ménages dans les mois à venir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-69,7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-66,5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-67,9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-68,7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-64,1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-59,1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-55,7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-58,6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-54,5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-57,9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-64,6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-63,0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-62,9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-66,6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-64,4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-64,5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-65,8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-70,4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-75,1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-65,8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-60,8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-67,2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-70,4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-69,5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-72,2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-77,3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-78,0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-77,7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-76,1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-79,4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43A" w:rsidRPr="00D65810" w:rsidRDefault="0028243A" w:rsidP="003B356E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asciiTheme="majorBidi" w:hAnsiTheme="majorBidi" w:cstheme="majorBidi"/>
                <w:color w:val="000000"/>
                <w:sz w:val="14"/>
                <w:szCs w:val="14"/>
              </w:rPr>
            </w:pPr>
            <w:r w:rsidRPr="00D65810">
              <w:rPr>
                <w:rFonts w:asciiTheme="majorBidi" w:hAnsiTheme="majorBidi" w:cstheme="majorBidi"/>
                <w:color w:val="000000"/>
                <w:sz w:val="14"/>
                <w:szCs w:val="14"/>
              </w:rPr>
              <w:t>-80,4</w:t>
            </w:r>
          </w:p>
        </w:tc>
      </w:tr>
    </w:tbl>
    <w:p w:rsidR="00A718F2" w:rsidRPr="00D65810" w:rsidRDefault="00DE6C85" w:rsidP="003B356E">
      <w:pPr>
        <w:widowControl/>
        <w:tabs>
          <w:tab w:val="left" w:pos="709"/>
        </w:tabs>
        <w:spacing w:line="276" w:lineRule="auto"/>
        <w:rPr>
          <w:rFonts w:asciiTheme="majorBidi" w:hAnsiTheme="majorBidi" w:cstheme="majorBidi"/>
          <w:color w:val="000000" w:themeColor="text1"/>
          <w:sz w:val="16"/>
          <w:szCs w:val="16"/>
        </w:rPr>
      </w:pPr>
      <w:r w:rsidRPr="00D65810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sectPr w:rsidR="00A718F2" w:rsidRPr="00D65810" w:rsidSect="00A71494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302" w:rsidRDefault="00D95302" w:rsidP="00460705">
      <w:r>
        <w:separator/>
      </w:r>
    </w:p>
  </w:endnote>
  <w:endnote w:type="continuationSeparator" w:id="0">
    <w:p w:rsidR="00D95302" w:rsidRDefault="00D95302" w:rsidP="00460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2132658"/>
      <w:docPartObj>
        <w:docPartGallery w:val="Page Numbers (Bottom of Page)"/>
        <w:docPartUnique/>
      </w:docPartObj>
    </w:sdtPr>
    <w:sdtContent>
      <w:p w:rsidR="007818DB" w:rsidRDefault="00953197">
        <w:pPr>
          <w:pStyle w:val="Pieddepage"/>
          <w:jc w:val="center"/>
        </w:pPr>
        <w:r>
          <w:fldChar w:fldCharType="begin"/>
        </w:r>
        <w:r w:rsidR="00E109EC">
          <w:instrText xml:space="preserve"> PAGE   \* MERGEFORMAT </w:instrText>
        </w:r>
        <w:r>
          <w:fldChar w:fldCharType="separate"/>
        </w:r>
        <w:r w:rsidR="00BF15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18DB" w:rsidRDefault="007818D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302" w:rsidRDefault="00D95302" w:rsidP="00460705">
      <w:r>
        <w:separator/>
      </w:r>
    </w:p>
  </w:footnote>
  <w:footnote w:type="continuationSeparator" w:id="0">
    <w:p w:rsidR="00D95302" w:rsidRDefault="00D95302" w:rsidP="004607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A8E"/>
    <w:multiLevelType w:val="hybridMultilevel"/>
    <w:tmpl w:val="DEAAA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02827"/>
    <w:multiLevelType w:val="hybridMultilevel"/>
    <w:tmpl w:val="651C7EFE"/>
    <w:lvl w:ilvl="0" w:tplc="B100CA10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8056781"/>
    <w:multiLevelType w:val="hybridMultilevel"/>
    <w:tmpl w:val="784EAA80"/>
    <w:lvl w:ilvl="0" w:tplc="6DD295CC">
      <w:start w:val="1"/>
      <w:numFmt w:val="decimal"/>
      <w:lvlText w:val="(%1)"/>
      <w:lvlJc w:val="left"/>
      <w:pPr>
        <w:ind w:left="720" w:hanging="360"/>
      </w:pPr>
      <w:rPr>
        <w:rFonts w:hint="default"/>
        <w:b/>
        <w:vertAlign w:val="superscrip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1432E"/>
    <w:multiLevelType w:val="hybridMultilevel"/>
    <w:tmpl w:val="0CEE6D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A122E6"/>
    <w:multiLevelType w:val="hybridMultilevel"/>
    <w:tmpl w:val="826865B6"/>
    <w:lvl w:ilvl="0" w:tplc="0616EC8E">
      <w:numFmt w:val="bullet"/>
      <w:lvlText w:val="-"/>
      <w:lvlJc w:val="left"/>
      <w:pPr>
        <w:ind w:left="1080" w:hanging="360"/>
      </w:pPr>
      <w:rPr>
        <w:rFonts w:ascii="Book Antiqua" w:eastAsia="Calibri" w:hAnsi="Book Antiqua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932AC5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032A5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51664"/>
    <w:multiLevelType w:val="hybridMultilevel"/>
    <w:tmpl w:val="23060486"/>
    <w:lvl w:ilvl="0" w:tplc="20AE1A2A">
      <w:start w:val="1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CC54CD3"/>
    <w:multiLevelType w:val="hybridMultilevel"/>
    <w:tmpl w:val="0EF07944"/>
    <w:lvl w:ilvl="0" w:tplc="040C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C3212"/>
    <w:multiLevelType w:val="hybridMultilevel"/>
    <w:tmpl w:val="DA9648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45C66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8527B"/>
    <w:multiLevelType w:val="multilevel"/>
    <w:tmpl w:val="61509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43E6100A"/>
    <w:multiLevelType w:val="hybridMultilevel"/>
    <w:tmpl w:val="F000AF92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498D60E8"/>
    <w:multiLevelType w:val="hybridMultilevel"/>
    <w:tmpl w:val="E83A8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55FAE"/>
    <w:multiLevelType w:val="hybridMultilevel"/>
    <w:tmpl w:val="5A8C44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DB559E"/>
    <w:multiLevelType w:val="hybridMultilevel"/>
    <w:tmpl w:val="C6182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D7E0F"/>
    <w:multiLevelType w:val="hybridMultilevel"/>
    <w:tmpl w:val="575CB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D297B"/>
    <w:multiLevelType w:val="hybridMultilevel"/>
    <w:tmpl w:val="054A5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57841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F3FE5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D7D01"/>
    <w:multiLevelType w:val="hybridMultilevel"/>
    <w:tmpl w:val="0E2043F8"/>
    <w:lvl w:ilvl="0" w:tplc="040C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4"/>
  </w:num>
  <w:num w:numId="5">
    <w:abstractNumId w:val="11"/>
  </w:num>
  <w:num w:numId="6">
    <w:abstractNumId w:val="13"/>
  </w:num>
  <w:num w:numId="7">
    <w:abstractNumId w:val="0"/>
  </w:num>
  <w:num w:numId="8">
    <w:abstractNumId w:val="9"/>
  </w:num>
  <w:num w:numId="9">
    <w:abstractNumId w:val="18"/>
  </w:num>
  <w:num w:numId="10">
    <w:abstractNumId w:val="8"/>
  </w:num>
  <w:num w:numId="11">
    <w:abstractNumId w:val="20"/>
  </w:num>
  <w:num w:numId="12">
    <w:abstractNumId w:val="1"/>
  </w:num>
  <w:num w:numId="13">
    <w:abstractNumId w:val="19"/>
  </w:num>
  <w:num w:numId="14">
    <w:abstractNumId w:val="10"/>
  </w:num>
  <w:num w:numId="15">
    <w:abstractNumId w:val="6"/>
  </w:num>
  <w:num w:numId="16">
    <w:abstractNumId w:val="3"/>
  </w:num>
  <w:num w:numId="17">
    <w:abstractNumId w:val="17"/>
  </w:num>
  <w:num w:numId="18">
    <w:abstractNumId w:val="16"/>
  </w:num>
  <w:num w:numId="19">
    <w:abstractNumId w:val="7"/>
  </w:num>
  <w:num w:numId="20">
    <w:abstractNumId w:val="2"/>
  </w:num>
  <w:num w:numId="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.Marseli">
    <w15:presenceInfo w15:providerId="None" w15:userId="O.Marsel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704"/>
    <w:rsid w:val="000013E4"/>
    <w:rsid w:val="00001624"/>
    <w:rsid w:val="000016A1"/>
    <w:rsid w:val="000023E0"/>
    <w:rsid w:val="00002F9B"/>
    <w:rsid w:val="00003F54"/>
    <w:rsid w:val="00004B1E"/>
    <w:rsid w:val="00005381"/>
    <w:rsid w:val="00005AAD"/>
    <w:rsid w:val="000060F8"/>
    <w:rsid w:val="000069AE"/>
    <w:rsid w:val="0000713A"/>
    <w:rsid w:val="000100F3"/>
    <w:rsid w:val="00011A0E"/>
    <w:rsid w:val="00011BC4"/>
    <w:rsid w:val="00011F4E"/>
    <w:rsid w:val="00012E4D"/>
    <w:rsid w:val="00012F82"/>
    <w:rsid w:val="00013016"/>
    <w:rsid w:val="00013329"/>
    <w:rsid w:val="00014530"/>
    <w:rsid w:val="00014940"/>
    <w:rsid w:val="00014F59"/>
    <w:rsid w:val="00015112"/>
    <w:rsid w:val="000151DD"/>
    <w:rsid w:val="00015EF3"/>
    <w:rsid w:val="00016F90"/>
    <w:rsid w:val="0001722E"/>
    <w:rsid w:val="000174FE"/>
    <w:rsid w:val="00017526"/>
    <w:rsid w:val="0001754D"/>
    <w:rsid w:val="000213FC"/>
    <w:rsid w:val="00022644"/>
    <w:rsid w:val="00023DE5"/>
    <w:rsid w:val="00024686"/>
    <w:rsid w:val="00024B04"/>
    <w:rsid w:val="0002532B"/>
    <w:rsid w:val="00025CE4"/>
    <w:rsid w:val="00025F15"/>
    <w:rsid w:val="000265CF"/>
    <w:rsid w:val="00027300"/>
    <w:rsid w:val="000274C4"/>
    <w:rsid w:val="000315FD"/>
    <w:rsid w:val="00031CFB"/>
    <w:rsid w:val="000324B4"/>
    <w:rsid w:val="00032619"/>
    <w:rsid w:val="00032AF9"/>
    <w:rsid w:val="00032ECD"/>
    <w:rsid w:val="00034F42"/>
    <w:rsid w:val="00035053"/>
    <w:rsid w:val="000356C1"/>
    <w:rsid w:val="00035819"/>
    <w:rsid w:val="000360E1"/>
    <w:rsid w:val="000364EF"/>
    <w:rsid w:val="00036F7C"/>
    <w:rsid w:val="0003703D"/>
    <w:rsid w:val="000370B6"/>
    <w:rsid w:val="00037ABF"/>
    <w:rsid w:val="00041428"/>
    <w:rsid w:val="0004211E"/>
    <w:rsid w:val="00042157"/>
    <w:rsid w:val="00043430"/>
    <w:rsid w:val="0004437F"/>
    <w:rsid w:val="00044E75"/>
    <w:rsid w:val="000451AC"/>
    <w:rsid w:val="00045674"/>
    <w:rsid w:val="00046C56"/>
    <w:rsid w:val="00046EB3"/>
    <w:rsid w:val="00047148"/>
    <w:rsid w:val="00047B2B"/>
    <w:rsid w:val="00050145"/>
    <w:rsid w:val="00050460"/>
    <w:rsid w:val="00051534"/>
    <w:rsid w:val="000518A6"/>
    <w:rsid w:val="00051A04"/>
    <w:rsid w:val="00051B80"/>
    <w:rsid w:val="00052C8E"/>
    <w:rsid w:val="0005319E"/>
    <w:rsid w:val="0005351F"/>
    <w:rsid w:val="0005355A"/>
    <w:rsid w:val="0005413E"/>
    <w:rsid w:val="0005434C"/>
    <w:rsid w:val="00055B18"/>
    <w:rsid w:val="0005628D"/>
    <w:rsid w:val="000569E9"/>
    <w:rsid w:val="00056C34"/>
    <w:rsid w:val="00056F4A"/>
    <w:rsid w:val="0005706F"/>
    <w:rsid w:val="00057262"/>
    <w:rsid w:val="00057BC7"/>
    <w:rsid w:val="00057E1A"/>
    <w:rsid w:val="00061CA4"/>
    <w:rsid w:val="00062779"/>
    <w:rsid w:val="00063B1B"/>
    <w:rsid w:val="00063B3F"/>
    <w:rsid w:val="00064021"/>
    <w:rsid w:val="00064654"/>
    <w:rsid w:val="000646B0"/>
    <w:rsid w:val="00064BB5"/>
    <w:rsid w:val="000656CB"/>
    <w:rsid w:val="00065DD7"/>
    <w:rsid w:val="00066ADF"/>
    <w:rsid w:val="00066E22"/>
    <w:rsid w:val="00067347"/>
    <w:rsid w:val="00067D35"/>
    <w:rsid w:val="00070565"/>
    <w:rsid w:val="000706EE"/>
    <w:rsid w:val="000712A9"/>
    <w:rsid w:val="000718BD"/>
    <w:rsid w:val="000720FD"/>
    <w:rsid w:val="00072708"/>
    <w:rsid w:val="00072AB7"/>
    <w:rsid w:val="00072CF2"/>
    <w:rsid w:val="00072EEA"/>
    <w:rsid w:val="00072F7C"/>
    <w:rsid w:val="00073079"/>
    <w:rsid w:val="00073C23"/>
    <w:rsid w:val="000741D5"/>
    <w:rsid w:val="000748D8"/>
    <w:rsid w:val="000749D1"/>
    <w:rsid w:val="000753A8"/>
    <w:rsid w:val="000756A1"/>
    <w:rsid w:val="00076938"/>
    <w:rsid w:val="00076F92"/>
    <w:rsid w:val="000779C2"/>
    <w:rsid w:val="00077CAA"/>
    <w:rsid w:val="00081434"/>
    <w:rsid w:val="00081E5A"/>
    <w:rsid w:val="0008224D"/>
    <w:rsid w:val="00082D2E"/>
    <w:rsid w:val="000836A6"/>
    <w:rsid w:val="000838BF"/>
    <w:rsid w:val="000839B9"/>
    <w:rsid w:val="0008574A"/>
    <w:rsid w:val="00086CD2"/>
    <w:rsid w:val="000877E9"/>
    <w:rsid w:val="0008783E"/>
    <w:rsid w:val="00087DA2"/>
    <w:rsid w:val="000909E5"/>
    <w:rsid w:val="00090FCF"/>
    <w:rsid w:val="00090FEC"/>
    <w:rsid w:val="00091D64"/>
    <w:rsid w:val="00091E28"/>
    <w:rsid w:val="00091FB9"/>
    <w:rsid w:val="00092DFB"/>
    <w:rsid w:val="00093A83"/>
    <w:rsid w:val="00093D84"/>
    <w:rsid w:val="00094BEF"/>
    <w:rsid w:val="00097300"/>
    <w:rsid w:val="00097799"/>
    <w:rsid w:val="0009797C"/>
    <w:rsid w:val="00097D75"/>
    <w:rsid w:val="000A0177"/>
    <w:rsid w:val="000A07A7"/>
    <w:rsid w:val="000A0881"/>
    <w:rsid w:val="000A11C5"/>
    <w:rsid w:val="000A14AD"/>
    <w:rsid w:val="000A158A"/>
    <w:rsid w:val="000A18FB"/>
    <w:rsid w:val="000A1DEA"/>
    <w:rsid w:val="000A20DC"/>
    <w:rsid w:val="000A26E7"/>
    <w:rsid w:val="000A27F7"/>
    <w:rsid w:val="000A2DA9"/>
    <w:rsid w:val="000A33DF"/>
    <w:rsid w:val="000A40C3"/>
    <w:rsid w:val="000A5682"/>
    <w:rsid w:val="000A5C5F"/>
    <w:rsid w:val="000A5F4A"/>
    <w:rsid w:val="000A6135"/>
    <w:rsid w:val="000A62F9"/>
    <w:rsid w:val="000B0844"/>
    <w:rsid w:val="000B09BA"/>
    <w:rsid w:val="000B0E7A"/>
    <w:rsid w:val="000B1487"/>
    <w:rsid w:val="000B16D1"/>
    <w:rsid w:val="000B2067"/>
    <w:rsid w:val="000B2FFE"/>
    <w:rsid w:val="000B34E3"/>
    <w:rsid w:val="000B4FE0"/>
    <w:rsid w:val="000B552C"/>
    <w:rsid w:val="000B62B1"/>
    <w:rsid w:val="000C0C01"/>
    <w:rsid w:val="000C1464"/>
    <w:rsid w:val="000C2CA9"/>
    <w:rsid w:val="000C3718"/>
    <w:rsid w:val="000C39F9"/>
    <w:rsid w:val="000C439F"/>
    <w:rsid w:val="000C4C0E"/>
    <w:rsid w:val="000C56EA"/>
    <w:rsid w:val="000C689C"/>
    <w:rsid w:val="000C7F17"/>
    <w:rsid w:val="000D1CF5"/>
    <w:rsid w:val="000D24FA"/>
    <w:rsid w:val="000D2586"/>
    <w:rsid w:val="000D2E52"/>
    <w:rsid w:val="000D341B"/>
    <w:rsid w:val="000D367A"/>
    <w:rsid w:val="000D3B30"/>
    <w:rsid w:val="000D4077"/>
    <w:rsid w:val="000D4920"/>
    <w:rsid w:val="000D54E1"/>
    <w:rsid w:val="000D5638"/>
    <w:rsid w:val="000D5AB2"/>
    <w:rsid w:val="000D5B0A"/>
    <w:rsid w:val="000D5CEB"/>
    <w:rsid w:val="000E0128"/>
    <w:rsid w:val="000E030A"/>
    <w:rsid w:val="000E10E0"/>
    <w:rsid w:val="000E1534"/>
    <w:rsid w:val="000E17D9"/>
    <w:rsid w:val="000E1BEE"/>
    <w:rsid w:val="000E20BC"/>
    <w:rsid w:val="000E21A1"/>
    <w:rsid w:val="000E3747"/>
    <w:rsid w:val="000E4DC7"/>
    <w:rsid w:val="000E5EA9"/>
    <w:rsid w:val="000E6EB3"/>
    <w:rsid w:val="000E71C8"/>
    <w:rsid w:val="000F0919"/>
    <w:rsid w:val="000F0DB1"/>
    <w:rsid w:val="000F184A"/>
    <w:rsid w:val="000F2945"/>
    <w:rsid w:val="000F2B60"/>
    <w:rsid w:val="000F2E6E"/>
    <w:rsid w:val="000F5139"/>
    <w:rsid w:val="000F5A2E"/>
    <w:rsid w:val="000F62E1"/>
    <w:rsid w:val="000F641A"/>
    <w:rsid w:val="000F6CE8"/>
    <w:rsid w:val="000F6FF9"/>
    <w:rsid w:val="000F70E8"/>
    <w:rsid w:val="000F74C5"/>
    <w:rsid w:val="000F7670"/>
    <w:rsid w:val="000F7A57"/>
    <w:rsid w:val="000F7C4F"/>
    <w:rsid w:val="00100026"/>
    <w:rsid w:val="0010025C"/>
    <w:rsid w:val="00101249"/>
    <w:rsid w:val="00101DA7"/>
    <w:rsid w:val="00101DD8"/>
    <w:rsid w:val="00102B5C"/>
    <w:rsid w:val="00103010"/>
    <w:rsid w:val="001037B3"/>
    <w:rsid w:val="00104221"/>
    <w:rsid w:val="00104438"/>
    <w:rsid w:val="00104463"/>
    <w:rsid w:val="00104CAC"/>
    <w:rsid w:val="00104D05"/>
    <w:rsid w:val="001052BE"/>
    <w:rsid w:val="001052EC"/>
    <w:rsid w:val="00105320"/>
    <w:rsid w:val="00105B72"/>
    <w:rsid w:val="00106C84"/>
    <w:rsid w:val="00106E19"/>
    <w:rsid w:val="00106EC0"/>
    <w:rsid w:val="00106FA4"/>
    <w:rsid w:val="00107245"/>
    <w:rsid w:val="00107534"/>
    <w:rsid w:val="00107E17"/>
    <w:rsid w:val="00107F1E"/>
    <w:rsid w:val="001103D0"/>
    <w:rsid w:val="00110B90"/>
    <w:rsid w:val="00110BE5"/>
    <w:rsid w:val="00111470"/>
    <w:rsid w:val="001116C8"/>
    <w:rsid w:val="00111FC4"/>
    <w:rsid w:val="00113273"/>
    <w:rsid w:val="001133D2"/>
    <w:rsid w:val="00113767"/>
    <w:rsid w:val="00114063"/>
    <w:rsid w:val="001143FE"/>
    <w:rsid w:val="0011495F"/>
    <w:rsid w:val="00115D48"/>
    <w:rsid w:val="001161C4"/>
    <w:rsid w:val="001161F3"/>
    <w:rsid w:val="00116945"/>
    <w:rsid w:val="0011726A"/>
    <w:rsid w:val="001174FE"/>
    <w:rsid w:val="00117A2F"/>
    <w:rsid w:val="00117F82"/>
    <w:rsid w:val="00120997"/>
    <w:rsid w:val="00121180"/>
    <w:rsid w:val="00121CCC"/>
    <w:rsid w:val="001222E7"/>
    <w:rsid w:val="00122941"/>
    <w:rsid w:val="00123DEA"/>
    <w:rsid w:val="00123E79"/>
    <w:rsid w:val="00124002"/>
    <w:rsid w:val="001242C0"/>
    <w:rsid w:val="00124772"/>
    <w:rsid w:val="00124827"/>
    <w:rsid w:val="00124FE0"/>
    <w:rsid w:val="00125161"/>
    <w:rsid w:val="001254E5"/>
    <w:rsid w:val="00125543"/>
    <w:rsid w:val="00126B26"/>
    <w:rsid w:val="00126CC0"/>
    <w:rsid w:val="00126DA5"/>
    <w:rsid w:val="00126E55"/>
    <w:rsid w:val="0012794C"/>
    <w:rsid w:val="00127D67"/>
    <w:rsid w:val="00131E2D"/>
    <w:rsid w:val="001328D0"/>
    <w:rsid w:val="00132D9E"/>
    <w:rsid w:val="00133286"/>
    <w:rsid w:val="0013347C"/>
    <w:rsid w:val="001335BA"/>
    <w:rsid w:val="00133687"/>
    <w:rsid w:val="00133860"/>
    <w:rsid w:val="00133A39"/>
    <w:rsid w:val="001347D2"/>
    <w:rsid w:val="00135445"/>
    <w:rsid w:val="00135D83"/>
    <w:rsid w:val="0013654E"/>
    <w:rsid w:val="00137D7D"/>
    <w:rsid w:val="001404A9"/>
    <w:rsid w:val="001414F3"/>
    <w:rsid w:val="001424D2"/>
    <w:rsid w:val="0014379B"/>
    <w:rsid w:val="001438AB"/>
    <w:rsid w:val="0014398F"/>
    <w:rsid w:val="00143A5A"/>
    <w:rsid w:val="00143EEC"/>
    <w:rsid w:val="00144320"/>
    <w:rsid w:val="00145956"/>
    <w:rsid w:val="001467F7"/>
    <w:rsid w:val="00146EDA"/>
    <w:rsid w:val="0014733D"/>
    <w:rsid w:val="00147786"/>
    <w:rsid w:val="00150681"/>
    <w:rsid w:val="00151AE6"/>
    <w:rsid w:val="00151C70"/>
    <w:rsid w:val="0015212E"/>
    <w:rsid w:val="001523D7"/>
    <w:rsid w:val="00152D59"/>
    <w:rsid w:val="00153ECF"/>
    <w:rsid w:val="00154298"/>
    <w:rsid w:val="00154339"/>
    <w:rsid w:val="001545AE"/>
    <w:rsid w:val="00154E44"/>
    <w:rsid w:val="00156587"/>
    <w:rsid w:val="0015763C"/>
    <w:rsid w:val="00157CA9"/>
    <w:rsid w:val="0016005A"/>
    <w:rsid w:val="00160141"/>
    <w:rsid w:val="0016090E"/>
    <w:rsid w:val="00160994"/>
    <w:rsid w:val="00161429"/>
    <w:rsid w:val="00161772"/>
    <w:rsid w:val="00161C4B"/>
    <w:rsid w:val="00162062"/>
    <w:rsid w:val="001638CE"/>
    <w:rsid w:val="00163D93"/>
    <w:rsid w:val="0016405E"/>
    <w:rsid w:val="001643DF"/>
    <w:rsid w:val="001648E6"/>
    <w:rsid w:val="00164979"/>
    <w:rsid w:val="00165671"/>
    <w:rsid w:val="0016596E"/>
    <w:rsid w:val="001672BD"/>
    <w:rsid w:val="0016780D"/>
    <w:rsid w:val="00172005"/>
    <w:rsid w:val="00172D27"/>
    <w:rsid w:val="00172EE9"/>
    <w:rsid w:val="00172F47"/>
    <w:rsid w:val="00173781"/>
    <w:rsid w:val="00174115"/>
    <w:rsid w:val="00174239"/>
    <w:rsid w:val="00174542"/>
    <w:rsid w:val="00174553"/>
    <w:rsid w:val="001748E9"/>
    <w:rsid w:val="0017495A"/>
    <w:rsid w:val="0017568F"/>
    <w:rsid w:val="001757C5"/>
    <w:rsid w:val="001760CB"/>
    <w:rsid w:val="001774D5"/>
    <w:rsid w:val="00181B72"/>
    <w:rsid w:val="00182987"/>
    <w:rsid w:val="001829B0"/>
    <w:rsid w:val="00182B28"/>
    <w:rsid w:val="00182E1E"/>
    <w:rsid w:val="00184023"/>
    <w:rsid w:val="00184134"/>
    <w:rsid w:val="00184250"/>
    <w:rsid w:val="00184D27"/>
    <w:rsid w:val="00185207"/>
    <w:rsid w:val="00185ABC"/>
    <w:rsid w:val="001864E5"/>
    <w:rsid w:val="00186530"/>
    <w:rsid w:val="001871C4"/>
    <w:rsid w:val="00187A5C"/>
    <w:rsid w:val="00187C8D"/>
    <w:rsid w:val="00187EB7"/>
    <w:rsid w:val="00190672"/>
    <w:rsid w:val="00191E08"/>
    <w:rsid w:val="00191F62"/>
    <w:rsid w:val="001930B7"/>
    <w:rsid w:val="00193B35"/>
    <w:rsid w:val="00193B4D"/>
    <w:rsid w:val="00193E60"/>
    <w:rsid w:val="0019435A"/>
    <w:rsid w:val="0019492E"/>
    <w:rsid w:val="001956DC"/>
    <w:rsid w:val="00195D2E"/>
    <w:rsid w:val="001960E9"/>
    <w:rsid w:val="001968E2"/>
    <w:rsid w:val="00196B6B"/>
    <w:rsid w:val="00196D8E"/>
    <w:rsid w:val="00196DF3"/>
    <w:rsid w:val="001975D4"/>
    <w:rsid w:val="00197D9A"/>
    <w:rsid w:val="00197F64"/>
    <w:rsid w:val="001A0310"/>
    <w:rsid w:val="001A048A"/>
    <w:rsid w:val="001A0F65"/>
    <w:rsid w:val="001A2204"/>
    <w:rsid w:val="001A288D"/>
    <w:rsid w:val="001A292A"/>
    <w:rsid w:val="001A384F"/>
    <w:rsid w:val="001A4203"/>
    <w:rsid w:val="001A4BB7"/>
    <w:rsid w:val="001A55DD"/>
    <w:rsid w:val="001A6084"/>
    <w:rsid w:val="001A62A1"/>
    <w:rsid w:val="001A648B"/>
    <w:rsid w:val="001A69DD"/>
    <w:rsid w:val="001A6BB6"/>
    <w:rsid w:val="001A7746"/>
    <w:rsid w:val="001B03D3"/>
    <w:rsid w:val="001B06F9"/>
    <w:rsid w:val="001B0AB6"/>
    <w:rsid w:val="001B1130"/>
    <w:rsid w:val="001B1C9F"/>
    <w:rsid w:val="001B1E0E"/>
    <w:rsid w:val="001B20D5"/>
    <w:rsid w:val="001B2334"/>
    <w:rsid w:val="001B3593"/>
    <w:rsid w:val="001B35E9"/>
    <w:rsid w:val="001B3707"/>
    <w:rsid w:val="001B3CB2"/>
    <w:rsid w:val="001B3E46"/>
    <w:rsid w:val="001B50A1"/>
    <w:rsid w:val="001B561B"/>
    <w:rsid w:val="001B5B96"/>
    <w:rsid w:val="001B5F02"/>
    <w:rsid w:val="001B69A3"/>
    <w:rsid w:val="001B7322"/>
    <w:rsid w:val="001B765A"/>
    <w:rsid w:val="001B7854"/>
    <w:rsid w:val="001C0839"/>
    <w:rsid w:val="001C14A6"/>
    <w:rsid w:val="001C251F"/>
    <w:rsid w:val="001C3419"/>
    <w:rsid w:val="001C4759"/>
    <w:rsid w:val="001C4D54"/>
    <w:rsid w:val="001C5656"/>
    <w:rsid w:val="001C5AA4"/>
    <w:rsid w:val="001C67D4"/>
    <w:rsid w:val="001C6846"/>
    <w:rsid w:val="001C6883"/>
    <w:rsid w:val="001D02E1"/>
    <w:rsid w:val="001D0903"/>
    <w:rsid w:val="001D0C73"/>
    <w:rsid w:val="001D17AC"/>
    <w:rsid w:val="001D2665"/>
    <w:rsid w:val="001D28DC"/>
    <w:rsid w:val="001D2B80"/>
    <w:rsid w:val="001D2D35"/>
    <w:rsid w:val="001D2E4E"/>
    <w:rsid w:val="001D3A1D"/>
    <w:rsid w:val="001D3E54"/>
    <w:rsid w:val="001D49E8"/>
    <w:rsid w:val="001D5548"/>
    <w:rsid w:val="001D55A9"/>
    <w:rsid w:val="001D58BD"/>
    <w:rsid w:val="001D684C"/>
    <w:rsid w:val="001D709D"/>
    <w:rsid w:val="001E0A9C"/>
    <w:rsid w:val="001E0D0B"/>
    <w:rsid w:val="001E1149"/>
    <w:rsid w:val="001E1901"/>
    <w:rsid w:val="001E36D5"/>
    <w:rsid w:val="001E42CC"/>
    <w:rsid w:val="001E4F55"/>
    <w:rsid w:val="001E5372"/>
    <w:rsid w:val="001E5697"/>
    <w:rsid w:val="001E6198"/>
    <w:rsid w:val="001E78BD"/>
    <w:rsid w:val="001F00F0"/>
    <w:rsid w:val="001F04DE"/>
    <w:rsid w:val="001F062E"/>
    <w:rsid w:val="001F0ABF"/>
    <w:rsid w:val="001F14B0"/>
    <w:rsid w:val="001F20AF"/>
    <w:rsid w:val="001F2626"/>
    <w:rsid w:val="001F321B"/>
    <w:rsid w:val="001F3646"/>
    <w:rsid w:val="001F3E68"/>
    <w:rsid w:val="001F4A3E"/>
    <w:rsid w:val="001F4E50"/>
    <w:rsid w:val="001F4FE4"/>
    <w:rsid w:val="001F5722"/>
    <w:rsid w:val="001F5970"/>
    <w:rsid w:val="001F59E2"/>
    <w:rsid w:val="001F5D34"/>
    <w:rsid w:val="001F626D"/>
    <w:rsid w:val="001F66E3"/>
    <w:rsid w:val="001F6A20"/>
    <w:rsid w:val="001F6A9C"/>
    <w:rsid w:val="001F70B6"/>
    <w:rsid w:val="001F739C"/>
    <w:rsid w:val="001F7711"/>
    <w:rsid w:val="001F7D34"/>
    <w:rsid w:val="00200755"/>
    <w:rsid w:val="00202105"/>
    <w:rsid w:val="002021DE"/>
    <w:rsid w:val="00203316"/>
    <w:rsid w:val="0020419A"/>
    <w:rsid w:val="002041E9"/>
    <w:rsid w:val="00204574"/>
    <w:rsid w:val="00204F32"/>
    <w:rsid w:val="0020508E"/>
    <w:rsid w:val="00206A7F"/>
    <w:rsid w:val="0020711A"/>
    <w:rsid w:val="00207730"/>
    <w:rsid w:val="0021180E"/>
    <w:rsid w:val="00211ECD"/>
    <w:rsid w:val="0021213E"/>
    <w:rsid w:val="00212223"/>
    <w:rsid w:val="002125D5"/>
    <w:rsid w:val="00212714"/>
    <w:rsid w:val="00212E56"/>
    <w:rsid w:val="00213786"/>
    <w:rsid w:val="00213EC2"/>
    <w:rsid w:val="00214439"/>
    <w:rsid w:val="00214D50"/>
    <w:rsid w:val="002163AF"/>
    <w:rsid w:val="002164DC"/>
    <w:rsid w:val="002166B3"/>
    <w:rsid w:val="00216E7C"/>
    <w:rsid w:val="00217334"/>
    <w:rsid w:val="0021759B"/>
    <w:rsid w:val="00221FC5"/>
    <w:rsid w:val="00222682"/>
    <w:rsid w:val="002226A1"/>
    <w:rsid w:val="00222815"/>
    <w:rsid w:val="00222831"/>
    <w:rsid w:val="00223178"/>
    <w:rsid w:val="0022318C"/>
    <w:rsid w:val="00223808"/>
    <w:rsid w:val="0022467F"/>
    <w:rsid w:val="00225685"/>
    <w:rsid w:val="00226A52"/>
    <w:rsid w:val="00226BE3"/>
    <w:rsid w:val="00226CEA"/>
    <w:rsid w:val="00227B1B"/>
    <w:rsid w:val="0023094A"/>
    <w:rsid w:val="00232556"/>
    <w:rsid w:val="00232AF5"/>
    <w:rsid w:val="00233531"/>
    <w:rsid w:val="00234907"/>
    <w:rsid w:val="00235C3E"/>
    <w:rsid w:val="002364B4"/>
    <w:rsid w:val="0023661B"/>
    <w:rsid w:val="00236927"/>
    <w:rsid w:val="002375C4"/>
    <w:rsid w:val="0023789E"/>
    <w:rsid w:val="0024028E"/>
    <w:rsid w:val="00241A46"/>
    <w:rsid w:val="002431B9"/>
    <w:rsid w:val="002436BE"/>
    <w:rsid w:val="00243AE1"/>
    <w:rsid w:val="00243C83"/>
    <w:rsid w:val="00245732"/>
    <w:rsid w:val="00245913"/>
    <w:rsid w:val="00245992"/>
    <w:rsid w:val="00246518"/>
    <w:rsid w:val="002478EF"/>
    <w:rsid w:val="00247A3B"/>
    <w:rsid w:val="002502C2"/>
    <w:rsid w:val="00251ABE"/>
    <w:rsid w:val="0025208F"/>
    <w:rsid w:val="0025259C"/>
    <w:rsid w:val="00252BB9"/>
    <w:rsid w:val="0025312C"/>
    <w:rsid w:val="00253166"/>
    <w:rsid w:val="002534E9"/>
    <w:rsid w:val="00253D9F"/>
    <w:rsid w:val="00254965"/>
    <w:rsid w:val="00254CC9"/>
    <w:rsid w:val="00254D8A"/>
    <w:rsid w:val="00255396"/>
    <w:rsid w:val="00256232"/>
    <w:rsid w:val="00256A6D"/>
    <w:rsid w:val="00256C03"/>
    <w:rsid w:val="00256F31"/>
    <w:rsid w:val="00256FBC"/>
    <w:rsid w:val="00257385"/>
    <w:rsid w:val="00260173"/>
    <w:rsid w:val="00260D98"/>
    <w:rsid w:val="002613C1"/>
    <w:rsid w:val="002613F5"/>
    <w:rsid w:val="0026141F"/>
    <w:rsid w:val="00261ED7"/>
    <w:rsid w:val="002620C4"/>
    <w:rsid w:val="00262122"/>
    <w:rsid w:val="00262237"/>
    <w:rsid w:val="0026337D"/>
    <w:rsid w:val="002634E1"/>
    <w:rsid w:val="002636A0"/>
    <w:rsid w:val="00263D54"/>
    <w:rsid w:val="0026440A"/>
    <w:rsid w:val="00264457"/>
    <w:rsid w:val="00265566"/>
    <w:rsid w:val="00265CFD"/>
    <w:rsid w:val="00265F28"/>
    <w:rsid w:val="00266110"/>
    <w:rsid w:val="00266330"/>
    <w:rsid w:val="00266633"/>
    <w:rsid w:val="00267202"/>
    <w:rsid w:val="00267298"/>
    <w:rsid w:val="002672A0"/>
    <w:rsid w:val="0026748C"/>
    <w:rsid w:val="00267B6E"/>
    <w:rsid w:val="00267DAE"/>
    <w:rsid w:val="00270823"/>
    <w:rsid w:val="00270AD9"/>
    <w:rsid w:val="00270B31"/>
    <w:rsid w:val="00271743"/>
    <w:rsid w:val="00271D22"/>
    <w:rsid w:val="0027263B"/>
    <w:rsid w:val="00272727"/>
    <w:rsid w:val="00272D28"/>
    <w:rsid w:val="0027471B"/>
    <w:rsid w:val="002751C2"/>
    <w:rsid w:val="00275256"/>
    <w:rsid w:val="00276077"/>
    <w:rsid w:val="00277499"/>
    <w:rsid w:val="002775FC"/>
    <w:rsid w:val="00280072"/>
    <w:rsid w:val="0028098C"/>
    <w:rsid w:val="00281D6D"/>
    <w:rsid w:val="002821C5"/>
    <w:rsid w:val="0028239A"/>
    <w:rsid w:val="0028243A"/>
    <w:rsid w:val="00282A92"/>
    <w:rsid w:val="002830E2"/>
    <w:rsid w:val="002836F5"/>
    <w:rsid w:val="00283A6B"/>
    <w:rsid w:val="00283FD0"/>
    <w:rsid w:val="0028485A"/>
    <w:rsid w:val="0028651B"/>
    <w:rsid w:val="00287AFB"/>
    <w:rsid w:val="00287EC1"/>
    <w:rsid w:val="00290113"/>
    <w:rsid w:val="002904C7"/>
    <w:rsid w:val="002915B7"/>
    <w:rsid w:val="00291C4B"/>
    <w:rsid w:val="00292082"/>
    <w:rsid w:val="0029227A"/>
    <w:rsid w:val="00292381"/>
    <w:rsid w:val="00292CDC"/>
    <w:rsid w:val="00293863"/>
    <w:rsid w:val="002941A3"/>
    <w:rsid w:val="00294426"/>
    <w:rsid w:val="00295A6D"/>
    <w:rsid w:val="00295DF0"/>
    <w:rsid w:val="00296645"/>
    <w:rsid w:val="00296E08"/>
    <w:rsid w:val="00297250"/>
    <w:rsid w:val="00297C0B"/>
    <w:rsid w:val="002A0DFB"/>
    <w:rsid w:val="002A0E3C"/>
    <w:rsid w:val="002A1005"/>
    <w:rsid w:val="002A1529"/>
    <w:rsid w:val="002A1584"/>
    <w:rsid w:val="002A18ED"/>
    <w:rsid w:val="002A1C56"/>
    <w:rsid w:val="002A1D28"/>
    <w:rsid w:val="002A1FD6"/>
    <w:rsid w:val="002A22AF"/>
    <w:rsid w:val="002A29D2"/>
    <w:rsid w:val="002A2E36"/>
    <w:rsid w:val="002A321D"/>
    <w:rsid w:val="002A36CF"/>
    <w:rsid w:val="002A4737"/>
    <w:rsid w:val="002A53E5"/>
    <w:rsid w:val="002A5852"/>
    <w:rsid w:val="002A5928"/>
    <w:rsid w:val="002A62C3"/>
    <w:rsid w:val="002A7486"/>
    <w:rsid w:val="002A766A"/>
    <w:rsid w:val="002A7C02"/>
    <w:rsid w:val="002A7E1E"/>
    <w:rsid w:val="002A7E5D"/>
    <w:rsid w:val="002B0A53"/>
    <w:rsid w:val="002B0B7B"/>
    <w:rsid w:val="002B10FB"/>
    <w:rsid w:val="002B15A7"/>
    <w:rsid w:val="002B15E6"/>
    <w:rsid w:val="002B2652"/>
    <w:rsid w:val="002B2EC5"/>
    <w:rsid w:val="002B3D5B"/>
    <w:rsid w:val="002B43BB"/>
    <w:rsid w:val="002B4B64"/>
    <w:rsid w:val="002B51C3"/>
    <w:rsid w:val="002B7130"/>
    <w:rsid w:val="002B74FD"/>
    <w:rsid w:val="002B7509"/>
    <w:rsid w:val="002B799E"/>
    <w:rsid w:val="002B79DC"/>
    <w:rsid w:val="002B7C12"/>
    <w:rsid w:val="002B7F41"/>
    <w:rsid w:val="002C03DA"/>
    <w:rsid w:val="002C0743"/>
    <w:rsid w:val="002C0BC4"/>
    <w:rsid w:val="002C0E6A"/>
    <w:rsid w:val="002C10D7"/>
    <w:rsid w:val="002C18A0"/>
    <w:rsid w:val="002C1D2E"/>
    <w:rsid w:val="002C211A"/>
    <w:rsid w:val="002C2298"/>
    <w:rsid w:val="002C26D4"/>
    <w:rsid w:val="002C2BED"/>
    <w:rsid w:val="002C3101"/>
    <w:rsid w:val="002C366D"/>
    <w:rsid w:val="002C4A48"/>
    <w:rsid w:val="002C5954"/>
    <w:rsid w:val="002C5F58"/>
    <w:rsid w:val="002C6A1C"/>
    <w:rsid w:val="002C768B"/>
    <w:rsid w:val="002C7768"/>
    <w:rsid w:val="002C79A8"/>
    <w:rsid w:val="002C7EF2"/>
    <w:rsid w:val="002D112B"/>
    <w:rsid w:val="002D2100"/>
    <w:rsid w:val="002D235E"/>
    <w:rsid w:val="002D260C"/>
    <w:rsid w:val="002D2970"/>
    <w:rsid w:val="002D3518"/>
    <w:rsid w:val="002D3C52"/>
    <w:rsid w:val="002D3E22"/>
    <w:rsid w:val="002D54C7"/>
    <w:rsid w:val="002D56C5"/>
    <w:rsid w:val="002D5AAA"/>
    <w:rsid w:val="002D5F99"/>
    <w:rsid w:val="002D6616"/>
    <w:rsid w:val="002D6FC3"/>
    <w:rsid w:val="002D79AA"/>
    <w:rsid w:val="002E02C4"/>
    <w:rsid w:val="002E0AD7"/>
    <w:rsid w:val="002E1871"/>
    <w:rsid w:val="002E238A"/>
    <w:rsid w:val="002E3AEC"/>
    <w:rsid w:val="002E3CF2"/>
    <w:rsid w:val="002E5787"/>
    <w:rsid w:val="002E5849"/>
    <w:rsid w:val="002E5ABF"/>
    <w:rsid w:val="002E5BEC"/>
    <w:rsid w:val="002E69E2"/>
    <w:rsid w:val="002E6F5B"/>
    <w:rsid w:val="002E710F"/>
    <w:rsid w:val="002E7320"/>
    <w:rsid w:val="002E78A3"/>
    <w:rsid w:val="002F08CD"/>
    <w:rsid w:val="002F1287"/>
    <w:rsid w:val="002F142C"/>
    <w:rsid w:val="002F1D60"/>
    <w:rsid w:val="002F2752"/>
    <w:rsid w:val="002F3EA6"/>
    <w:rsid w:val="002F55A9"/>
    <w:rsid w:val="002F566C"/>
    <w:rsid w:val="002F56E4"/>
    <w:rsid w:val="002F5CBB"/>
    <w:rsid w:val="002F5E45"/>
    <w:rsid w:val="002F5E6A"/>
    <w:rsid w:val="002F61B2"/>
    <w:rsid w:val="002F68CD"/>
    <w:rsid w:val="002F6AEC"/>
    <w:rsid w:val="002F7AAE"/>
    <w:rsid w:val="0030061A"/>
    <w:rsid w:val="00300726"/>
    <w:rsid w:val="00301913"/>
    <w:rsid w:val="0030196C"/>
    <w:rsid w:val="00301C04"/>
    <w:rsid w:val="00302717"/>
    <w:rsid w:val="003043BE"/>
    <w:rsid w:val="00304900"/>
    <w:rsid w:val="00304BFF"/>
    <w:rsid w:val="00306F45"/>
    <w:rsid w:val="00307232"/>
    <w:rsid w:val="00307703"/>
    <w:rsid w:val="00307E20"/>
    <w:rsid w:val="00311292"/>
    <w:rsid w:val="0031260C"/>
    <w:rsid w:val="00312C75"/>
    <w:rsid w:val="00312DA6"/>
    <w:rsid w:val="00312EAF"/>
    <w:rsid w:val="00313590"/>
    <w:rsid w:val="00313C10"/>
    <w:rsid w:val="00313E26"/>
    <w:rsid w:val="00314363"/>
    <w:rsid w:val="00314E25"/>
    <w:rsid w:val="00315331"/>
    <w:rsid w:val="00315FDD"/>
    <w:rsid w:val="003203B5"/>
    <w:rsid w:val="00320A30"/>
    <w:rsid w:val="00321109"/>
    <w:rsid w:val="00322586"/>
    <w:rsid w:val="0032273E"/>
    <w:rsid w:val="00322F37"/>
    <w:rsid w:val="0032393A"/>
    <w:rsid w:val="00323DD3"/>
    <w:rsid w:val="00324379"/>
    <w:rsid w:val="003243FF"/>
    <w:rsid w:val="0032457C"/>
    <w:rsid w:val="0032474D"/>
    <w:rsid w:val="003249B9"/>
    <w:rsid w:val="00325F2B"/>
    <w:rsid w:val="00326439"/>
    <w:rsid w:val="0032654E"/>
    <w:rsid w:val="00326669"/>
    <w:rsid w:val="003266B8"/>
    <w:rsid w:val="00326988"/>
    <w:rsid w:val="00326D4A"/>
    <w:rsid w:val="00326F79"/>
    <w:rsid w:val="00327D2D"/>
    <w:rsid w:val="0033159D"/>
    <w:rsid w:val="0033192D"/>
    <w:rsid w:val="003325C2"/>
    <w:rsid w:val="00333CD8"/>
    <w:rsid w:val="00335081"/>
    <w:rsid w:val="00335AA7"/>
    <w:rsid w:val="0033609D"/>
    <w:rsid w:val="00337515"/>
    <w:rsid w:val="00337BE3"/>
    <w:rsid w:val="003407DA"/>
    <w:rsid w:val="00342196"/>
    <w:rsid w:val="003423DE"/>
    <w:rsid w:val="00343199"/>
    <w:rsid w:val="00344737"/>
    <w:rsid w:val="00345C8E"/>
    <w:rsid w:val="00345CF9"/>
    <w:rsid w:val="00345EE0"/>
    <w:rsid w:val="00346706"/>
    <w:rsid w:val="00346987"/>
    <w:rsid w:val="00350036"/>
    <w:rsid w:val="0035142B"/>
    <w:rsid w:val="003514ED"/>
    <w:rsid w:val="00351C1F"/>
    <w:rsid w:val="00351E1C"/>
    <w:rsid w:val="00352106"/>
    <w:rsid w:val="0035217E"/>
    <w:rsid w:val="003525DA"/>
    <w:rsid w:val="00352758"/>
    <w:rsid w:val="00352D33"/>
    <w:rsid w:val="00353CB2"/>
    <w:rsid w:val="003541C4"/>
    <w:rsid w:val="00354591"/>
    <w:rsid w:val="00354A18"/>
    <w:rsid w:val="00354E92"/>
    <w:rsid w:val="003550EA"/>
    <w:rsid w:val="003559FA"/>
    <w:rsid w:val="00355D56"/>
    <w:rsid w:val="00357814"/>
    <w:rsid w:val="00357B74"/>
    <w:rsid w:val="00360176"/>
    <w:rsid w:val="00360556"/>
    <w:rsid w:val="00360720"/>
    <w:rsid w:val="0036132C"/>
    <w:rsid w:val="00362325"/>
    <w:rsid w:val="00362A0D"/>
    <w:rsid w:val="0036400D"/>
    <w:rsid w:val="003658EF"/>
    <w:rsid w:val="00365FDC"/>
    <w:rsid w:val="003661DE"/>
    <w:rsid w:val="003670AA"/>
    <w:rsid w:val="00367BF2"/>
    <w:rsid w:val="00370A60"/>
    <w:rsid w:val="00370B08"/>
    <w:rsid w:val="00370D7E"/>
    <w:rsid w:val="003713F9"/>
    <w:rsid w:val="003719C4"/>
    <w:rsid w:val="00371D19"/>
    <w:rsid w:val="003724EE"/>
    <w:rsid w:val="00373C93"/>
    <w:rsid w:val="00374E6D"/>
    <w:rsid w:val="0037636A"/>
    <w:rsid w:val="00376AC0"/>
    <w:rsid w:val="00377971"/>
    <w:rsid w:val="003803FA"/>
    <w:rsid w:val="00380461"/>
    <w:rsid w:val="003812CC"/>
    <w:rsid w:val="00381490"/>
    <w:rsid w:val="00381936"/>
    <w:rsid w:val="003827AF"/>
    <w:rsid w:val="00384704"/>
    <w:rsid w:val="0038490E"/>
    <w:rsid w:val="003849A2"/>
    <w:rsid w:val="00385E59"/>
    <w:rsid w:val="003863D3"/>
    <w:rsid w:val="003863F6"/>
    <w:rsid w:val="00386E22"/>
    <w:rsid w:val="00387270"/>
    <w:rsid w:val="00390465"/>
    <w:rsid w:val="0039097A"/>
    <w:rsid w:val="00391350"/>
    <w:rsid w:val="003917E1"/>
    <w:rsid w:val="00393479"/>
    <w:rsid w:val="003937BF"/>
    <w:rsid w:val="003938B0"/>
    <w:rsid w:val="00394384"/>
    <w:rsid w:val="003945C0"/>
    <w:rsid w:val="00394F5D"/>
    <w:rsid w:val="00395232"/>
    <w:rsid w:val="003953F7"/>
    <w:rsid w:val="003960C1"/>
    <w:rsid w:val="003972B5"/>
    <w:rsid w:val="003A0725"/>
    <w:rsid w:val="003A0E00"/>
    <w:rsid w:val="003A1290"/>
    <w:rsid w:val="003A18CF"/>
    <w:rsid w:val="003A3105"/>
    <w:rsid w:val="003A32A5"/>
    <w:rsid w:val="003A35D3"/>
    <w:rsid w:val="003A3FB3"/>
    <w:rsid w:val="003A3FCF"/>
    <w:rsid w:val="003A4987"/>
    <w:rsid w:val="003A4FD0"/>
    <w:rsid w:val="003A50A2"/>
    <w:rsid w:val="003A5110"/>
    <w:rsid w:val="003A5245"/>
    <w:rsid w:val="003A52E9"/>
    <w:rsid w:val="003A5304"/>
    <w:rsid w:val="003A5AEB"/>
    <w:rsid w:val="003A60E0"/>
    <w:rsid w:val="003A6EC4"/>
    <w:rsid w:val="003A70BA"/>
    <w:rsid w:val="003A7ECC"/>
    <w:rsid w:val="003B092A"/>
    <w:rsid w:val="003B0AF2"/>
    <w:rsid w:val="003B0B34"/>
    <w:rsid w:val="003B0EDF"/>
    <w:rsid w:val="003B12AD"/>
    <w:rsid w:val="003B220F"/>
    <w:rsid w:val="003B27AF"/>
    <w:rsid w:val="003B330D"/>
    <w:rsid w:val="003B356E"/>
    <w:rsid w:val="003B3593"/>
    <w:rsid w:val="003B3AA3"/>
    <w:rsid w:val="003B3D47"/>
    <w:rsid w:val="003B3D78"/>
    <w:rsid w:val="003B478B"/>
    <w:rsid w:val="003B570F"/>
    <w:rsid w:val="003B6387"/>
    <w:rsid w:val="003B6E43"/>
    <w:rsid w:val="003B7237"/>
    <w:rsid w:val="003C096D"/>
    <w:rsid w:val="003C0E95"/>
    <w:rsid w:val="003C1028"/>
    <w:rsid w:val="003C1653"/>
    <w:rsid w:val="003C205E"/>
    <w:rsid w:val="003C210F"/>
    <w:rsid w:val="003C2158"/>
    <w:rsid w:val="003C2208"/>
    <w:rsid w:val="003C282E"/>
    <w:rsid w:val="003C2924"/>
    <w:rsid w:val="003C2D1C"/>
    <w:rsid w:val="003C2DFE"/>
    <w:rsid w:val="003C3114"/>
    <w:rsid w:val="003C4254"/>
    <w:rsid w:val="003C4632"/>
    <w:rsid w:val="003C4945"/>
    <w:rsid w:val="003C50AE"/>
    <w:rsid w:val="003C6758"/>
    <w:rsid w:val="003C79A0"/>
    <w:rsid w:val="003D0AF3"/>
    <w:rsid w:val="003D0B54"/>
    <w:rsid w:val="003D25F5"/>
    <w:rsid w:val="003D27CC"/>
    <w:rsid w:val="003D435F"/>
    <w:rsid w:val="003D554F"/>
    <w:rsid w:val="003D5D63"/>
    <w:rsid w:val="003D6A47"/>
    <w:rsid w:val="003D6DF2"/>
    <w:rsid w:val="003D703A"/>
    <w:rsid w:val="003D7146"/>
    <w:rsid w:val="003D748A"/>
    <w:rsid w:val="003D76D8"/>
    <w:rsid w:val="003D7D3E"/>
    <w:rsid w:val="003E04DE"/>
    <w:rsid w:val="003E0E01"/>
    <w:rsid w:val="003E0E9C"/>
    <w:rsid w:val="003E1044"/>
    <w:rsid w:val="003E168D"/>
    <w:rsid w:val="003E1CA9"/>
    <w:rsid w:val="003E22C4"/>
    <w:rsid w:val="003E3A1D"/>
    <w:rsid w:val="003E470E"/>
    <w:rsid w:val="003E4DD3"/>
    <w:rsid w:val="003E657B"/>
    <w:rsid w:val="003E7065"/>
    <w:rsid w:val="003E7485"/>
    <w:rsid w:val="003E7507"/>
    <w:rsid w:val="003E7CE2"/>
    <w:rsid w:val="003F0597"/>
    <w:rsid w:val="003F062E"/>
    <w:rsid w:val="003F107C"/>
    <w:rsid w:val="003F18F7"/>
    <w:rsid w:val="003F1E9D"/>
    <w:rsid w:val="003F2957"/>
    <w:rsid w:val="003F362B"/>
    <w:rsid w:val="003F3656"/>
    <w:rsid w:val="003F3B02"/>
    <w:rsid w:val="003F3BF4"/>
    <w:rsid w:val="003F3FAF"/>
    <w:rsid w:val="003F670D"/>
    <w:rsid w:val="003F7B32"/>
    <w:rsid w:val="00400110"/>
    <w:rsid w:val="00400526"/>
    <w:rsid w:val="00400983"/>
    <w:rsid w:val="00401990"/>
    <w:rsid w:val="00403ED5"/>
    <w:rsid w:val="0040459B"/>
    <w:rsid w:val="00404C21"/>
    <w:rsid w:val="00405294"/>
    <w:rsid w:val="004054B1"/>
    <w:rsid w:val="00405940"/>
    <w:rsid w:val="00405B58"/>
    <w:rsid w:val="00406A51"/>
    <w:rsid w:val="004074DD"/>
    <w:rsid w:val="00407696"/>
    <w:rsid w:val="004105E0"/>
    <w:rsid w:val="0041160A"/>
    <w:rsid w:val="00411F68"/>
    <w:rsid w:val="00412740"/>
    <w:rsid w:val="00412CF2"/>
    <w:rsid w:val="00413F4D"/>
    <w:rsid w:val="0041457A"/>
    <w:rsid w:val="004153FC"/>
    <w:rsid w:val="004158F0"/>
    <w:rsid w:val="00416547"/>
    <w:rsid w:val="004166F7"/>
    <w:rsid w:val="00416870"/>
    <w:rsid w:val="00417308"/>
    <w:rsid w:val="0041772A"/>
    <w:rsid w:val="0041779B"/>
    <w:rsid w:val="0042017B"/>
    <w:rsid w:val="004208F0"/>
    <w:rsid w:val="00420913"/>
    <w:rsid w:val="00420B43"/>
    <w:rsid w:val="00420D3C"/>
    <w:rsid w:val="004211F6"/>
    <w:rsid w:val="00421A81"/>
    <w:rsid w:val="00422883"/>
    <w:rsid w:val="00422ACC"/>
    <w:rsid w:val="00424BD9"/>
    <w:rsid w:val="00424E25"/>
    <w:rsid w:val="0042529A"/>
    <w:rsid w:val="00425D46"/>
    <w:rsid w:val="00426845"/>
    <w:rsid w:val="00427219"/>
    <w:rsid w:val="004274C1"/>
    <w:rsid w:val="00427977"/>
    <w:rsid w:val="00427B82"/>
    <w:rsid w:val="00430234"/>
    <w:rsid w:val="00431767"/>
    <w:rsid w:val="00431E4B"/>
    <w:rsid w:val="0043207F"/>
    <w:rsid w:val="0043296A"/>
    <w:rsid w:val="00433CB2"/>
    <w:rsid w:val="00434700"/>
    <w:rsid w:val="00434E44"/>
    <w:rsid w:val="00434E64"/>
    <w:rsid w:val="00435604"/>
    <w:rsid w:val="00435631"/>
    <w:rsid w:val="00435C79"/>
    <w:rsid w:val="004367EF"/>
    <w:rsid w:val="0043688A"/>
    <w:rsid w:val="00436A48"/>
    <w:rsid w:val="00436F71"/>
    <w:rsid w:val="0043785F"/>
    <w:rsid w:val="00437CA2"/>
    <w:rsid w:val="0044099F"/>
    <w:rsid w:val="004409C3"/>
    <w:rsid w:val="00440B2D"/>
    <w:rsid w:val="00440D16"/>
    <w:rsid w:val="004421AE"/>
    <w:rsid w:val="004421E3"/>
    <w:rsid w:val="004430BB"/>
    <w:rsid w:val="0044331B"/>
    <w:rsid w:val="00443831"/>
    <w:rsid w:val="004442BE"/>
    <w:rsid w:val="00445B5E"/>
    <w:rsid w:val="004468AE"/>
    <w:rsid w:val="00446911"/>
    <w:rsid w:val="00446EA3"/>
    <w:rsid w:val="00447F3F"/>
    <w:rsid w:val="00450343"/>
    <w:rsid w:val="00450950"/>
    <w:rsid w:val="00450EFF"/>
    <w:rsid w:val="00451043"/>
    <w:rsid w:val="00451104"/>
    <w:rsid w:val="00451534"/>
    <w:rsid w:val="00452F6C"/>
    <w:rsid w:val="004535E1"/>
    <w:rsid w:val="00454144"/>
    <w:rsid w:val="0045422F"/>
    <w:rsid w:val="0045433C"/>
    <w:rsid w:val="0045471C"/>
    <w:rsid w:val="0045473B"/>
    <w:rsid w:val="00457115"/>
    <w:rsid w:val="00460705"/>
    <w:rsid w:val="00460A24"/>
    <w:rsid w:val="00460BC9"/>
    <w:rsid w:val="0046151F"/>
    <w:rsid w:val="00462AA7"/>
    <w:rsid w:val="00463AB6"/>
    <w:rsid w:val="00464052"/>
    <w:rsid w:val="00464102"/>
    <w:rsid w:val="00465799"/>
    <w:rsid w:val="0046586B"/>
    <w:rsid w:val="004660F5"/>
    <w:rsid w:val="0046675F"/>
    <w:rsid w:val="004674F7"/>
    <w:rsid w:val="00470219"/>
    <w:rsid w:val="00470256"/>
    <w:rsid w:val="004704F9"/>
    <w:rsid w:val="00470847"/>
    <w:rsid w:val="004708C0"/>
    <w:rsid w:val="00471039"/>
    <w:rsid w:val="00471447"/>
    <w:rsid w:val="00471B70"/>
    <w:rsid w:val="00471D1D"/>
    <w:rsid w:val="00471D33"/>
    <w:rsid w:val="0047220A"/>
    <w:rsid w:val="004726C0"/>
    <w:rsid w:val="0047271F"/>
    <w:rsid w:val="004728D6"/>
    <w:rsid w:val="00472EDA"/>
    <w:rsid w:val="004732C6"/>
    <w:rsid w:val="00473ED5"/>
    <w:rsid w:val="004744E1"/>
    <w:rsid w:val="00474682"/>
    <w:rsid w:val="004758DE"/>
    <w:rsid w:val="00475AE3"/>
    <w:rsid w:val="00475F4B"/>
    <w:rsid w:val="004769C3"/>
    <w:rsid w:val="00477159"/>
    <w:rsid w:val="00477B88"/>
    <w:rsid w:val="00480253"/>
    <w:rsid w:val="004805D6"/>
    <w:rsid w:val="00480B8A"/>
    <w:rsid w:val="00481C22"/>
    <w:rsid w:val="004825A3"/>
    <w:rsid w:val="00482DFE"/>
    <w:rsid w:val="004834BC"/>
    <w:rsid w:val="00484AD3"/>
    <w:rsid w:val="004851EA"/>
    <w:rsid w:val="0048573D"/>
    <w:rsid w:val="00485A63"/>
    <w:rsid w:val="004868DB"/>
    <w:rsid w:val="00486BF3"/>
    <w:rsid w:val="004872D2"/>
    <w:rsid w:val="00487AE4"/>
    <w:rsid w:val="00490B11"/>
    <w:rsid w:val="00490B1D"/>
    <w:rsid w:val="00490E21"/>
    <w:rsid w:val="00491AFA"/>
    <w:rsid w:val="00491FB6"/>
    <w:rsid w:val="004931A3"/>
    <w:rsid w:val="00493412"/>
    <w:rsid w:val="00493C3D"/>
    <w:rsid w:val="00495348"/>
    <w:rsid w:val="0049640D"/>
    <w:rsid w:val="00497168"/>
    <w:rsid w:val="004972DE"/>
    <w:rsid w:val="004972E4"/>
    <w:rsid w:val="00497732"/>
    <w:rsid w:val="00497984"/>
    <w:rsid w:val="00497C57"/>
    <w:rsid w:val="00497D4F"/>
    <w:rsid w:val="004A02DC"/>
    <w:rsid w:val="004A0C09"/>
    <w:rsid w:val="004A126D"/>
    <w:rsid w:val="004A2333"/>
    <w:rsid w:val="004A29E4"/>
    <w:rsid w:val="004A32F1"/>
    <w:rsid w:val="004A33E9"/>
    <w:rsid w:val="004A371F"/>
    <w:rsid w:val="004A3EA6"/>
    <w:rsid w:val="004A3ECA"/>
    <w:rsid w:val="004A4BF6"/>
    <w:rsid w:val="004A5001"/>
    <w:rsid w:val="004A590B"/>
    <w:rsid w:val="004A5D5B"/>
    <w:rsid w:val="004A69AD"/>
    <w:rsid w:val="004A6D0D"/>
    <w:rsid w:val="004B04C6"/>
    <w:rsid w:val="004B08D3"/>
    <w:rsid w:val="004B1613"/>
    <w:rsid w:val="004B2572"/>
    <w:rsid w:val="004B2685"/>
    <w:rsid w:val="004B35F7"/>
    <w:rsid w:val="004B3D4B"/>
    <w:rsid w:val="004B3E3D"/>
    <w:rsid w:val="004B4273"/>
    <w:rsid w:val="004B4E32"/>
    <w:rsid w:val="004B5321"/>
    <w:rsid w:val="004B5383"/>
    <w:rsid w:val="004B64B5"/>
    <w:rsid w:val="004B7076"/>
    <w:rsid w:val="004B74AF"/>
    <w:rsid w:val="004C049D"/>
    <w:rsid w:val="004C1BAB"/>
    <w:rsid w:val="004C202B"/>
    <w:rsid w:val="004C21FA"/>
    <w:rsid w:val="004C26B8"/>
    <w:rsid w:val="004C26D2"/>
    <w:rsid w:val="004C4444"/>
    <w:rsid w:val="004C4CB2"/>
    <w:rsid w:val="004C4D5D"/>
    <w:rsid w:val="004C5F79"/>
    <w:rsid w:val="004C612A"/>
    <w:rsid w:val="004C62F7"/>
    <w:rsid w:val="004C637F"/>
    <w:rsid w:val="004C6EE9"/>
    <w:rsid w:val="004C722F"/>
    <w:rsid w:val="004C7237"/>
    <w:rsid w:val="004D03FA"/>
    <w:rsid w:val="004D07E5"/>
    <w:rsid w:val="004D14A8"/>
    <w:rsid w:val="004D2992"/>
    <w:rsid w:val="004D2BAF"/>
    <w:rsid w:val="004D2C10"/>
    <w:rsid w:val="004D3202"/>
    <w:rsid w:val="004D469E"/>
    <w:rsid w:val="004D4741"/>
    <w:rsid w:val="004D48A5"/>
    <w:rsid w:val="004D4B44"/>
    <w:rsid w:val="004D4E20"/>
    <w:rsid w:val="004D7FEA"/>
    <w:rsid w:val="004E08BE"/>
    <w:rsid w:val="004E0C6B"/>
    <w:rsid w:val="004E0D06"/>
    <w:rsid w:val="004E183B"/>
    <w:rsid w:val="004E1C62"/>
    <w:rsid w:val="004E2497"/>
    <w:rsid w:val="004E24BC"/>
    <w:rsid w:val="004E2DFB"/>
    <w:rsid w:val="004E3363"/>
    <w:rsid w:val="004E3D51"/>
    <w:rsid w:val="004E3F63"/>
    <w:rsid w:val="004E4F5A"/>
    <w:rsid w:val="004E5131"/>
    <w:rsid w:val="004E5520"/>
    <w:rsid w:val="004E55BA"/>
    <w:rsid w:val="004E565E"/>
    <w:rsid w:val="004E67DD"/>
    <w:rsid w:val="004E7840"/>
    <w:rsid w:val="004E791A"/>
    <w:rsid w:val="004E7B02"/>
    <w:rsid w:val="004F07EF"/>
    <w:rsid w:val="004F0AE6"/>
    <w:rsid w:val="004F0C24"/>
    <w:rsid w:val="004F16D1"/>
    <w:rsid w:val="004F18F6"/>
    <w:rsid w:val="004F1AD1"/>
    <w:rsid w:val="004F344E"/>
    <w:rsid w:val="004F370D"/>
    <w:rsid w:val="004F3CFC"/>
    <w:rsid w:val="004F42C1"/>
    <w:rsid w:val="004F4A05"/>
    <w:rsid w:val="004F52B4"/>
    <w:rsid w:val="004F59BE"/>
    <w:rsid w:val="004F5D8B"/>
    <w:rsid w:val="004F6318"/>
    <w:rsid w:val="004F63DF"/>
    <w:rsid w:val="004F6CAB"/>
    <w:rsid w:val="004F7887"/>
    <w:rsid w:val="004F79B7"/>
    <w:rsid w:val="005008CC"/>
    <w:rsid w:val="005010D2"/>
    <w:rsid w:val="005016B0"/>
    <w:rsid w:val="00501D0E"/>
    <w:rsid w:val="0050202E"/>
    <w:rsid w:val="00502774"/>
    <w:rsid w:val="00503B05"/>
    <w:rsid w:val="00503DFC"/>
    <w:rsid w:val="00503F34"/>
    <w:rsid w:val="005041F1"/>
    <w:rsid w:val="00504C1B"/>
    <w:rsid w:val="005063ED"/>
    <w:rsid w:val="0050642C"/>
    <w:rsid w:val="00506B0A"/>
    <w:rsid w:val="00506B3B"/>
    <w:rsid w:val="00506BF3"/>
    <w:rsid w:val="00506E8E"/>
    <w:rsid w:val="00507250"/>
    <w:rsid w:val="005076C2"/>
    <w:rsid w:val="00507FF6"/>
    <w:rsid w:val="00510671"/>
    <w:rsid w:val="00510B87"/>
    <w:rsid w:val="00511346"/>
    <w:rsid w:val="00511BC9"/>
    <w:rsid w:val="00511C57"/>
    <w:rsid w:val="0051274C"/>
    <w:rsid w:val="005128B6"/>
    <w:rsid w:val="00512E54"/>
    <w:rsid w:val="00513932"/>
    <w:rsid w:val="00513F5E"/>
    <w:rsid w:val="00514271"/>
    <w:rsid w:val="005148A3"/>
    <w:rsid w:val="00514F62"/>
    <w:rsid w:val="00515560"/>
    <w:rsid w:val="00516548"/>
    <w:rsid w:val="00517831"/>
    <w:rsid w:val="005203E1"/>
    <w:rsid w:val="005216FD"/>
    <w:rsid w:val="00522232"/>
    <w:rsid w:val="00522383"/>
    <w:rsid w:val="005228C3"/>
    <w:rsid w:val="0052315E"/>
    <w:rsid w:val="005231BF"/>
    <w:rsid w:val="005234AF"/>
    <w:rsid w:val="00525787"/>
    <w:rsid w:val="00525DF4"/>
    <w:rsid w:val="0052705D"/>
    <w:rsid w:val="005270A5"/>
    <w:rsid w:val="005271CF"/>
    <w:rsid w:val="00527651"/>
    <w:rsid w:val="00530D42"/>
    <w:rsid w:val="00530E86"/>
    <w:rsid w:val="00530E90"/>
    <w:rsid w:val="00531247"/>
    <w:rsid w:val="005314AC"/>
    <w:rsid w:val="00531A41"/>
    <w:rsid w:val="005325CC"/>
    <w:rsid w:val="005335C3"/>
    <w:rsid w:val="005346FE"/>
    <w:rsid w:val="0053493A"/>
    <w:rsid w:val="00534965"/>
    <w:rsid w:val="00534ECB"/>
    <w:rsid w:val="005358B4"/>
    <w:rsid w:val="0054064D"/>
    <w:rsid w:val="005406FD"/>
    <w:rsid w:val="0054089B"/>
    <w:rsid w:val="00540AC5"/>
    <w:rsid w:val="00540BE7"/>
    <w:rsid w:val="005426C2"/>
    <w:rsid w:val="005429BE"/>
    <w:rsid w:val="00542A11"/>
    <w:rsid w:val="00545A36"/>
    <w:rsid w:val="00546559"/>
    <w:rsid w:val="005465E0"/>
    <w:rsid w:val="005467EB"/>
    <w:rsid w:val="00546AA5"/>
    <w:rsid w:val="00547601"/>
    <w:rsid w:val="00547BA0"/>
    <w:rsid w:val="0055015D"/>
    <w:rsid w:val="0055058D"/>
    <w:rsid w:val="00550895"/>
    <w:rsid w:val="00551FFF"/>
    <w:rsid w:val="00553EB0"/>
    <w:rsid w:val="0055426F"/>
    <w:rsid w:val="0055446F"/>
    <w:rsid w:val="00554678"/>
    <w:rsid w:val="00555222"/>
    <w:rsid w:val="005559A8"/>
    <w:rsid w:val="00557809"/>
    <w:rsid w:val="00557C85"/>
    <w:rsid w:val="00560C19"/>
    <w:rsid w:val="00560ED1"/>
    <w:rsid w:val="00561B7D"/>
    <w:rsid w:val="00562D36"/>
    <w:rsid w:val="00562E23"/>
    <w:rsid w:val="00563170"/>
    <w:rsid w:val="00564F63"/>
    <w:rsid w:val="005655DD"/>
    <w:rsid w:val="00565E32"/>
    <w:rsid w:val="005665B1"/>
    <w:rsid w:val="0056722B"/>
    <w:rsid w:val="00567C21"/>
    <w:rsid w:val="00567CDC"/>
    <w:rsid w:val="00570837"/>
    <w:rsid w:val="00570BDD"/>
    <w:rsid w:val="00570C0E"/>
    <w:rsid w:val="00572558"/>
    <w:rsid w:val="00573060"/>
    <w:rsid w:val="00573821"/>
    <w:rsid w:val="0057388C"/>
    <w:rsid w:val="0057413F"/>
    <w:rsid w:val="00574A2F"/>
    <w:rsid w:val="00575E3A"/>
    <w:rsid w:val="0057657D"/>
    <w:rsid w:val="00576614"/>
    <w:rsid w:val="005768F3"/>
    <w:rsid w:val="00576E52"/>
    <w:rsid w:val="005776D2"/>
    <w:rsid w:val="00577957"/>
    <w:rsid w:val="00577C14"/>
    <w:rsid w:val="00580123"/>
    <w:rsid w:val="005802BF"/>
    <w:rsid w:val="0058095C"/>
    <w:rsid w:val="00580F2D"/>
    <w:rsid w:val="00581039"/>
    <w:rsid w:val="005814AC"/>
    <w:rsid w:val="00581D56"/>
    <w:rsid w:val="00581E19"/>
    <w:rsid w:val="00582246"/>
    <w:rsid w:val="00582436"/>
    <w:rsid w:val="0058309C"/>
    <w:rsid w:val="00584093"/>
    <w:rsid w:val="0058425B"/>
    <w:rsid w:val="00584758"/>
    <w:rsid w:val="00585AB6"/>
    <w:rsid w:val="00585AD7"/>
    <w:rsid w:val="00585C38"/>
    <w:rsid w:val="00585D17"/>
    <w:rsid w:val="00586018"/>
    <w:rsid w:val="00586FA1"/>
    <w:rsid w:val="0058707E"/>
    <w:rsid w:val="005879B7"/>
    <w:rsid w:val="005926A9"/>
    <w:rsid w:val="005926FE"/>
    <w:rsid w:val="00593133"/>
    <w:rsid w:val="00593A64"/>
    <w:rsid w:val="00593B3D"/>
    <w:rsid w:val="00593F1C"/>
    <w:rsid w:val="00594585"/>
    <w:rsid w:val="005950FE"/>
    <w:rsid w:val="00596CE0"/>
    <w:rsid w:val="00597509"/>
    <w:rsid w:val="00597CC7"/>
    <w:rsid w:val="005A0745"/>
    <w:rsid w:val="005A23B8"/>
    <w:rsid w:val="005A27B6"/>
    <w:rsid w:val="005A2E34"/>
    <w:rsid w:val="005A3212"/>
    <w:rsid w:val="005A3289"/>
    <w:rsid w:val="005A36A6"/>
    <w:rsid w:val="005A4372"/>
    <w:rsid w:val="005A4BB0"/>
    <w:rsid w:val="005A5697"/>
    <w:rsid w:val="005A5FB6"/>
    <w:rsid w:val="005A60A1"/>
    <w:rsid w:val="005A6369"/>
    <w:rsid w:val="005A6918"/>
    <w:rsid w:val="005A6B2B"/>
    <w:rsid w:val="005A6F1D"/>
    <w:rsid w:val="005A7C0B"/>
    <w:rsid w:val="005A7EB7"/>
    <w:rsid w:val="005B02B8"/>
    <w:rsid w:val="005B02E3"/>
    <w:rsid w:val="005B09C4"/>
    <w:rsid w:val="005B0A27"/>
    <w:rsid w:val="005B1014"/>
    <w:rsid w:val="005B1521"/>
    <w:rsid w:val="005B321C"/>
    <w:rsid w:val="005B325E"/>
    <w:rsid w:val="005B33EC"/>
    <w:rsid w:val="005B445D"/>
    <w:rsid w:val="005B5097"/>
    <w:rsid w:val="005B6768"/>
    <w:rsid w:val="005B6912"/>
    <w:rsid w:val="005B6C42"/>
    <w:rsid w:val="005B6FD5"/>
    <w:rsid w:val="005B71BC"/>
    <w:rsid w:val="005B77A5"/>
    <w:rsid w:val="005B77E3"/>
    <w:rsid w:val="005C01F5"/>
    <w:rsid w:val="005C029D"/>
    <w:rsid w:val="005C1110"/>
    <w:rsid w:val="005C1739"/>
    <w:rsid w:val="005C2B41"/>
    <w:rsid w:val="005C2EDD"/>
    <w:rsid w:val="005C331A"/>
    <w:rsid w:val="005C33EA"/>
    <w:rsid w:val="005C3832"/>
    <w:rsid w:val="005C41EB"/>
    <w:rsid w:val="005C473B"/>
    <w:rsid w:val="005C595F"/>
    <w:rsid w:val="005C5BF2"/>
    <w:rsid w:val="005C68C9"/>
    <w:rsid w:val="005D0118"/>
    <w:rsid w:val="005D02B0"/>
    <w:rsid w:val="005D0483"/>
    <w:rsid w:val="005D0680"/>
    <w:rsid w:val="005D07D9"/>
    <w:rsid w:val="005D0F3E"/>
    <w:rsid w:val="005D1941"/>
    <w:rsid w:val="005D1BE9"/>
    <w:rsid w:val="005D238E"/>
    <w:rsid w:val="005D2895"/>
    <w:rsid w:val="005D3956"/>
    <w:rsid w:val="005D3CAB"/>
    <w:rsid w:val="005D3E5E"/>
    <w:rsid w:val="005D3EA9"/>
    <w:rsid w:val="005D44DC"/>
    <w:rsid w:val="005D466C"/>
    <w:rsid w:val="005D5B33"/>
    <w:rsid w:val="005D5DB2"/>
    <w:rsid w:val="005D63D7"/>
    <w:rsid w:val="005D6464"/>
    <w:rsid w:val="005D6C02"/>
    <w:rsid w:val="005D6FB7"/>
    <w:rsid w:val="005D733B"/>
    <w:rsid w:val="005D74F2"/>
    <w:rsid w:val="005D7830"/>
    <w:rsid w:val="005D7D69"/>
    <w:rsid w:val="005D7E3C"/>
    <w:rsid w:val="005E05A8"/>
    <w:rsid w:val="005E180C"/>
    <w:rsid w:val="005E1D4B"/>
    <w:rsid w:val="005E2168"/>
    <w:rsid w:val="005E22C7"/>
    <w:rsid w:val="005E2815"/>
    <w:rsid w:val="005E2EB3"/>
    <w:rsid w:val="005E3E9B"/>
    <w:rsid w:val="005E400D"/>
    <w:rsid w:val="005E4FD6"/>
    <w:rsid w:val="005E5415"/>
    <w:rsid w:val="005E59F9"/>
    <w:rsid w:val="005E5D06"/>
    <w:rsid w:val="005E5EBF"/>
    <w:rsid w:val="005E6632"/>
    <w:rsid w:val="005F01B6"/>
    <w:rsid w:val="005F0D2E"/>
    <w:rsid w:val="005F1F0E"/>
    <w:rsid w:val="005F1FC0"/>
    <w:rsid w:val="005F2467"/>
    <w:rsid w:val="005F2E1B"/>
    <w:rsid w:val="005F3BED"/>
    <w:rsid w:val="005F3E46"/>
    <w:rsid w:val="005F3E4D"/>
    <w:rsid w:val="005F4616"/>
    <w:rsid w:val="005F5357"/>
    <w:rsid w:val="005F5404"/>
    <w:rsid w:val="005F72D8"/>
    <w:rsid w:val="00600D77"/>
    <w:rsid w:val="00600D95"/>
    <w:rsid w:val="006013E0"/>
    <w:rsid w:val="00601474"/>
    <w:rsid w:val="006031AF"/>
    <w:rsid w:val="006041E2"/>
    <w:rsid w:val="006066F1"/>
    <w:rsid w:val="00606A68"/>
    <w:rsid w:val="00607796"/>
    <w:rsid w:val="006078F5"/>
    <w:rsid w:val="0061222E"/>
    <w:rsid w:val="006137C3"/>
    <w:rsid w:val="00613A81"/>
    <w:rsid w:val="00613B5D"/>
    <w:rsid w:val="00615041"/>
    <w:rsid w:val="0061649F"/>
    <w:rsid w:val="00616BA1"/>
    <w:rsid w:val="00616DE3"/>
    <w:rsid w:val="006170EF"/>
    <w:rsid w:val="00617A67"/>
    <w:rsid w:val="00617BEB"/>
    <w:rsid w:val="00621856"/>
    <w:rsid w:val="00622CF0"/>
    <w:rsid w:val="00623440"/>
    <w:rsid w:val="00623925"/>
    <w:rsid w:val="006240DA"/>
    <w:rsid w:val="00624689"/>
    <w:rsid w:val="00624CE0"/>
    <w:rsid w:val="00624EBB"/>
    <w:rsid w:val="00625499"/>
    <w:rsid w:val="00626C37"/>
    <w:rsid w:val="00626FDF"/>
    <w:rsid w:val="00627948"/>
    <w:rsid w:val="006279EF"/>
    <w:rsid w:val="00627C24"/>
    <w:rsid w:val="0063078B"/>
    <w:rsid w:val="00630D99"/>
    <w:rsid w:val="0063159E"/>
    <w:rsid w:val="00631648"/>
    <w:rsid w:val="006318E1"/>
    <w:rsid w:val="00631A6E"/>
    <w:rsid w:val="006332C7"/>
    <w:rsid w:val="00633518"/>
    <w:rsid w:val="00633DBA"/>
    <w:rsid w:val="00633F5E"/>
    <w:rsid w:val="00634247"/>
    <w:rsid w:val="0063428A"/>
    <w:rsid w:val="00634856"/>
    <w:rsid w:val="00634C05"/>
    <w:rsid w:val="00635858"/>
    <w:rsid w:val="00635BAA"/>
    <w:rsid w:val="00636540"/>
    <w:rsid w:val="00636DBD"/>
    <w:rsid w:val="00637056"/>
    <w:rsid w:val="0064120B"/>
    <w:rsid w:val="0064133A"/>
    <w:rsid w:val="00641433"/>
    <w:rsid w:val="00641937"/>
    <w:rsid w:val="00642021"/>
    <w:rsid w:val="0064218D"/>
    <w:rsid w:val="00642A99"/>
    <w:rsid w:val="00642FBC"/>
    <w:rsid w:val="0064322F"/>
    <w:rsid w:val="00644E45"/>
    <w:rsid w:val="00645377"/>
    <w:rsid w:val="0064643D"/>
    <w:rsid w:val="00646954"/>
    <w:rsid w:val="006473DB"/>
    <w:rsid w:val="0064773C"/>
    <w:rsid w:val="00647784"/>
    <w:rsid w:val="00647BE8"/>
    <w:rsid w:val="0065045C"/>
    <w:rsid w:val="00651154"/>
    <w:rsid w:val="006514F8"/>
    <w:rsid w:val="00651A47"/>
    <w:rsid w:val="00652533"/>
    <w:rsid w:val="00652BA1"/>
    <w:rsid w:val="0065300A"/>
    <w:rsid w:val="0065327D"/>
    <w:rsid w:val="00653B2B"/>
    <w:rsid w:val="00653B79"/>
    <w:rsid w:val="00654BBD"/>
    <w:rsid w:val="006550AF"/>
    <w:rsid w:val="006551E0"/>
    <w:rsid w:val="006559CC"/>
    <w:rsid w:val="00655B47"/>
    <w:rsid w:val="00655B8C"/>
    <w:rsid w:val="006575AC"/>
    <w:rsid w:val="00657C7C"/>
    <w:rsid w:val="00657DDA"/>
    <w:rsid w:val="0066023F"/>
    <w:rsid w:val="0066027B"/>
    <w:rsid w:val="00660442"/>
    <w:rsid w:val="00660A7D"/>
    <w:rsid w:val="0066108F"/>
    <w:rsid w:val="00661441"/>
    <w:rsid w:val="0066175C"/>
    <w:rsid w:val="006617C3"/>
    <w:rsid w:val="00661962"/>
    <w:rsid w:val="00661A4E"/>
    <w:rsid w:val="006620AD"/>
    <w:rsid w:val="00663397"/>
    <w:rsid w:val="00663FAD"/>
    <w:rsid w:val="006656A6"/>
    <w:rsid w:val="00665ECF"/>
    <w:rsid w:val="0066619E"/>
    <w:rsid w:val="00667089"/>
    <w:rsid w:val="00671777"/>
    <w:rsid w:val="006717A3"/>
    <w:rsid w:val="00671ECF"/>
    <w:rsid w:val="00672383"/>
    <w:rsid w:val="0067261D"/>
    <w:rsid w:val="006727AC"/>
    <w:rsid w:val="00672A2B"/>
    <w:rsid w:val="00672FEF"/>
    <w:rsid w:val="0067484C"/>
    <w:rsid w:val="00675156"/>
    <w:rsid w:val="006754A3"/>
    <w:rsid w:val="0067782A"/>
    <w:rsid w:val="0068033A"/>
    <w:rsid w:val="00680AAE"/>
    <w:rsid w:val="0068173C"/>
    <w:rsid w:val="006817AF"/>
    <w:rsid w:val="006820FF"/>
    <w:rsid w:val="00682184"/>
    <w:rsid w:val="006821CC"/>
    <w:rsid w:val="0068256D"/>
    <w:rsid w:val="00682795"/>
    <w:rsid w:val="00683592"/>
    <w:rsid w:val="006836AA"/>
    <w:rsid w:val="00683796"/>
    <w:rsid w:val="00684C07"/>
    <w:rsid w:val="0068542B"/>
    <w:rsid w:val="00685467"/>
    <w:rsid w:val="00685E82"/>
    <w:rsid w:val="006860E0"/>
    <w:rsid w:val="006864D5"/>
    <w:rsid w:val="00686596"/>
    <w:rsid w:val="00686868"/>
    <w:rsid w:val="00686CA3"/>
    <w:rsid w:val="00687097"/>
    <w:rsid w:val="00687307"/>
    <w:rsid w:val="0069013E"/>
    <w:rsid w:val="006905FD"/>
    <w:rsid w:val="00690E47"/>
    <w:rsid w:val="00691370"/>
    <w:rsid w:val="0069195E"/>
    <w:rsid w:val="00691E3B"/>
    <w:rsid w:val="00692444"/>
    <w:rsid w:val="00693383"/>
    <w:rsid w:val="006934E4"/>
    <w:rsid w:val="00693D6C"/>
    <w:rsid w:val="006945C1"/>
    <w:rsid w:val="006946EF"/>
    <w:rsid w:val="00695A2C"/>
    <w:rsid w:val="00696BA6"/>
    <w:rsid w:val="006975E3"/>
    <w:rsid w:val="0069760B"/>
    <w:rsid w:val="0069792B"/>
    <w:rsid w:val="00697B51"/>
    <w:rsid w:val="00697E8F"/>
    <w:rsid w:val="006A0433"/>
    <w:rsid w:val="006A0757"/>
    <w:rsid w:val="006A08BD"/>
    <w:rsid w:val="006A0913"/>
    <w:rsid w:val="006A0A7A"/>
    <w:rsid w:val="006A0BB6"/>
    <w:rsid w:val="006A0CA6"/>
    <w:rsid w:val="006A1512"/>
    <w:rsid w:val="006A18F3"/>
    <w:rsid w:val="006A1ECF"/>
    <w:rsid w:val="006A230B"/>
    <w:rsid w:val="006A351A"/>
    <w:rsid w:val="006A3B5A"/>
    <w:rsid w:val="006A411A"/>
    <w:rsid w:val="006A552D"/>
    <w:rsid w:val="006A5708"/>
    <w:rsid w:val="006A5A1C"/>
    <w:rsid w:val="006A6B2C"/>
    <w:rsid w:val="006A6D52"/>
    <w:rsid w:val="006A77FC"/>
    <w:rsid w:val="006A7BD0"/>
    <w:rsid w:val="006B0266"/>
    <w:rsid w:val="006B11E8"/>
    <w:rsid w:val="006B12D2"/>
    <w:rsid w:val="006B14FF"/>
    <w:rsid w:val="006B1FC1"/>
    <w:rsid w:val="006B2086"/>
    <w:rsid w:val="006B2CA2"/>
    <w:rsid w:val="006B314F"/>
    <w:rsid w:val="006B3C2A"/>
    <w:rsid w:val="006B695F"/>
    <w:rsid w:val="006B6E07"/>
    <w:rsid w:val="006B6E0B"/>
    <w:rsid w:val="006B780E"/>
    <w:rsid w:val="006B7ED4"/>
    <w:rsid w:val="006C0202"/>
    <w:rsid w:val="006C0438"/>
    <w:rsid w:val="006C0465"/>
    <w:rsid w:val="006C0877"/>
    <w:rsid w:val="006C09E5"/>
    <w:rsid w:val="006C0CD4"/>
    <w:rsid w:val="006C1139"/>
    <w:rsid w:val="006C15C1"/>
    <w:rsid w:val="006C15D0"/>
    <w:rsid w:val="006C1649"/>
    <w:rsid w:val="006C1ABB"/>
    <w:rsid w:val="006C2082"/>
    <w:rsid w:val="006C2BF9"/>
    <w:rsid w:val="006C2CF5"/>
    <w:rsid w:val="006C31B7"/>
    <w:rsid w:val="006C39DF"/>
    <w:rsid w:val="006C3B01"/>
    <w:rsid w:val="006C434A"/>
    <w:rsid w:val="006C4C14"/>
    <w:rsid w:val="006C60A7"/>
    <w:rsid w:val="006C6BFF"/>
    <w:rsid w:val="006C7006"/>
    <w:rsid w:val="006C770A"/>
    <w:rsid w:val="006C7D09"/>
    <w:rsid w:val="006D0BD2"/>
    <w:rsid w:val="006D0C10"/>
    <w:rsid w:val="006D0E54"/>
    <w:rsid w:val="006D23F8"/>
    <w:rsid w:val="006D2675"/>
    <w:rsid w:val="006D3119"/>
    <w:rsid w:val="006D50CD"/>
    <w:rsid w:val="006D5C60"/>
    <w:rsid w:val="006D63AB"/>
    <w:rsid w:val="006D68DC"/>
    <w:rsid w:val="006D7C72"/>
    <w:rsid w:val="006E004B"/>
    <w:rsid w:val="006E1197"/>
    <w:rsid w:val="006E15E3"/>
    <w:rsid w:val="006E17ED"/>
    <w:rsid w:val="006E2B29"/>
    <w:rsid w:val="006E2BE2"/>
    <w:rsid w:val="006E2F48"/>
    <w:rsid w:val="006E3028"/>
    <w:rsid w:val="006E3061"/>
    <w:rsid w:val="006E3C78"/>
    <w:rsid w:val="006E3F95"/>
    <w:rsid w:val="006E4152"/>
    <w:rsid w:val="006E51CE"/>
    <w:rsid w:val="006E54CD"/>
    <w:rsid w:val="006E6238"/>
    <w:rsid w:val="006E738B"/>
    <w:rsid w:val="006E743A"/>
    <w:rsid w:val="006E7C49"/>
    <w:rsid w:val="006F0457"/>
    <w:rsid w:val="006F0688"/>
    <w:rsid w:val="006F0B6A"/>
    <w:rsid w:val="006F0D13"/>
    <w:rsid w:val="006F0E4F"/>
    <w:rsid w:val="006F193E"/>
    <w:rsid w:val="006F1D72"/>
    <w:rsid w:val="006F2C8F"/>
    <w:rsid w:val="006F2FA8"/>
    <w:rsid w:val="006F304C"/>
    <w:rsid w:val="006F31BB"/>
    <w:rsid w:val="006F3583"/>
    <w:rsid w:val="006F3EDF"/>
    <w:rsid w:val="006F5965"/>
    <w:rsid w:val="006F62E6"/>
    <w:rsid w:val="006F6A79"/>
    <w:rsid w:val="006F794A"/>
    <w:rsid w:val="006F7D06"/>
    <w:rsid w:val="00700125"/>
    <w:rsid w:val="0070068D"/>
    <w:rsid w:val="00700954"/>
    <w:rsid w:val="007034D0"/>
    <w:rsid w:val="00705643"/>
    <w:rsid w:val="00705867"/>
    <w:rsid w:val="00705BCE"/>
    <w:rsid w:val="007067B6"/>
    <w:rsid w:val="00706F3D"/>
    <w:rsid w:val="00707120"/>
    <w:rsid w:val="00707360"/>
    <w:rsid w:val="00707602"/>
    <w:rsid w:val="007101B4"/>
    <w:rsid w:val="00710424"/>
    <w:rsid w:val="00710591"/>
    <w:rsid w:val="00710D71"/>
    <w:rsid w:val="007114B7"/>
    <w:rsid w:val="007119A5"/>
    <w:rsid w:val="00711ED0"/>
    <w:rsid w:val="007122EA"/>
    <w:rsid w:val="007125AF"/>
    <w:rsid w:val="00712B97"/>
    <w:rsid w:val="0071373B"/>
    <w:rsid w:val="007137CC"/>
    <w:rsid w:val="00714273"/>
    <w:rsid w:val="007143DA"/>
    <w:rsid w:val="00714B40"/>
    <w:rsid w:val="00714E60"/>
    <w:rsid w:val="00715DF7"/>
    <w:rsid w:val="00715FBB"/>
    <w:rsid w:val="00716AC6"/>
    <w:rsid w:val="00716E1D"/>
    <w:rsid w:val="00717305"/>
    <w:rsid w:val="00717A01"/>
    <w:rsid w:val="00720767"/>
    <w:rsid w:val="0072177C"/>
    <w:rsid w:val="00721B0F"/>
    <w:rsid w:val="00722189"/>
    <w:rsid w:val="007224D0"/>
    <w:rsid w:val="00722F6F"/>
    <w:rsid w:val="00723405"/>
    <w:rsid w:val="0072376A"/>
    <w:rsid w:val="00723882"/>
    <w:rsid w:val="007241BC"/>
    <w:rsid w:val="00724CEF"/>
    <w:rsid w:val="00725C97"/>
    <w:rsid w:val="007261D7"/>
    <w:rsid w:val="0072706F"/>
    <w:rsid w:val="00727137"/>
    <w:rsid w:val="00727A17"/>
    <w:rsid w:val="00727BBA"/>
    <w:rsid w:val="007325A2"/>
    <w:rsid w:val="00732857"/>
    <w:rsid w:val="007328CF"/>
    <w:rsid w:val="00732D99"/>
    <w:rsid w:val="0073492C"/>
    <w:rsid w:val="00735048"/>
    <w:rsid w:val="00735526"/>
    <w:rsid w:val="007355D2"/>
    <w:rsid w:val="007360D9"/>
    <w:rsid w:val="00740BD9"/>
    <w:rsid w:val="00741BD7"/>
    <w:rsid w:val="00741C47"/>
    <w:rsid w:val="00742AC3"/>
    <w:rsid w:val="00742C5C"/>
    <w:rsid w:val="00743347"/>
    <w:rsid w:val="00743842"/>
    <w:rsid w:val="00743C10"/>
    <w:rsid w:val="00744469"/>
    <w:rsid w:val="00744E00"/>
    <w:rsid w:val="00745108"/>
    <w:rsid w:val="00745483"/>
    <w:rsid w:val="00745AD8"/>
    <w:rsid w:val="00745DC4"/>
    <w:rsid w:val="0074699A"/>
    <w:rsid w:val="00750029"/>
    <w:rsid w:val="00750300"/>
    <w:rsid w:val="007516A5"/>
    <w:rsid w:val="00751780"/>
    <w:rsid w:val="00751949"/>
    <w:rsid w:val="00751D5F"/>
    <w:rsid w:val="007539E9"/>
    <w:rsid w:val="00753AB7"/>
    <w:rsid w:val="00754325"/>
    <w:rsid w:val="00754562"/>
    <w:rsid w:val="0075581F"/>
    <w:rsid w:val="00756238"/>
    <w:rsid w:val="0075742A"/>
    <w:rsid w:val="00760577"/>
    <w:rsid w:val="00760F13"/>
    <w:rsid w:val="00761915"/>
    <w:rsid w:val="00761A82"/>
    <w:rsid w:val="00761D08"/>
    <w:rsid w:val="00762239"/>
    <w:rsid w:val="00763124"/>
    <w:rsid w:val="00763B79"/>
    <w:rsid w:val="007643A6"/>
    <w:rsid w:val="007645FF"/>
    <w:rsid w:val="00765A34"/>
    <w:rsid w:val="00766BC9"/>
    <w:rsid w:val="00766FB9"/>
    <w:rsid w:val="00767069"/>
    <w:rsid w:val="0076762A"/>
    <w:rsid w:val="0076780C"/>
    <w:rsid w:val="00770188"/>
    <w:rsid w:val="00771DB9"/>
    <w:rsid w:val="007724D5"/>
    <w:rsid w:val="00772D6A"/>
    <w:rsid w:val="00773421"/>
    <w:rsid w:val="00773FE4"/>
    <w:rsid w:val="007745FE"/>
    <w:rsid w:val="00774BE8"/>
    <w:rsid w:val="00774E22"/>
    <w:rsid w:val="00775997"/>
    <w:rsid w:val="0077630F"/>
    <w:rsid w:val="00776ACD"/>
    <w:rsid w:val="00777AFE"/>
    <w:rsid w:val="00777F87"/>
    <w:rsid w:val="00780E61"/>
    <w:rsid w:val="007818DB"/>
    <w:rsid w:val="00781B40"/>
    <w:rsid w:val="00781DEE"/>
    <w:rsid w:val="00782F93"/>
    <w:rsid w:val="00783280"/>
    <w:rsid w:val="0078348A"/>
    <w:rsid w:val="0078439E"/>
    <w:rsid w:val="00784FCF"/>
    <w:rsid w:val="0078567D"/>
    <w:rsid w:val="00786307"/>
    <w:rsid w:val="007909B3"/>
    <w:rsid w:val="007926D5"/>
    <w:rsid w:val="007933DD"/>
    <w:rsid w:val="007937C5"/>
    <w:rsid w:val="007942AD"/>
    <w:rsid w:val="00795F00"/>
    <w:rsid w:val="00796363"/>
    <w:rsid w:val="00796BF0"/>
    <w:rsid w:val="00797C38"/>
    <w:rsid w:val="007A00D5"/>
    <w:rsid w:val="007A02DF"/>
    <w:rsid w:val="007A0429"/>
    <w:rsid w:val="007A0E66"/>
    <w:rsid w:val="007A106F"/>
    <w:rsid w:val="007A2498"/>
    <w:rsid w:val="007A24BB"/>
    <w:rsid w:val="007A29D4"/>
    <w:rsid w:val="007A3C20"/>
    <w:rsid w:val="007A4238"/>
    <w:rsid w:val="007A430C"/>
    <w:rsid w:val="007A5BDE"/>
    <w:rsid w:val="007A7334"/>
    <w:rsid w:val="007B062B"/>
    <w:rsid w:val="007B1D47"/>
    <w:rsid w:val="007B1E4F"/>
    <w:rsid w:val="007B2E46"/>
    <w:rsid w:val="007B348B"/>
    <w:rsid w:val="007B3B43"/>
    <w:rsid w:val="007B4778"/>
    <w:rsid w:val="007B48BA"/>
    <w:rsid w:val="007B4A01"/>
    <w:rsid w:val="007B4AFC"/>
    <w:rsid w:val="007B4F7A"/>
    <w:rsid w:val="007B5150"/>
    <w:rsid w:val="007B601C"/>
    <w:rsid w:val="007B6A7F"/>
    <w:rsid w:val="007B7908"/>
    <w:rsid w:val="007B7955"/>
    <w:rsid w:val="007C11F4"/>
    <w:rsid w:val="007C17FC"/>
    <w:rsid w:val="007C2155"/>
    <w:rsid w:val="007C2A47"/>
    <w:rsid w:val="007C2C4A"/>
    <w:rsid w:val="007C2DEA"/>
    <w:rsid w:val="007C32BD"/>
    <w:rsid w:val="007C33B5"/>
    <w:rsid w:val="007C34A5"/>
    <w:rsid w:val="007C4CD5"/>
    <w:rsid w:val="007C52B7"/>
    <w:rsid w:val="007C5542"/>
    <w:rsid w:val="007C58E4"/>
    <w:rsid w:val="007C5C1F"/>
    <w:rsid w:val="007C5EDE"/>
    <w:rsid w:val="007C61F7"/>
    <w:rsid w:val="007C6E99"/>
    <w:rsid w:val="007C7142"/>
    <w:rsid w:val="007C7AFB"/>
    <w:rsid w:val="007D01A0"/>
    <w:rsid w:val="007D04AD"/>
    <w:rsid w:val="007D0603"/>
    <w:rsid w:val="007D0A9F"/>
    <w:rsid w:val="007D0D66"/>
    <w:rsid w:val="007D1A82"/>
    <w:rsid w:val="007D1D08"/>
    <w:rsid w:val="007D25AD"/>
    <w:rsid w:val="007D2A65"/>
    <w:rsid w:val="007D40C4"/>
    <w:rsid w:val="007D41E2"/>
    <w:rsid w:val="007D4ED5"/>
    <w:rsid w:val="007D6641"/>
    <w:rsid w:val="007D7195"/>
    <w:rsid w:val="007D7349"/>
    <w:rsid w:val="007D76C4"/>
    <w:rsid w:val="007D78F4"/>
    <w:rsid w:val="007D7EEF"/>
    <w:rsid w:val="007D7FDE"/>
    <w:rsid w:val="007E05B5"/>
    <w:rsid w:val="007E06E3"/>
    <w:rsid w:val="007E0752"/>
    <w:rsid w:val="007E08B4"/>
    <w:rsid w:val="007E0AC6"/>
    <w:rsid w:val="007E0D7B"/>
    <w:rsid w:val="007E16E6"/>
    <w:rsid w:val="007E32BD"/>
    <w:rsid w:val="007E656C"/>
    <w:rsid w:val="007E6919"/>
    <w:rsid w:val="007E79BB"/>
    <w:rsid w:val="007F09E0"/>
    <w:rsid w:val="007F0EBD"/>
    <w:rsid w:val="007F2CA7"/>
    <w:rsid w:val="007F2FA3"/>
    <w:rsid w:val="007F312E"/>
    <w:rsid w:val="007F31D9"/>
    <w:rsid w:val="007F353D"/>
    <w:rsid w:val="007F3847"/>
    <w:rsid w:val="007F3890"/>
    <w:rsid w:val="007F3975"/>
    <w:rsid w:val="007F4106"/>
    <w:rsid w:val="007F5D85"/>
    <w:rsid w:val="007F5E32"/>
    <w:rsid w:val="007F664B"/>
    <w:rsid w:val="007F722E"/>
    <w:rsid w:val="007F7693"/>
    <w:rsid w:val="008004F5"/>
    <w:rsid w:val="00800D8F"/>
    <w:rsid w:val="00801868"/>
    <w:rsid w:val="00801956"/>
    <w:rsid w:val="00802183"/>
    <w:rsid w:val="00802A9E"/>
    <w:rsid w:val="00802F87"/>
    <w:rsid w:val="00803155"/>
    <w:rsid w:val="00803A06"/>
    <w:rsid w:val="00806401"/>
    <w:rsid w:val="008073E6"/>
    <w:rsid w:val="00807B58"/>
    <w:rsid w:val="00811BB0"/>
    <w:rsid w:val="00811DBB"/>
    <w:rsid w:val="00812210"/>
    <w:rsid w:val="0081223B"/>
    <w:rsid w:val="00812C84"/>
    <w:rsid w:val="00813336"/>
    <w:rsid w:val="00815AFF"/>
    <w:rsid w:val="00816354"/>
    <w:rsid w:val="00816666"/>
    <w:rsid w:val="0081751F"/>
    <w:rsid w:val="0081754F"/>
    <w:rsid w:val="00817EBC"/>
    <w:rsid w:val="0082003B"/>
    <w:rsid w:val="00820C60"/>
    <w:rsid w:val="00820E63"/>
    <w:rsid w:val="00821160"/>
    <w:rsid w:val="008217DB"/>
    <w:rsid w:val="0082184D"/>
    <w:rsid w:val="00821983"/>
    <w:rsid w:val="0082199A"/>
    <w:rsid w:val="00822DD6"/>
    <w:rsid w:val="00822F6F"/>
    <w:rsid w:val="00823DE5"/>
    <w:rsid w:val="00823EFA"/>
    <w:rsid w:val="008246A6"/>
    <w:rsid w:val="00824C0F"/>
    <w:rsid w:val="00825C9C"/>
    <w:rsid w:val="00825F06"/>
    <w:rsid w:val="0082604B"/>
    <w:rsid w:val="0082614F"/>
    <w:rsid w:val="0082622E"/>
    <w:rsid w:val="0082661B"/>
    <w:rsid w:val="00826B58"/>
    <w:rsid w:val="00826D44"/>
    <w:rsid w:val="00827634"/>
    <w:rsid w:val="00827916"/>
    <w:rsid w:val="00827C0D"/>
    <w:rsid w:val="00827DC9"/>
    <w:rsid w:val="00827DE2"/>
    <w:rsid w:val="0083042C"/>
    <w:rsid w:val="0083058B"/>
    <w:rsid w:val="0083125D"/>
    <w:rsid w:val="0083186B"/>
    <w:rsid w:val="0083221A"/>
    <w:rsid w:val="008325C4"/>
    <w:rsid w:val="008325DA"/>
    <w:rsid w:val="00832D5A"/>
    <w:rsid w:val="00833A0C"/>
    <w:rsid w:val="00833A84"/>
    <w:rsid w:val="008344F7"/>
    <w:rsid w:val="008346FB"/>
    <w:rsid w:val="00834762"/>
    <w:rsid w:val="00834825"/>
    <w:rsid w:val="00834D94"/>
    <w:rsid w:val="0083547E"/>
    <w:rsid w:val="00835688"/>
    <w:rsid w:val="00835BBC"/>
    <w:rsid w:val="00837999"/>
    <w:rsid w:val="008379F4"/>
    <w:rsid w:val="008400A3"/>
    <w:rsid w:val="0084029C"/>
    <w:rsid w:val="008407EE"/>
    <w:rsid w:val="00842AB8"/>
    <w:rsid w:val="0084366E"/>
    <w:rsid w:val="0084390C"/>
    <w:rsid w:val="00843B31"/>
    <w:rsid w:val="00844D2C"/>
    <w:rsid w:val="008450B0"/>
    <w:rsid w:val="00845B57"/>
    <w:rsid w:val="00845E27"/>
    <w:rsid w:val="00846510"/>
    <w:rsid w:val="00846514"/>
    <w:rsid w:val="008473C5"/>
    <w:rsid w:val="008504B5"/>
    <w:rsid w:val="00850EFB"/>
    <w:rsid w:val="00851B6E"/>
    <w:rsid w:val="00851DBD"/>
    <w:rsid w:val="00851ED1"/>
    <w:rsid w:val="00852392"/>
    <w:rsid w:val="008528CB"/>
    <w:rsid w:val="00853079"/>
    <w:rsid w:val="008533E4"/>
    <w:rsid w:val="00853CBC"/>
    <w:rsid w:val="00855149"/>
    <w:rsid w:val="008557C6"/>
    <w:rsid w:val="00856E75"/>
    <w:rsid w:val="008577BA"/>
    <w:rsid w:val="00857F10"/>
    <w:rsid w:val="008607BD"/>
    <w:rsid w:val="00860A63"/>
    <w:rsid w:val="00860E74"/>
    <w:rsid w:val="00860E86"/>
    <w:rsid w:val="00862AF0"/>
    <w:rsid w:val="0086425D"/>
    <w:rsid w:val="00864620"/>
    <w:rsid w:val="00865A29"/>
    <w:rsid w:val="008660BF"/>
    <w:rsid w:val="00866C9F"/>
    <w:rsid w:val="008671A5"/>
    <w:rsid w:val="008674D7"/>
    <w:rsid w:val="00867752"/>
    <w:rsid w:val="008704DD"/>
    <w:rsid w:val="00871A7E"/>
    <w:rsid w:val="008735A9"/>
    <w:rsid w:val="0087389D"/>
    <w:rsid w:val="0087393D"/>
    <w:rsid w:val="00874D53"/>
    <w:rsid w:val="008750A7"/>
    <w:rsid w:val="00876C88"/>
    <w:rsid w:val="008770F6"/>
    <w:rsid w:val="008771D1"/>
    <w:rsid w:val="00877221"/>
    <w:rsid w:val="0088145B"/>
    <w:rsid w:val="00881FD0"/>
    <w:rsid w:val="008824D7"/>
    <w:rsid w:val="00882754"/>
    <w:rsid w:val="008840E8"/>
    <w:rsid w:val="00884A19"/>
    <w:rsid w:val="00884DDB"/>
    <w:rsid w:val="0088505E"/>
    <w:rsid w:val="0088514D"/>
    <w:rsid w:val="00885A0C"/>
    <w:rsid w:val="00886365"/>
    <w:rsid w:val="00886A05"/>
    <w:rsid w:val="008870BF"/>
    <w:rsid w:val="0088731E"/>
    <w:rsid w:val="00887488"/>
    <w:rsid w:val="00887EA5"/>
    <w:rsid w:val="00887F4C"/>
    <w:rsid w:val="00890C24"/>
    <w:rsid w:val="00892A7A"/>
    <w:rsid w:val="00892D30"/>
    <w:rsid w:val="00892EE4"/>
    <w:rsid w:val="008931AC"/>
    <w:rsid w:val="00893809"/>
    <w:rsid w:val="00893925"/>
    <w:rsid w:val="00893EDA"/>
    <w:rsid w:val="008941B1"/>
    <w:rsid w:val="00894425"/>
    <w:rsid w:val="008944F4"/>
    <w:rsid w:val="00894BC8"/>
    <w:rsid w:val="00895293"/>
    <w:rsid w:val="00895E43"/>
    <w:rsid w:val="00895FC6"/>
    <w:rsid w:val="0089607C"/>
    <w:rsid w:val="00896312"/>
    <w:rsid w:val="00896515"/>
    <w:rsid w:val="00897342"/>
    <w:rsid w:val="008A0C9C"/>
    <w:rsid w:val="008A184F"/>
    <w:rsid w:val="008A1CBA"/>
    <w:rsid w:val="008A1F00"/>
    <w:rsid w:val="008A22C8"/>
    <w:rsid w:val="008A2B76"/>
    <w:rsid w:val="008A3AF4"/>
    <w:rsid w:val="008A448E"/>
    <w:rsid w:val="008A4DF1"/>
    <w:rsid w:val="008A6651"/>
    <w:rsid w:val="008A6CD6"/>
    <w:rsid w:val="008B0864"/>
    <w:rsid w:val="008B1424"/>
    <w:rsid w:val="008B1F2A"/>
    <w:rsid w:val="008B44A6"/>
    <w:rsid w:val="008B4A63"/>
    <w:rsid w:val="008B4AC5"/>
    <w:rsid w:val="008B4BB5"/>
    <w:rsid w:val="008B4FD3"/>
    <w:rsid w:val="008B50A5"/>
    <w:rsid w:val="008B57B9"/>
    <w:rsid w:val="008B595A"/>
    <w:rsid w:val="008B5BDE"/>
    <w:rsid w:val="008B6246"/>
    <w:rsid w:val="008B629D"/>
    <w:rsid w:val="008B725E"/>
    <w:rsid w:val="008B772C"/>
    <w:rsid w:val="008B79DF"/>
    <w:rsid w:val="008C02D0"/>
    <w:rsid w:val="008C0A72"/>
    <w:rsid w:val="008C154C"/>
    <w:rsid w:val="008C1716"/>
    <w:rsid w:val="008C2130"/>
    <w:rsid w:val="008C2800"/>
    <w:rsid w:val="008C2EDB"/>
    <w:rsid w:val="008C3CBE"/>
    <w:rsid w:val="008C4B42"/>
    <w:rsid w:val="008C7124"/>
    <w:rsid w:val="008C7E44"/>
    <w:rsid w:val="008C7EB7"/>
    <w:rsid w:val="008D0E76"/>
    <w:rsid w:val="008D14A9"/>
    <w:rsid w:val="008D1AAF"/>
    <w:rsid w:val="008D24DB"/>
    <w:rsid w:val="008D27B7"/>
    <w:rsid w:val="008D2A4C"/>
    <w:rsid w:val="008D2E6F"/>
    <w:rsid w:val="008D31F4"/>
    <w:rsid w:val="008D37EC"/>
    <w:rsid w:val="008D3806"/>
    <w:rsid w:val="008D3987"/>
    <w:rsid w:val="008D449D"/>
    <w:rsid w:val="008D44AA"/>
    <w:rsid w:val="008D45C1"/>
    <w:rsid w:val="008D4C14"/>
    <w:rsid w:val="008D51E7"/>
    <w:rsid w:val="008D56B0"/>
    <w:rsid w:val="008D72E0"/>
    <w:rsid w:val="008D7771"/>
    <w:rsid w:val="008D7E8B"/>
    <w:rsid w:val="008E0A82"/>
    <w:rsid w:val="008E1D55"/>
    <w:rsid w:val="008E2245"/>
    <w:rsid w:val="008E2CA1"/>
    <w:rsid w:val="008E2FF5"/>
    <w:rsid w:val="008E39FA"/>
    <w:rsid w:val="008E3E7B"/>
    <w:rsid w:val="008E6069"/>
    <w:rsid w:val="008E6F7E"/>
    <w:rsid w:val="008E7C4D"/>
    <w:rsid w:val="008E7F17"/>
    <w:rsid w:val="008F01C0"/>
    <w:rsid w:val="008F12AA"/>
    <w:rsid w:val="008F16DE"/>
    <w:rsid w:val="008F1A4F"/>
    <w:rsid w:val="008F271B"/>
    <w:rsid w:val="008F2722"/>
    <w:rsid w:val="008F33D5"/>
    <w:rsid w:val="008F3C1D"/>
    <w:rsid w:val="008F448C"/>
    <w:rsid w:val="008F4F52"/>
    <w:rsid w:val="008F569E"/>
    <w:rsid w:val="008F617D"/>
    <w:rsid w:val="008F649D"/>
    <w:rsid w:val="008F6A9C"/>
    <w:rsid w:val="008F7AF7"/>
    <w:rsid w:val="00900152"/>
    <w:rsid w:val="009003A0"/>
    <w:rsid w:val="00901E11"/>
    <w:rsid w:val="00902061"/>
    <w:rsid w:val="009020FD"/>
    <w:rsid w:val="00902516"/>
    <w:rsid w:val="00902EFF"/>
    <w:rsid w:val="0090394D"/>
    <w:rsid w:val="00904143"/>
    <w:rsid w:val="00904392"/>
    <w:rsid w:val="00905625"/>
    <w:rsid w:val="00905DCF"/>
    <w:rsid w:val="009062E4"/>
    <w:rsid w:val="0090637D"/>
    <w:rsid w:val="00906611"/>
    <w:rsid w:val="00907253"/>
    <w:rsid w:val="0090769B"/>
    <w:rsid w:val="00907B6A"/>
    <w:rsid w:val="0091058F"/>
    <w:rsid w:val="009108B8"/>
    <w:rsid w:val="00910B8F"/>
    <w:rsid w:val="00911F1B"/>
    <w:rsid w:val="00912426"/>
    <w:rsid w:val="00912704"/>
    <w:rsid w:val="00912A95"/>
    <w:rsid w:val="009130EC"/>
    <w:rsid w:val="009137E2"/>
    <w:rsid w:val="00913D87"/>
    <w:rsid w:val="009141A8"/>
    <w:rsid w:val="00915686"/>
    <w:rsid w:val="00916F2D"/>
    <w:rsid w:val="00917757"/>
    <w:rsid w:val="00917D1F"/>
    <w:rsid w:val="00920825"/>
    <w:rsid w:val="009208FB"/>
    <w:rsid w:val="00921080"/>
    <w:rsid w:val="00921B19"/>
    <w:rsid w:val="00922514"/>
    <w:rsid w:val="009228E3"/>
    <w:rsid w:val="00922AF0"/>
    <w:rsid w:val="009251D3"/>
    <w:rsid w:val="00925A8C"/>
    <w:rsid w:val="00925C4D"/>
    <w:rsid w:val="0092631F"/>
    <w:rsid w:val="009264DD"/>
    <w:rsid w:val="009264E7"/>
    <w:rsid w:val="0092695A"/>
    <w:rsid w:val="00926B60"/>
    <w:rsid w:val="0092700E"/>
    <w:rsid w:val="00927831"/>
    <w:rsid w:val="00927ECD"/>
    <w:rsid w:val="0093047E"/>
    <w:rsid w:val="00930FD8"/>
    <w:rsid w:val="009314EC"/>
    <w:rsid w:val="00932455"/>
    <w:rsid w:val="009326A8"/>
    <w:rsid w:val="009341B4"/>
    <w:rsid w:val="009342AC"/>
    <w:rsid w:val="00935CD9"/>
    <w:rsid w:val="009367D0"/>
    <w:rsid w:val="00937628"/>
    <w:rsid w:val="009407CD"/>
    <w:rsid w:val="00941491"/>
    <w:rsid w:val="00941528"/>
    <w:rsid w:val="00943520"/>
    <w:rsid w:val="0094372F"/>
    <w:rsid w:val="00943EDF"/>
    <w:rsid w:val="0094475D"/>
    <w:rsid w:val="00945AD3"/>
    <w:rsid w:val="00946866"/>
    <w:rsid w:val="00947733"/>
    <w:rsid w:val="00947A4C"/>
    <w:rsid w:val="00950395"/>
    <w:rsid w:val="009503B8"/>
    <w:rsid w:val="0095040C"/>
    <w:rsid w:val="009508D9"/>
    <w:rsid w:val="00950B72"/>
    <w:rsid w:val="00950CC4"/>
    <w:rsid w:val="009514A1"/>
    <w:rsid w:val="00951B74"/>
    <w:rsid w:val="009526BA"/>
    <w:rsid w:val="00953197"/>
    <w:rsid w:val="0095365D"/>
    <w:rsid w:val="00953D66"/>
    <w:rsid w:val="00954235"/>
    <w:rsid w:val="00954470"/>
    <w:rsid w:val="00954471"/>
    <w:rsid w:val="00954845"/>
    <w:rsid w:val="00954956"/>
    <w:rsid w:val="009559E4"/>
    <w:rsid w:val="00955B9E"/>
    <w:rsid w:val="00955C8A"/>
    <w:rsid w:val="0095627B"/>
    <w:rsid w:val="009563BB"/>
    <w:rsid w:val="00956640"/>
    <w:rsid w:val="00957271"/>
    <w:rsid w:val="009576E4"/>
    <w:rsid w:val="00957813"/>
    <w:rsid w:val="00957A04"/>
    <w:rsid w:val="00957E37"/>
    <w:rsid w:val="00957FC4"/>
    <w:rsid w:val="009603D0"/>
    <w:rsid w:val="00960870"/>
    <w:rsid w:val="00960BF0"/>
    <w:rsid w:val="00960F97"/>
    <w:rsid w:val="0096153B"/>
    <w:rsid w:val="00961623"/>
    <w:rsid w:val="009637A0"/>
    <w:rsid w:val="0096486F"/>
    <w:rsid w:val="00965100"/>
    <w:rsid w:val="00965AF2"/>
    <w:rsid w:val="00966D00"/>
    <w:rsid w:val="009716F2"/>
    <w:rsid w:val="00972F22"/>
    <w:rsid w:val="009734BD"/>
    <w:rsid w:val="00975C25"/>
    <w:rsid w:val="00975C85"/>
    <w:rsid w:val="009766A1"/>
    <w:rsid w:val="00976C98"/>
    <w:rsid w:val="00977552"/>
    <w:rsid w:val="00980D01"/>
    <w:rsid w:val="0098132C"/>
    <w:rsid w:val="009814DD"/>
    <w:rsid w:val="00981872"/>
    <w:rsid w:val="00982402"/>
    <w:rsid w:val="00983D5F"/>
    <w:rsid w:val="00985AB3"/>
    <w:rsid w:val="00985DD2"/>
    <w:rsid w:val="0098660E"/>
    <w:rsid w:val="0098677B"/>
    <w:rsid w:val="00986BBD"/>
    <w:rsid w:val="009874E6"/>
    <w:rsid w:val="00987987"/>
    <w:rsid w:val="00991EC1"/>
    <w:rsid w:val="009921AC"/>
    <w:rsid w:val="00994760"/>
    <w:rsid w:val="00994D71"/>
    <w:rsid w:val="00995616"/>
    <w:rsid w:val="00995ED3"/>
    <w:rsid w:val="00996593"/>
    <w:rsid w:val="009969D7"/>
    <w:rsid w:val="00997118"/>
    <w:rsid w:val="009974CC"/>
    <w:rsid w:val="00997739"/>
    <w:rsid w:val="009978D4"/>
    <w:rsid w:val="00997EF3"/>
    <w:rsid w:val="00997F9E"/>
    <w:rsid w:val="009A00F9"/>
    <w:rsid w:val="009A031F"/>
    <w:rsid w:val="009A19F3"/>
    <w:rsid w:val="009A1F5D"/>
    <w:rsid w:val="009A1FF0"/>
    <w:rsid w:val="009A2085"/>
    <w:rsid w:val="009A2EF1"/>
    <w:rsid w:val="009A3696"/>
    <w:rsid w:val="009A3BC1"/>
    <w:rsid w:val="009A3F75"/>
    <w:rsid w:val="009A4537"/>
    <w:rsid w:val="009A4775"/>
    <w:rsid w:val="009A47E3"/>
    <w:rsid w:val="009A55CF"/>
    <w:rsid w:val="009A586D"/>
    <w:rsid w:val="009A6208"/>
    <w:rsid w:val="009A67C9"/>
    <w:rsid w:val="009A6BC1"/>
    <w:rsid w:val="009A6D05"/>
    <w:rsid w:val="009A7820"/>
    <w:rsid w:val="009A7F14"/>
    <w:rsid w:val="009B04AF"/>
    <w:rsid w:val="009B0755"/>
    <w:rsid w:val="009B0DDF"/>
    <w:rsid w:val="009B20AD"/>
    <w:rsid w:val="009B31E6"/>
    <w:rsid w:val="009B3682"/>
    <w:rsid w:val="009B3C98"/>
    <w:rsid w:val="009B4A71"/>
    <w:rsid w:val="009B4BFB"/>
    <w:rsid w:val="009B4C6F"/>
    <w:rsid w:val="009B563C"/>
    <w:rsid w:val="009B5D6E"/>
    <w:rsid w:val="009B6791"/>
    <w:rsid w:val="009B764C"/>
    <w:rsid w:val="009B7955"/>
    <w:rsid w:val="009B7B83"/>
    <w:rsid w:val="009C06CA"/>
    <w:rsid w:val="009C09FE"/>
    <w:rsid w:val="009C0EF1"/>
    <w:rsid w:val="009C1A52"/>
    <w:rsid w:val="009C1AE3"/>
    <w:rsid w:val="009C2B2F"/>
    <w:rsid w:val="009C3503"/>
    <w:rsid w:val="009C4710"/>
    <w:rsid w:val="009C4E2C"/>
    <w:rsid w:val="009C5A25"/>
    <w:rsid w:val="009C6033"/>
    <w:rsid w:val="009C6D75"/>
    <w:rsid w:val="009C76E3"/>
    <w:rsid w:val="009D0026"/>
    <w:rsid w:val="009D12BB"/>
    <w:rsid w:val="009D209A"/>
    <w:rsid w:val="009D3683"/>
    <w:rsid w:val="009D393E"/>
    <w:rsid w:val="009D39AB"/>
    <w:rsid w:val="009D40CA"/>
    <w:rsid w:val="009D430B"/>
    <w:rsid w:val="009D5532"/>
    <w:rsid w:val="009D577D"/>
    <w:rsid w:val="009D5A45"/>
    <w:rsid w:val="009D5CA0"/>
    <w:rsid w:val="009D60C2"/>
    <w:rsid w:val="009D614B"/>
    <w:rsid w:val="009D68B9"/>
    <w:rsid w:val="009D6BE7"/>
    <w:rsid w:val="009D7551"/>
    <w:rsid w:val="009D788B"/>
    <w:rsid w:val="009E0162"/>
    <w:rsid w:val="009E1083"/>
    <w:rsid w:val="009E1713"/>
    <w:rsid w:val="009E1838"/>
    <w:rsid w:val="009E2221"/>
    <w:rsid w:val="009E2A58"/>
    <w:rsid w:val="009E3156"/>
    <w:rsid w:val="009E4BA8"/>
    <w:rsid w:val="009E52D7"/>
    <w:rsid w:val="009E639B"/>
    <w:rsid w:val="009E682C"/>
    <w:rsid w:val="009E6A28"/>
    <w:rsid w:val="009E6E15"/>
    <w:rsid w:val="009E6EC6"/>
    <w:rsid w:val="009E7131"/>
    <w:rsid w:val="009E781A"/>
    <w:rsid w:val="009F1748"/>
    <w:rsid w:val="009F1AFE"/>
    <w:rsid w:val="009F3324"/>
    <w:rsid w:val="009F5D22"/>
    <w:rsid w:val="009F6F38"/>
    <w:rsid w:val="009F7A1C"/>
    <w:rsid w:val="009F7FCF"/>
    <w:rsid w:val="00A000CA"/>
    <w:rsid w:val="00A00639"/>
    <w:rsid w:val="00A01489"/>
    <w:rsid w:val="00A01B7C"/>
    <w:rsid w:val="00A01E00"/>
    <w:rsid w:val="00A0221A"/>
    <w:rsid w:val="00A0394D"/>
    <w:rsid w:val="00A04837"/>
    <w:rsid w:val="00A052A3"/>
    <w:rsid w:val="00A05DD2"/>
    <w:rsid w:val="00A064CC"/>
    <w:rsid w:val="00A075D5"/>
    <w:rsid w:val="00A104FC"/>
    <w:rsid w:val="00A108C3"/>
    <w:rsid w:val="00A10B2D"/>
    <w:rsid w:val="00A110F7"/>
    <w:rsid w:val="00A124D9"/>
    <w:rsid w:val="00A129F3"/>
    <w:rsid w:val="00A12E28"/>
    <w:rsid w:val="00A137F7"/>
    <w:rsid w:val="00A13982"/>
    <w:rsid w:val="00A13B42"/>
    <w:rsid w:val="00A142FF"/>
    <w:rsid w:val="00A147DB"/>
    <w:rsid w:val="00A14D09"/>
    <w:rsid w:val="00A14DE7"/>
    <w:rsid w:val="00A15A25"/>
    <w:rsid w:val="00A15B7C"/>
    <w:rsid w:val="00A160AD"/>
    <w:rsid w:val="00A161A9"/>
    <w:rsid w:val="00A1669E"/>
    <w:rsid w:val="00A16D17"/>
    <w:rsid w:val="00A16EFD"/>
    <w:rsid w:val="00A174D4"/>
    <w:rsid w:val="00A20BC5"/>
    <w:rsid w:val="00A21054"/>
    <w:rsid w:val="00A21497"/>
    <w:rsid w:val="00A2228C"/>
    <w:rsid w:val="00A22750"/>
    <w:rsid w:val="00A231DE"/>
    <w:rsid w:val="00A24DA0"/>
    <w:rsid w:val="00A24DBB"/>
    <w:rsid w:val="00A25B0F"/>
    <w:rsid w:val="00A26209"/>
    <w:rsid w:val="00A2713E"/>
    <w:rsid w:val="00A271B5"/>
    <w:rsid w:val="00A276D8"/>
    <w:rsid w:val="00A27CEB"/>
    <w:rsid w:val="00A27F1A"/>
    <w:rsid w:val="00A301EC"/>
    <w:rsid w:val="00A3041C"/>
    <w:rsid w:val="00A3172A"/>
    <w:rsid w:val="00A3172D"/>
    <w:rsid w:val="00A32929"/>
    <w:rsid w:val="00A33336"/>
    <w:rsid w:val="00A33B5D"/>
    <w:rsid w:val="00A33CC7"/>
    <w:rsid w:val="00A34975"/>
    <w:rsid w:val="00A34F03"/>
    <w:rsid w:val="00A35435"/>
    <w:rsid w:val="00A35DA0"/>
    <w:rsid w:val="00A374B1"/>
    <w:rsid w:val="00A400D9"/>
    <w:rsid w:val="00A413F7"/>
    <w:rsid w:val="00A41973"/>
    <w:rsid w:val="00A420CE"/>
    <w:rsid w:val="00A4271C"/>
    <w:rsid w:val="00A42774"/>
    <w:rsid w:val="00A43410"/>
    <w:rsid w:val="00A43695"/>
    <w:rsid w:val="00A43DB9"/>
    <w:rsid w:val="00A440C8"/>
    <w:rsid w:val="00A44630"/>
    <w:rsid w:val="00A44D94"/>
    <w:rsid w:val="00A44E07"/>
    <w:rsid w:val="00A45128"/>
    <w:rsid w:val="00A4517E"/>
    <w:rsid w:val="00A45357"/>
    <w:rsid w:val="00A463E7"/>
    <w:rsid w:val="00A47081"/>
    <w:rsid w:val="00A474D6"/>
    <w:rsid w:val="00A502E5"/>
    <w:rsid w:val="00A5076A"/>
    <w:rsid w:val="00A5145B"/>
    <w:rsid w:val="00A51B13"/>
    <w:rsid w:val="00A51DC1"/>
    <w:rsid w:val="00A52030"/>
    <w:rsid w:val="00A521F4"/>
    <w:rsid w:val="00A5313B"/>
    <w:rsid w:val="00A53B08"/>
    <w:rsid w:val="00A54254"/>
    <w:rsid w:val="00A544A4"/>
    <w:rsid w:val="00A54563"/>
    <w:rsid w:val="00A547C5"/>
    <w:rsid w:val="00A5547F"/>
    <w:rsid w:val="00A5727A"/>
    <w:rsid w:val="00A604A4"/>
    <w:rsid w:val="00A60894"/>
    <w:rsid w:val="00A6165A"/>
    <w:rsid w:val="00A627E3"/>
    <w:rsid w:val="00A6296B"/>
    <w:rsid w:val="00A62BF9"/>
    <w:rsid w:val="00A63363"/>
    <w:rsid w:val="00A640D3"/>
    <w:rsid w:val="00A644C5"/>
    <w:rsid w:val="00A654CA"/>
    <w:rsid w:val="00A662D6"/>
    <w:rsid w:val="00A669E3"/>
    <w:rsid w:val="00A675BA"/>
    <w:rsid w:val="00A67864"/>
    <w:rsid w:val="00A67EC1"/>
    <w:rsid w:val="00A67FF0"/>
    <w:rsid w:val="00A70962"/>
    <w:rsid w:val="00A70B4A"/>
    <w:rsid w:val="00A71494"/>
    <w:rsid w:val="00A718F2"/>
    <w:rsid w:val="00A71977"/>
    <w:rsid w:val="00A71B9D"/>
    <w:rsid w:val="00A72622"/>
    <w:rsid w:val="00A72AB9"/>
    <w:rsid w:val="00A72CD4"/>
    <w:rsid w:val="00A73240"/>
    <w:rsid w:val="00A7325E"/>
    <w:rsid w:val="00A7345B"/>
    <w:rsid w:val="00A7352E"/>
    <w:rsid w:val="00A7426B"/>
    <w:rsid w:val="00A76613"/>
    <w:rsid w:val="00A77DC2"/>
    <w:rsid w:val="00A80687"/>
    <w:rsid w:val="00A816B2"/>
    <w:rsid w:val="00A82F5A"/>
    <w:rsid w:val="00A83598"/>
    <w:rsid w:val="00A83E10"/>
    <w:rsid w:val="00A840B1"/>
    <w:rsid w:val="00A84468"/>
    <w:rsid w:val="00A845C7"/>
    <w:rsid w:val="00A854A3"/>
    <w:rsid w:val="00A85EEF"/>
    <w:rsid w:val="00A861D2"/>
    <w:rsid w:val="00A8649F"/>
    <w:rsid w:val="00A90165"/>
    <w:rsid w:val="00A90C4D"/>
    <w:rsid w:val="00A90F20"/>
    <w:rsid w:val="00A9185E"/>
    <w:rsid w:val="00A91DBE"/>
    <w:rsid w:val="00A938F3"/>
    <w:rsid w:val="00A948E9"/>
    <w:rsid w:val="00A950DB"/>
    <w:rsid w:val="00A955DC"/>
    <w:rsid w:val="00A95D14"/>
    <w:rsid w:val="00A95E94"/>
    <w:rsid w:val="00A95F76"/>
    <w:rsid w:val="00A96DD3"/>
    <w:rsid w:val="00A97476"/>
    <w:rsid w:val="00A978EA"/>
    <w:rsid w:val="00A97CE2"/>
    <w:rsid w:val="00AA04B6"/>
    <w:rsid w:val="00AA0729"/>
    <w:rsid w:val="00AA2423"/>
    <w:rsid w:val="00AA282C"/>
    <w:rsid w:val="00AA2C91"/>
    <w:rsid w:val="00AA3F50"/>
    <w:rsid w:val="00AA42D6"/>
    <w:rsid w:val="00AA42EB"/>
    <w:rsid w:val="00AA4B9B"/>
    <w:rsid w:val="00AA572E"/>
    <w:rsid w:val="00AA6F71"/>
    <w:rsid w:val="00AA7979"/>
    <w:rsid w:val="00AB0687"/>
    <w:rsid w:val="00AB1B38"/>
    <w:rsid w:val="00AB1EE4"/>
    <w:rsid w:val="00AB2E25"/>
    <w:rsid w:val="00AB33B7"/>
    <w:rsid w:val="00AB3936"/>
    <w:rsid w:val="00AB3BAE"/>
    <w:rsid w:val="00AB3BCE"/>
    <w:rsid w:val="00AB3C59"/>
    <w:rsid w:val="00AB3FF2"/>
    <w:rsid w:val="00AB4418"/>
    <w:rsid w:val="00AB4E95"/>
    <w:rsid w:val="00AB588A"/>
    <w:rsid w:val="00AB5BE4"/>
    <w:rsid w:val="00AB5E04"/>
    <w:rsid w:val="00AB6B36"/>
    <w:rsid w:val="00AB6D2A"/>
    <w:rsid w:val="00AB717C"/>
    <w:rsid w:val="00AB72BA"/>
    <w:rsid w:val="00AB7AC9"/>
    <w:rsid w:val="00AC0073"/>
    <w:rsid w:val="00AC0FC8"/>
    <w:rsid w:val="00AC12E6"/>
    <w:rsid w:val="00AC18C7"/>
    <w:rsid w:val="00AC22CF"/>
    <w:rsid w:val="00AC3986"/>
    <w:rsid w:val="00AC4978"/>
    <w:rsid w:val="00AC65CC"/>
    <w:rsid w:val="00AC66D2"/>
    <w:rsid w:val="00AC7072"/>
    <w:rsid w:val="00AC757D"/>
    <w:rsid w:val="00AD1582"/>
    <w:rsid w:val="00AD272E"/>
    <w:rsid w:val="00AD279E"/>
    <w:rsid w:val="00AD2999"/>
    <w:rsid w:val="00AD36F9"/>
    <w:rsid w:val="00AD370F"/>
    <w:rsid w:val="00AD3812"/>
    <w:rsid w:val="00AD4377"/>
    <w:rsid w:val="00AD4F26"/>
    <w:rsid w:val="00AD5BB6"/>
    <w:rsid w:val="00AD644D"/>
    <w:rsid w:val="00AD6880"/>
    <w:rsid w:val="00AD736B"/>
    <w:rsid w:val="00AE042C"/>
    <w:rsid w:val="00AE068C"/>
    <w:rsid w:val="00AE0AA7"/>
    <w:rsid w:val="00AE0D89"/>
    <w:rsid w:val="00AE1ADA"/>
    <w:rsid w:val="00AE1C32"/>
    <w:rsid w:val="00AE2082"/>
    <w:rsid w:val="00AE2438"/>
    <w:rsid w:val="00AE2522"/>
    <w:rsid w:val="00AE27A6"/>
    <w:rsid w:val="00AE2ABD"/>
    <w:rsid w:val="00AE2D48"/>
    <w:rsid w:val="00AE302D"/>
    <w:rsid w:val="00AE3E20"/>
    <w:rsid w:val="00AE3F60"/>
    <w:rsid w:val="00AE49D4"/>
    <w:rsid w:val="00AE4B96"/>
    <w:rsid w:val="00AE540D"/>
    <w:rsid w:val="00AE553B"/>
    <w:rsid w:val="00AE5641"/>
    <w:rsid w:val="00AE5E67"/>
    <w:rsid w:val="00AE67F8"/>
    <w:rsid w:val="00AE721E"/>
    <w:rsid w:val="00AE779F"/>
    <w:rsid w:val="00AF015F"/>
    <w:rsid w:val="00AF09F9"/>
    <w:rsid w:val="00AF162A"/>
    <w:rsid w:val="00AF3096"/>
    <w:rsid w:val="00AF3E95"/>
    <w:rsid w:val="00AF4665"/>
    <w:rsid w:val="00AF5E0B"/>
    <w:rsid w:val="00AF6349"/>
    <w:rsid w:val="00AF6524"/>
    <w:rsid w:val="00AF6C57"/>
    <w:rsid w:val="00AF6EFE"/>
    <w:rsid w:val="00AF73DF"/>
    <w:rsid w:val="00AF7CC6"/>
    <w:rsid w:val="00B01809"/>
    <w:rsid w:val="00B01E6B"/>
    <w:rsid w:val="00B02047"/>
    <w:rsid w:val="00B0265D"/>
    <w:rsid w:val="00B0283E"/>
    <w:rsid w:val="00B02BDD"/>
    <w:rsid w:val="00B02DF7"/>
    <w:rsid w:val="00B03021"/>
    <w:rsid w:val="00B033F4"/>
    <w:rsid w:val="00B04FEC"/>
    <w:rsid w:val="00B0688B"/>
    <w:rsid w:val="00B068B5"/>
    <w:rsid w:val="00B06DB1"/>
    <w:rsid w:val="00B06E0C"/>
    <w:rsid w:val="00B07126"/>
    <w:rsid w:val="00B10786"/>
    <w:rsid w:val="00B10907"/>
    <w:rsid w:val="00B10909"/>
    <w:rsid w:val="00B10F10"/>
    <w:rsid w:val="00B11331"/>
    <w:rsid w:val="00B117F6"/>
    <w:rsid w:val="00B11C77"/>
    <w:rsid w:val="00B11E90"/>
    <w:rsid w:val="00B12047"/>
    <w:rsid w:val="00B12201"/>
    <w:rsid w:val="00B133D8"/>
    <w:rsid w:val="00B13833"/>
    <w:rsid w:val="00B13D51"/>
    <w:rsid w:val="00B14433"/>
    <w:rsid w:val="00B14A37"/>
    <w:rsid w:val="00B166AC"/>
    <w:rsid w:val="00B16CE4"/>
    <w:rsid w:val="00B16D1D"/>
    <w:rsid w:val="00B16E69"/>
    <w:rsid w:val="00B20494"/>
    <w:rsid w:val="00B2066F"/>
    <w:rsid w:val="00B208CD"/>
    <w:rsid w:val="00B226CD"/>
    <w:rsid w:val="00B2336A"/>
    <w:rsid w:val="00B234AD"/>
    <w:rsid w:val="00B23CA0"/>
    <w:rsid w:val="00B2594D"/>
    <w:rsid w:val="00B25F7A"/>
    <w:rsid w:val="00B26267"/>
    <w:rsid w:val="00B27215"/>
    <w:rsid w:val="00B2778E"/>
    <w:rsid w:val="00B30497"/>
    <w:rsid w:val="00B3257C"/>
    <w:rsid w:val="00B33383"/>
    <w:rsid w:val="00B33398"/>
    <w:rsid w:val="00B33DDD"/>
    <w:rsid w:val="00B36132"/>
    <w:rsid w:val="00B3617A"/>
    <w:rsid w:val="00B36214"/>
    <w:rsid w:val="00B36B99"/>
    <w:rsid w:val="00B36D2C"/>
    <w:rsid w:val="00B36E89"/>
    <w:rsid w:val="00B40371"/>
    <w:rsid w:val="00B4062C"/>
    <w:rsid w:val="00B4075F"/>
    <w:rsid w:val="00B411E4"/>
    <w:rsid w:val="00B4167A"/>
    <w:rsid w:val="00B42576"/>
    <w:rsid w:val="00B437F9"/>
    <w:rsid w:val="00B446BF"/>
    <w:rsid w:val="00B44ADE"/>
    <w:rsid w:val="00B453A5"/>
    <w:rsid w:val="00B4597A"/>
    <w:rsid w:val="00B45A8F"/>
    <w:rsid w:val="00B468B0"/>
    <w:rsid w:val="00B50AB7"/>
    <w:rsid w:val="00B50EDD"/>
    <w:rsid w:val="00B531DA"/>
    <w:rsid w:val="00B53682"/>
    <w:rsid w:val="00B55B9F"/>
    <w:rsid w:val="00B56427"/>
    <w:rsid w:val="00B56764"/>
    <w:rsid w:val="00B56866"/>
    <w:rsid w:val="00B570D1"/>
    <w:rsid w:val="00B57E11"/>
    <w:rsid w:val="00B57ECB"/>
    <w:rsid w:val="00B57FB7"/>
    <w:rsid w:val="00B600A7"/>
    <w:rsid w:val="00B600FC"/>
    <w:rsid w:val="00B60473"/>
    <w:rsid w:val="00B607A0"/>
    <w:rsid w:val="00B6102A"/>
    <w:rsid w:val="00B6182C"/>
    <w:rsid w:val="00B61B79"/>
    <w:rsid w:val="00B61D96"/>
    <w:rsid w:val="00B61F69"/>
    <w:rsid w:val="00B623D5"/>
    <w:rsid w:val="00B626B3"/>
    <w:rsid w:val="00B62A94"/>
    <w:rsid w:val="00B62B0B"/>
    <w:rsid w:val="00B633E3"/>
    <w:rsid w:val="00B6354C"/>
    <w:rsid w:val="00B635C0"/>
    <w:rsid w:val="00B639AE"/>
    <w:rsid w:val="00B63BC5"/>
    <w:rsid w:val="00B6486A"/>
    <w:rsid w:val="00B64C69"/>
    <w:rsid w:val="00B64FE9"/>
    <w:rsid w:val="00B6552D"/>
    <w:rsid w:val="00B6554D"/>
    <w:rsid w:val="00B656DA"/>
    <w:rsid w:val="00B66ADA"/>
    <w:rsid w:val="00B67B3D"/>
    <w:rsid w:val="00B67E26"/>
    <w:rsid w:val="00B70A77"/>
    <w:rsid w:val="00B70FEA"/>
    <w:rsid w:val="00B71388"/>
    <w:rsid w:val="00B7208B"/>
    <w:rsid w:val="00B72B19"/>
    <w:rsid w:val="00B72F87"/>
    <w:rsid w:val="00B7305B"/>
    <w:rsid w:val="00B73BA8"/>
    <w:rsid w:val="00B73F50"/>
    <w:rsid w:val="00B73F56"/>
    <w:rsid w:val="00B7423F"/>
    <w:rsid w:val="00B744FD"/>
    <w:rsid w:val="00B74770"/>
    <w:rsid w:val="00B750B3"/>
    <w:rsid w:val="00B7692B"/>
    <w:rsid w:val="00B772A4"/>
    <w:rsid w:val="00B80970"/>
    <w:rsid w:val="00B80B06"/>
    <w:rsid w:val="00B817CC"/>
    <w:rsid w:val="00B82E10"/>
    <w:rsid w:val="00B831BA"/>
    <w:rsid w:val="00B851E2"/>
    <w:rsid w:val="00B85C21"/>
    <w:rsid w:val="00B85F7C"/>
    <w:rsid w:val="00B85F87"/>
    <w:rsid w:val="00B867C7"/>
    <w:rsid w:val="00B86C71"/>
    <w:rsid w:val="00B87925"/>
    <w:rsid w:val="00B87AC9"/>
    <w:rsid w:val="00B87C77"/>
    <w:rsid w:val="00B90178"/>
    <w:rsid w:val="00B92516"/>
    <w:rsid w:val="00B9360A"/>
    <w:rsid w:val="00B94BD5"/>
    <w:rsid w:val="00B95E56"/>
    <w:rsid w:val="00B96E0C"/>
    <w:rsid w:val="00BA03FB"/>
    <w:rsid w:val="00BA05AF"/>
    <w:rsid w:val="00BA05CB"/>
    <w:rsid w:val="00BA1244"/>
    <w:rsid w:val="00BA1976"/>
    <w:rsid w:val="00BA1CE0"/>
    <w:rsid w:val="00BA20BF"/>
    <w:rsid w:val="00BA238B"/>
    <w:rsid w:val="00BA2EF0"/>
    <w:rsid w:val="00BA3B9E"/>
    <w:rsid w:val="00BA3D32"/>
    <w:rsid w:val="00BA3DCF"/>
    <w:rsid w:val="00BA714C"/>
    <w:rsid w:val="00BA72B1"/>
    <w:rsid w:val="00BA7515"/>
    <w:rsid w:val="00BA7DC0"/>
    <w:rsid w:val="00BA7DFB"/>
    <w:rsid w:val="00BB0D2B"/>
    <w:rsid w:val="00BB1F54"/>
    <w:rsid w:val="00BB23E7"/>
    <w:rsid w:val="00BB3BBC"/>
    <w:rsid w:val="00BB3C65"/>
    <w:rsid w:val="00BB47D6"/>
    <w:rsid w:val="00BB4BB2"/>
    <w:rsid w:val="00BB653D"/>
    <w:rsid w:val="00BC0290"/>
    <w:rsid w:val="00BC1675"/>
    <w:rsid w:val="00BC1AA8"/>
    <w:rsid w:val="00BC1F59"/>
    <w:rsid w:val="00BC2F5D"/>
    <w:rsid w:val="00BC3558"/>
    <w:rsid w:val="00BC41DA"/>
    <w:rsid w:val="00BC427A"/>
    <w:rsid w:val="00BC42E9"/>
    <w:rsid w:val="00BC4900"/>
    <w:rsid w:val="00BC4D62"/>
    <w:rsid w:val="00BC53BD"/>
    <w:rsid w:val="00BC5673"/>
    <w:rsid w:val="00BC5D13"/>
    <w:rsid w:val="00BC62BA"/>
    <w:rsid w:val="00BC6D48"/>
    <w:rsid w:val="00BC6E6A"/>
    <w:rsid w:val="00BC7770"/>
    <w:rsid w:val="00BD0284"/>
    <w:rsid w:val="00BD0705"/>
    <w:rsid w:val="00BD140E"/>
    <w:rsid w:val="00BD1F1D"/>
    <w:rsid w:val="00BD2328"/>
    <w:rsid w:val="00BD275A"/>
    <w:rsid w:val="00BD2D08"/>
    <w:rsid w:val="00BD2DA1"/>
    <w:rsid w:val="00BD4497"/>
    <w:rsid w:val="00BD46C6"/>
    <w:rsid w:val="00BD4F67"/>
    <w:rsid w:val="00BD5B10"/>
    <w:rsid w:val="00BD62C1"/>
    <w:rsid w:val="00BD6C8F"/>
    <w:rsid w:val="00BD6D58"/>
    <w:rsid w:val="00BD6F03"/>
    <w:rsid w:val="00BD713D"/>
    <w:rsid w:val="00BD79F2"/>
    <w:rsid w:val="00BE052F"/>
    <w:rsid w:val="00BE0F84"/>
    <w:rsid w:val="00BE1B70"/>
    <w:rsid w:val="00BE269D"/>
    <w:rsid w:val="00BE26EE"/>
    <w:rsid w:val="00BE2C7E"/>
    <w:rsid w:val="00BE3EBD"/>
    <w:rsid w:val="00BE46AC"/>
    <w:rsid w:val="00BE4D50"/>
    <w:rsid w:val="00BE5580"/>
    <w:rsid w:val="00BE563A"/>
    <w:rsid w:val="00BE5779"/>
    <w:rsid w:val="00BE5DA1"/>
    <w:rsid w:val="00BE624F"/>
    <w:rsid w:val="00BE681E"/>
    <w:rsid w:val="00BE780B"/>
    <w:rsid w:val="00BF011D"/>
    <w:rsid w:val="00BF0995"/>
    <w:rsid w:val="00BF0E04"/>
    <w:rsid w:val="00BF0F38"/>
    <w:rsid w:val="00BF14F4"/>
    <w:rsid w:val="00BF15EF"/>
    <w:rsid w:val="00BF15FE"/>
    <w:rsid w:val="00BF167B"/>
    <w:rsid w:val="00BF1D74"/>
    <w:rsid w:val="00BF2091"/>
    <w:rsid w:val="00BF234A"/>
    <w:rsid w:val="00BF28A9"/>
    <w:rsid w:val="00BF2C8B"/>
    <w:rsid w:val="00BF332E"/>
    <w:rsid w:val="00BF3780"/>
    <w:rsid w:val="00BF3E41"/>
    <w:rsid w:val="00BF4F07"/>
    <w:rsid w:val="00BF4F5B"/>
    <w:rsid w:val="00BF54EF"/>
    <w:rsid w:val="00BF7AFA"/>
    <w:rsid w:val="00C00A53"/>
    <w:rsid w:val="00C00EC9"/>
    <w:rsid w:val="00C013B4"/>
    <w:rsid w:val="00C016BD"/>
    <w:rsid w:val="00C01B45"/>
    <w:rsid w:val="00C02059"/>
    <w:rsid w:val="00C0250F"/>
    <w:rsid w:val="00C02639"/>
    <w:rsid w:val="00C02A7D"/>
    <w:rsid w:val="00C03391"/>
    <w:rsid w:val="00C046B1"/>
    <w:rsid w:val="00C049EB"/>
    <w:rsid w:val="00C0692C"/>
    <w:rsid w:val="00C070B3"/>
    <w:rsid w:val="00C077F1"/>
    <w:rsid w:val="00C07A30"/>
    <w:rsid w:val="00C07FB5"/>
    <w:rsid w:val="00C1044F"/>
    <w:rsid w:val="00C10A05"/>
    <w:rsid w:val="00C10BA4"/>
    <w:rsid w:val="00C10C88"/>
    <w:rsid w:val="00C10FFA"/>
    <w:rsid w:val="00C11D92"/>
    <w:rsid w:val="00C12E9C"/>
    <w:rsid w:val="00C12EDB"/>
    <w:rsid w:val="00C13086"/>
    <w:rsid w:val="00C142AB"/>
    <w:rsid w:val="00C145FF"/>
    <w:rsid w:val="00C15694"/>
    <w:rsid w:val="00C166F9"/>
    <w:rsid w:val="00C17097"/>
    <w:rsid w:val="00C179F7"/>
    <w:rsid w:val="00C17A37"/>
    <w:rsid w:val="00C200F7"/>
    <w:rsid w:val="00C206EB"/>
    <w:rsid w:val="00C209DF"/>
    <w:rsid w:val="00C21058"/>
    <w:rsid w:val="00C21104"/>
    <w:rsid w:val="00C217BA"/>
    <w:rsid w:val="00C21ABF"/>
    <w:rsid w:val="00C22942"/>
    <w:rsid w:val="00C229EC"/>
    <w:rsid w:val="00C22F96"/>
    <w:rsid w:val="00C24190"/>
    <w:rsid w:val="00C24351"/>
    <w:rsid w:val="00C247BD"/>
    <w:rsid w:val="00C24F25"/>
    <w:rsid w:val="00C25E2E"/>
    <w:rsid w:val="00C25F02"/>
    <w:rsid w:val="00C268CF"/>
    <w:rsid w:val="00C26D09"/>
    <w:rsid w:val="00C273DE"/>
    <w:rsid w:val="00C2764E"/>
    <w:rsid w:val="00C305AE"/>
    <w:rsid w:val="00C307A8"/>
    <w:rsid w:val="00C30E83"/>
    <w:rsid w:val="00C31267"/>
    <w:rsid w:val="00C334F9"/>
    <w:rsid w:val="00C3468B"/>
    <w:rsid w:val="00C34A2C"/>
    <w:rsid w:val="00C359BC"/>
    <w:rsid w:val="00C35BF2"/>
    <w:rsid w:val="00C35F99"/>
    <w:rsid w:val="00C3622D"/>
    <w:rsid w:val="00C37044"/>
    <w:rsid w:val="00C3731B"/>
    <w:rsid w:val="00C374B5"/>
    <w:rsid w:val="00C374C9"/>
    <w:rsid w:val="00C37D45"/>
    <w:rsid w:val="00C40D94"/>
    <w:rsid w:val="00C411BC"/>
    <w:rsid w:val="00C427E9"/>
    <w:rsid w:val="00C429E3"/>
    <w:rsid w:val="00C42A4D"/>
    <w:rsid w:val="00C42BDE"/>
    <w:rsid w:val="00C43707"/>
    <w:rsid w:val="00C43C9E"/>
    <w:rsid w:val="00C43D6B"/>
    <w:rsid w:val="00C461AA"/>
    <w:rsid w:val="00C46F57"/>
    <w:rsid w:val="00C476FD"/>
    <w:rsid w:val="00C50A28"/>
    <w:rsid w:val="00C51B7C"/>
    <w:rsid w:val="00C51C29"/>
    <w:rsid w:val="00C52025"/>
    <w:rsid w:val="00C52A81"/>
    <w:rsid w:val="00C53244"/>
    <w:rsid w:val="00C53EFD"/>
    <w:rsid w:val="00C5433E"/>
    <w:rsid w:val="00C54C3D"/>
    <w:rsid w:val="00C54D83"/>
    <w:rsid w:val="00C54DD2"/>
    <w:rsid w:val="00C55103"/>
    <w:rsid w:val="00C553B5"/>
    <w:rsid w:val="00C55D5C"/>
    <w:rsid w:val="00C60540"/>
    <w:rsid w:val="00C60EE9"/>
    <w:rsid w:val="00C62F85"/>
    <w:rsid w:val="00C63C71"/>
    <w:rsid w:val="00C6435B"/>
    <w:rsid w:val="00C64827"/>
    <w:rsid w:val="00C649B2"/>
    <w:rsid w:val="00C65179"/>
    <w:rsid w:val="00C65929"/>
    <w:rsid w:val="00C67138"/>
    <w:rsid w:val="00C671B3"/>
    <w:rsid w:val="00C67698"/>
    <w:rsid w:val="00C701B3"/>
    <w:rsid w:val="00C706A5"/>
    <w:rsid w:val="00C70A4B"/>
    <w:rsid w:val="00C70D15"/>
    <w:rsid w:val="00C71138"/>
    <w:rsid w:val="00C714B3"/>
    <w:rsid w:val="00C72080"/>
    <w:rsid w:val="00C72318"/>
    <w:rsid w:val="00C72E31"/>
    <w:rsid w:val="00C73AF1"/>
    <w:rsid w:val="00C73C35"/>
    <w:rsid w:val="00C744C3"/>
    <w:rsid w:val="00C7475A"/>
    <w:rsid w:val="00C7506F"/>
    <w:rsid w:val="00C76249"/>
    <w:rsid w:val="00C77FF2"/>
    <w:rsid w:val="00C80E65"/>
    <w:rsid w:val="00C814E3"/>
    <w:rsid w:val="00C823BD"/>
    <w:rsid w:val="00C82FA2"/>
    <w:rsid w:val="00C85227"/>
    <w:rsid w:val="00C85D85"/>
    <w:rsid w:val="00C85F79"/>
    <w:rsid w:val="00C872A0"/>
    <w:rsid w:val="00C87570"/>
    <w:rsid w:val="00C87EFC"/>
    <w:rsid w:val="00C900C9"/>
    <w:rsid w:val="00C91677"/>
    <w:rsid w:val="00C91CD1"/>
    <w:rsid w:val="00C91FFF"/>
    <w:rsid w:val="00C929CE"/>
    <w:rsid w:val="00C93EAA"/>
    <w:rsid w:val="00C93FD8"/>
    <w:rsid w:val="00C94453"/>
    <w:rsid w:val="00C94A80"/>
    <w:rsid w:val="00C94E38"/>
    <w:rsid w:val="00C94F63"/>
    <w:rsid w:val="00C95A6B"/>
    <w:rsid w:val="00C95C1F"/>
    <w:rsid w:val="00C968CC"/>
    <w:rsid w:val="00C96A63"/>
    <w:rsid w:val="00C96AEA"/>
    <w:rsid w:val="00C96B1D"/>
    <w:rsid w:val="00C976F1"/>
    <w:rsid w:val="00C97B9F"/>
    <w:rsid w:val="00CA482A"/>
    <w:rsid w:val="00CA49CC"/>
    <w:rsid w:val="00CA51B4"/>
    <w:rsid w:val="00CA5870"/>
    <w:rsid w:val="00CA6364"/>
    <w:rsid w:val="00CA6989"/>
    <w:rsid w:val="00CA6F5A"/>
    <w:rsid w:val="00CA6F70"/>
    <w:rsid w:val="00CA71DA"/>
    <w:rsid w:val="00CA7EF6"/>
    <w:rsid w:val="00CB00C5"/>
    <w:rsid w:val="00CB07BB"/>
    <w:rsid w:val="00CB09C6"/>
    <w:rsid w:val="00CB1696"/>
    <w:rsid w:val="00CB2019"/>
    <w:rsid w:val="00CB2C1A"/>
    <w:rsid w:val="00CB3616"/>
    <w:rsid w:val="00CB3C08"/>
    <w:rsid w:val="00CB3CA9"/>
    <w:rsid w:val="00CB45B8"/>
    <w:rsid w:val="00CB53F3"/>
    <w:rsid w:val="00CB592A"/>
    <w:rsid w:val="00CB5DC1"/>
    <w:rsid w:val="00CB6356"/>
    <w:rsid w:val="00CB6AA0"/>
    <w:rsid w:val="00CB76EA"/>
    <w:rsid w:val="00CB773A"/>
    <w:rsid w:val="00CB7864"/>
    <w:rsid w:val="00CB7BC2"/>
    <w:rsid w:val="00CC30D7"/>
    <w:rsid w:val="00CC3DB6"/>
    <w:rsid w:val="00CC4120"/>
    <w:rsid w:val="00CC4490"/>
    <w:rsid w:val="00CC555C"/>
    <w:rsid w:val="00CC5917"/>
    <w:rsid w:val="00CC616C"/>
    <w:rsid w:val="00CC665B"/>
    <w:rsid w:val="00CC68C5"/>
    <w:rsid w:val="00CC77E4"/>
    <w:rsid w:val="00CD00FA"/>
    <w:rsid w:val="00CD1559"/>
    <w:rsid w:val="00CD17D5"/>
    <w:rsid w:val="00CD1E97"/>
    <w:rsid w:val="00CD1F91"/>
    <w:rsid w:val="00CD259B"/>
    <w:rsid w:val="00CD2800"/>
    <w:rsid w:val="00CD3A9A"/>
    <w:rsid w:val="00CD3C0D"/>
    <w:rsid w:val="00CD4181"/>
    <w:rsid w:val="00CD4585"/>
    <w:rsid w:val="00CD5F53"/>
    <w:rsid w:val="00CD7B38"/>
    <w:rsid w:val="00CE003E"/>
    <w:rsid w:val="00CE05B0"/>
    <w:rsid w:val="00CE0A3F"/>
    <w:rsid w:val="00CE24DD"/>
    <w:rsid w:val="00CE25B4"/>
    <w:rsid w:val="00CE27F5"/>
    <w:rsid w:val="00CE2B11"/>
    <w:rsid w:val="00CE2D73"/>
    <w:rsid w:val="00CE3AEF"/>
    <w:rsid w:val="00CE443B"/>
    <w:rsid w:val="00CE4B52"/>
    <w:rsid w:val="00CE4D13"/>
    <w:rsid w:val="00CE5396"/>
    <w:rsid w:val="00CE555C"/>
    <w:rsid w:val="00CE5F9D"/>
    <w:rsid w:val="00CE6C38"/>
    <w:rsid w:val="00CE7872"/>
    <w:rsid w:val="00CF0017"/>
    <w:rsid w:val="00CF0163"/>
    <w:rsid w:val="00CF085E"/>
    <w:rsid w:val="00CF09A5"/>
    <w:rsid w:val="00CF10DF"/>
    <w:rsid w:val="00CF2D3B"/>
    <w:rsid w:val="00CF3082"/>
    <w:rsid w:val="00CF3268"/>
    <w:rsid w:val="00CF3541"/>
    <w:rsid w:val="00CF38B5"/>
    <w:rsid w:val="00CF489B"/>
    <w:rsid w:val="00CF490A"/>
    <w:rsid w:val="00CF5E47"/>
    <w:rsid w:val="00CF6BB4"/>
    <w:rsid w:val="00CF6E6C"/>
    <w:rsid w:val="00CF6E70"/>
    <w:rsid w:val="00CF7444"/>
    <w:rsid w:val="00CF7B93"/>
    <w:rsid w:val="00D002B7"/>
    <w:rsid w:val="00D00FB0"/>
    <w:rsid w:val="00D02970"/>
    <w:rsid w:val="00D035C0"/>
    <w:rsid w:val="00D039D9"/>
    <w:rsid w:val="00D039E6"/>
    <w:rsid w:val="00D03E2E"/>
    <w:rsid w:val="00D04545"/>
    <w:rsid w:val="00D04DAB"/>
    <w:rsid w:val="00D05034"/>
    <w:rsid w:val="00D05527"/>
    <w:rsid w:val="00D05A1E"/>
    <w:rsid w:val="00D05E8E"/>
    <w:rsid w:val="00D063DF"/>
    <w:rsid w:val="00D0784E"/>
    <w:rsid w:val="00D1034E"/>
    <w:rsid w:val="00D1059C"/>
    <w:rsid w:val="00D106D7"/>
    <w:rsid w:val="00D10EF1"/>
    <w:rsid w:val="00D1103E"/>
    <w:rsid w:val="00D1110F"/>
    <w:rsid w:val="00D113DE"/>
    <w:rsid w:val="00D11897"/>
    <w:rsid w:val="00D11FA6"/>
    <w:rsid w:val="00D12F92"/>
    <w:rsid w:val="00D13322"/>
    <w:rsid w:val="00D138F5"/>
    <w:rsid w:val="00D139C9"/>
    <w:rsid w:val="00D13A57"/>
    <w:rsid w:val="00D13B8F"/>
    <w:rsid w:val="00D13E89"/>
    <w:rsid w:val="00D141C7"/>
    <w:rsid w:val="00D148C8"/>
    <w:rsid w:val="00D15374"/>
    <w:rsid w:val="00D16D05"/>
    <w:rsid w:val="00D16EF0"/>
    <w:rsid w:val="00D16EF9"/>
    <w:rsid w:val="00D17130"/>
    <w:rsid w:val="00D17758"/>
    <w:rsid w:val="00D17965"/>
    <w:rsid w:val="00D20556"/>
    <w:rsid w:val="00D21428"/>
    <w:rsid w:val="00D21783"/>
    <w:rsid w:val="00D2225D"/>
    <w:rsid w:val="00D22459"/>
    <w:rsid w:val="00D22485"/>
    <w:rsid w:val="00D22CE6"/>
    <w:rsid w:val="00D2326A"/>
    <w:rsid w:val="00D23E6D"/>
    <w:rsid w:val="00D23F6C"/>
    <w:rsid w:val="00D243B7"/>
    <w:rsid w:val="00D24C8C"/>
    <w:rsid w:val="00D25B22"/>
    <w:rsid w:val="00D25D67"/>
    <w:rsid w:val="00D268A1"/>
    <w:rsid w:val="00D26D39"/>
    <w:rsid w:val="00D26E0F"/>
    <w:rsid w:val="00D302B4"/>
    <w:rsid w:val="00D31987"/>
    <w:rsid w:val="00D319FE"/>
    <w:rsid w:val="00D323D1"/>
    <w:rsid w:val="00D326DA"/>
    <w:rsid w:val="00D33B2C"/>
    <w:rsid w:val="00D33BC0"/>
    <w:rsid w:val="00D33DDC"/>
    <w:rsid w:val="00D34415"/>
    <w:rsid w:val="00D3592B"/>
    <w:rsid w:val="00D35989"/>
    <w:rsid w:val="00D35B9B"/>
    <w:rsid w:val="00D35EAD"/>
    <w:rsid w:val="00D36B4B"/>
    <w:rsid w:val="00D37DFB"/>
    <w:rsid w:val="00D40078"/>
    <w:rsid w:val="00D4022D"/>
    <w:rsid w:val="00D414F5"/>
    <w:rsid w:val="00D41CA0"/>
    <w:rsid w:val="00D41F51"/>
    <w:rsid w:val="00D42E22"/>
    <w:rsid w:val="00D43872"/>
    <w:rsid w:val="00D454E7"/>
    <w:rsid w:val="00D45527"/>
    <w:rsid w:val="00D46097"/>
    <w:rsid w:val="00D46521"/>
    <w:rsid w:val="00D47E28"/>
    <w:rsid w:val="00D50127"/>
    <w:rsid w:val="00D517D0"/>
    <w:rsid w:val="00D523EB"/>
    <w:rsid w:val="00D52794"/>
    <w:rsid w:val="00D52D57"/>
    <w:rsid w:val="00D53275"/>
    <w:rsid w:val="00D54358"/>
    <w:rsid w:val="00D54562"/>
    <w:rsid w:val="00D548B4"/>
    <w:rsid w:val="00D5512F"/>
    <w:rsid w:val="00D553C6"/>
    <w:rsid w:val="00D554E1"/>
    <w:rsid w:val="00D55501"/>
    <w:rsid w:val="00D5577E"/>
    <w:rsid w:val="00D55F1F"/>
    <w:rsid w:val="00D5614A"/>
    <w:rsid w:val="00D563AD"/>
    <w:rsid w:val="00D564E9"/>
    <w:rsid w:val="00D5679E"/>
    <w:rsid w:val="00D567AA"/>
    <w:rsid w:val="00D56FFA"/>
    <w:rsid w:val="00D57F34"/>
    <w:rsid w:val="00D604DA"/>
    <w:rsid w:val="00D61D3A"/>
    <w:rsid w:val="00D61E66"/>
    <w:rsid w:val="00D61F21"/>
    <w:rsid w:val="00D62952"/>
    <w:rsid w:val="00D62B1A"/>
    <w:rsid w:val="00D6316F"/>
    <w:rsid w:val="00D63E9A"/>
    <w:rsid w:val="00D641F8"/>
    <w:rsid w:val="00D64A9F"/>
    <w:rsid w:val="00D65810"/>
    <w:rsid w:val="00D66AE3"/>
    <w:rsid w:val="00D67390"/>
    <w:rsid w:val="00D673AA"/>
    <w:rsid w:val="00D702BE"/>
    <w:rsid w:val="00D70BAF"/>
    <w:rsid w:val="00D713A0"/>
    <w:rsid w:val="00D7152A"/>
    <w:rsid w:val="00D720AD"/>
    <w:rsid w:val="00D7233D"/>
    <w:rsid w:val="00D724DC"/>
    <w:rsid w:val="00D72738"/>
    <w:rsid w:val="00D72CF7"/>
    <w:rsid w:val="00D741FC"/>
    <w:rsid w:val="00D7524D"/>
    <w:rsid w:val="00D75C4F"/>
    <w:rsid w:val="00D75F3A"/>
    <w:rsid w:val="00D7636E"/>
    <w:rsid w:val="00D768F3"/>
    <w:rsid w:val="00D76A10"/>
    <w:rsid w:val="00D76CA5"/>
    <w:rsid w:val="00D76ED3"/>
    <w:rsid w:val="00D77DC1"/>
    <w:rsid w:val="00D77E85"/>
    <w:rsid w:val="00D77F27"/>
    <w:rsid w:val="00D80A2B"/>
    <w:rsid w:val="00D80D6A"/>
    <w:rsid w:val="00D81D1D"/>
    <w:rsid w:val="00D83DDB"/>
    <w:rsid w:val="00D84084"/>
    <w:rsid w:val="00D8421B"/>
    <w:rsid w:val="00D84AA2"/>
    <w:rsid w:val="00D84BF3"/>
    <w:rsid w:val="00D85054"/>
    <w:rsid w:val="00D851B0"/>
    <w:rsid w:val="00D85FE2"/>
    <w:rsid w:val="00D87B49"/>
    <w:rsid w:val="00D90594"/>
    <w:rsid w:val="00D90AA2"/>
    <w:rsid w:val="00D90C0D"/>
    <w:rsid w:val="00D9112C"/>
    <w:rsid w:val="00D92B4D"/>
    <w:rsid w:val="00D93334"/>
    <w:rsid w:val="00D93A63"/>
    <w:rsid w:val="00D93D3C"/>
    <w:rsid w:val="00D93D73"/>
    <w:rsid w:val="00D93EB1"/>
    <w:rsid w:val="00D9452B"/>
    <w:rsid w:val="00D94ADC"/>
    <w:rsid w:val="00D95302"/>
    <w:rsid w:val="00D96AB7"/>
    <w:rsid w:val="00D9730C"/>
    <w:rsid w:val="00D977C8"/>
    <w:rsid w:val="00DA00B8"/>
    <w:rsid w:val="00DA1780"/>
    <w:rsid w:val="00DA244B"/>
    <w:rsid w:val="00DA3198"/>
    <w:rsid w:val="00DA380F"/>
    <w:rsid w:val="00DA3867"/>
    <w:rsid w:val="00DA3E9A"/>
    <w:rsid w:val="00DA4DBD"/>
    <w:rsid w:val="00DA60E1"/>
    <w:rsid w:val="00DA65F6"/>
    <w:rsid w:val="00DA6F31"/>
    <w:rsid w:val="00DA706E"/>
    <w:rsid w:val="00DA7137"/>
    <w:rsid w:val="00DA7314"/>
    <w:rsid w:val="00DA786A"/>
    <w:rsid w:val="00DA7D1B"/>
    <w:rsid w:val="00DB03ED"/>
    <w:rsid w:val="00DB06E9"/>
    <w:rsid w:val="00DB0E7C"/>
    <w:rsid w:val="00DB181D"/>
    <w:rsid w:val="00DB1B17"/>
    <w:rsid w:val="00DB1DEA"/>
    <w:rsid w:val="00DB1EDB"/>
    <w:rsid w:val="00DB210F"/>
    <w:rsid w:val="00DB220A"/>
    <w:rsid w:val="00DB2DBE"/>
    <w:rsid w:val="00DB32DE"/>
    <w:rsid w:val="00DB49B6"/>
    <w:rsid w:val="00DB4D78"/>
    <w:rsid w:val="00DB5B40"/>
    <w:rsid w:val="00DB6DA6"/>
    <w:rsid w:val="00DC055B"/>
    <w:rsid w:val="00DC0DC8"/>
    <w:rsid w:val="00DC1302"/>
    <w:rsid w:val="00DC13E1"/>
    <w:rsid w:val="00DC1E47"/>
    <w:rsid w:val="00DC2397"/>
    <w:rsid w:val="00DC249C"/>
    <w:rsid w:val="00DC2BEF"/>
    <w:rsid w:val="00DC304F"/>
    <w:rsid w:val="00DC3545"/>
    <w:rsid w:val="00DC364B"/>
    <w:rsid w:val="00DC4B35"/>
    <w:rsid w:val="00DC4FBE"/>
    <w:rsid w:val="00DC5836"/>
    <w:rsid w:val="00DC5A31"/>
    <w:rsid w:val="00DC676B"/>
    <w:rsid w:val="00DD2026"/>
    <w:rsid w:val="00DD2648"/>
    <w:rsid w:val="00DD267B"/>
    <w:rsid w:val="00DD2A1E"/>
    <w:rsid w:val="00DD2A77"/>
    <w:rsid w:val="00DD5AD6"/>
    <w:rsid w:val="00DD6FD9"/>
    <w:rsid w:val="00DD79E3"/>
    <w:rsid w:val="00DE048F"/>
    <w:rsid w:val="00DE1206"/>
    <w:rsid w:val="00DE215D"/>
    <w:rsid w:val="00DE3C99"/>
    <w:rsid w:val="00DE4509"/>
    <w:rsid w:val="00DE491D"/>
    <w:rsid w:val="00DE552A"/>
    <w:rsid w:val="00DE58D7"/>
    <w:rsid w:val="00DE5A78"/>
    <w:rsid w:val="00DE5D94"/>
    <w:rsid w:val="00DE6C85"/>
    <w:rsid w:val="00DE78F6"/>
    <w:rsid w:val="00DE7FFC"/>
    <w:rsid w:val="00DF0119"/>
    <w:rsid w:val="00DF0528"/>
    <w:rsid w:val="00DF171F"/>
    <w:rsid w:val="00DF179B"/>
    <w:rsid w:val="00DF17F9"/>
    <w:rsid w:val="00DF1AB3"/>
    <w:rsid w:val="00DF1AB5"/>
    <w:rsid w:val="00DF221E"/>
    <w:rsid w:val="00DF2CD3"/>
    <w:rsid w:val="00DF369E"/>
    <w:rsid w:val="00DF62C2"/>
    <w:rsid w:val="00DF62E2"/>
    <w:rsid w:val="00DF7BAF"/>
    <w:rsid w:val="00E0008D"/>
    <w:rsid w:val="00E001C4"/>
    <w:rsid w:val="00E009EE"/>
    <w:rsid w:val="00E00A82"/>
    <w:rsid w:val="00E00CDF"/>
    <w:rsid w:val="00E0120D"/>
    <w:rsid w:val="00E01521"/>
    <w:rsid w:val="00E016C4"/>
    <w:rsid w:val="00E01FA1"/>
    <w:rsid w:val="00E022C5"/>
    <w:rsid w:val="00E0246A"/>
    <w:rsid w:val="00E02A34"/>
    <w:rsid w:val="00E02D6C"/>
    <w:rsid w:val="00E030B1"/>
    <w:rsid w:val="00E03768"/>
    <w:rsid w:val="00E03B67"/>
    <w:rsid w:val="00E040F3"/>
    <w:rsid w:val="00E0420B"/>
    <w:rsid w:val="00E042F5"/>
    <w:rsid w:val="00E0574B"/>
    <w:rsid w:val="00E061AE"/>
    <w:rsid w:val="00E067D0"/>
    <w:rsid w:val="00E07170"/>
    <w:rsid w:val="00E0719F"/>
    <w:rsid w:val="00E07465"/>
    <w:rsid w:val="00E07518"/>
    <w:rsid w:val="00E109EC"/>
    <w:rsid w:val="00E10FE2"/>
    <w:rsid w:val="00E1107E"/>
    <w:rsid w:val="00E11853"/>
    <w:rsid w:val="00E11BB7"/>
    <w:rsid w:val="00E11D10"/>
    <w:rsid w:val="00E11EBD"/>
    <w:rsid w:val="00E11FD6"/>
    <w:rsid w:val="00E1264D"/>
    <w:rsid w:val="00E13405"/>
    <w:rsid w:val="00E1447C"/>
    <w:rsid w:val="00E1484A"/>
    <w:rsid w:val="00E14C9D"/>
    <w:rsid w:val="00E14DE9"/>
    <w:rsid w:val="00E1512A"/>
    <w:rsid w:val="00E159E6"/>
    <w:rsid w:val="00E163A1"/>
    <w:rsid w:val="00E16632"/>
    <w:rsid w:val="00E16B60"/>
    <w:rsid w:val="00E16DF8"/>
    <w:rsid w:val="00E16EEC"/>
    <w:rsid w:val="00E1715A"/>
    <w:rsid w:val="00E1790A"/>
    <w:rsid w:val="00E204D1"/>
    <w:rsid w:val="00E2206C"/>
    <w:rsid w:val="00E22192"/>
    <w:rsid w:val="00E2224C"/>
    <w:rsid w:val="00E2269E"/>
    <w:rsid w:val="00E22F4A"/>
    <w:rsid w:val="00E234D4"/>
    <w:rsid w:val="00E23C5E"/>
    <w:rsid w:val="00E25030"/>
    <w:rsid w:val="00E265E4"/>
    <w:rsid w:val="00E27CA7"/>
    <w:rsid w:val="00E27EA5"/>
    <w:rsid w:val="00E3029E"/>
    <w:rsid w:val="00E30F1C"/>
    <w:rsid w:val="00E31BAB"/>
    <w:rsid w:val="00E31E48"/>
    <w:rsid w:val="00E32127"/>
    <w:rsid w:val="00E3351C"/>
    <w:rsid w:val="00E33A89"/>
    <w:rsid w:val="00E3427F"/>
    <w:rsid w:val="00E34506"/>
    <w:rsid w:val="00E345E9"/>
    <w:rsid w:val="00E3539A"/>
    <w:rsid w:val="00E36F48"/>
    <w:rsid w:val="00E402B8"/>
    <w:rsid w:val="00E40EFD"/>
    <w:rsid w:val="00E41784"/>
    <w:rsid w:val="00E41794"/>
    <w:rsid w:val="00E41992"/>
    <w:rsid w:val="00E41E05"/>
    <w:rsid w:val="00E41E0C"/>
    <w:rsid w:val="00E42A8D"/>
    <w:rsid w:val="00E4386C"/>
    <w:rsid w:val="00E44128"/>
    <w:rsid w:val="00E442A1"/>
    <w:rsid w:val="00E443E4"/>
    <w:rsid w:val="00E44723"/>
    <w:rsid w:val="00E45315"/>
    <w:rsid w:val="00E45773"/>
    <w:rsid w:val="00E461FA"/>
    <w:rsid w:val="00E46677"/>
    <w:rsid w:val="00E477A6"/>
    <w:rsid w:val="00E47D6F"/>
    <w:rsid w:val="00E509A4"/>
    <w:rsid w:val="00E50D58"/>
    <w:rsid w:val="00E5131F"/>
    <w:rsid w:val="00E5224B"/>
    <w:rsid w:val="00E522A7"/>
    <w:rsid w:val="00E531E7"/>
    <w:rsid w:val="00E53AD3"/>
    <w:rsid w:val="00E53FA3"/>
    <w:rsid w:val="00E543BB"/>
    <w:rsid w:val="00E548A2"/>
    <w:rsid w:val="00E555EA"/>
    <w:rsid w:val="00E556A6"/>
    <w:rsid w:val="00E55C95"/>
    <w:rsid w:val="00E55FB3"/>
    <w:rsid w:val="00E56009"/>
    <w:rsid w:val="00E56675"/>
    <w:rsid w:val="00E56C35"/>
    <w:rsid w:val="00E571CC"/>
    <w:rsid w:val="00E57400"/>
    <w:rsid w:val="00E60F25"/>
    <w:rsid w:val="00E619E4"/>
    <w:rsid w:val="00E61B27"/>
    <w:rsid w:val="00E627F6"/>
    <w:rsid w:val="00E62E41"/>
    <w:rsid w:val="00E638BD"/>
    <w:rsid w:val="00E640FA"/>
    <w:rsid w:val="00E6452D"/>
    <w:rsid w:val="00E6458A"/>
    <w:rsid w:val="00E66872"/>
    <w:rsid w:val="00E67510"/>
    <w:rsid w:val="00E67EE4"/>
    <w:rsid w:val="00E7052B"/>
    <w:rsid w:val="00E707EF"/>
    <w:rsid w:val="00E709DF"/>
    <w:rsid w:val="00E70D2A"/>
    <w:rsid w:val="00E70FF3"/>
    <w:rsid w:val="00E7109F"/>
    <w:rsid w:val="00E71175"/>
    <w:rsid w:val="00E7128A"/>
    <w:rsid w:val="00E729D8"/>
    <w:rsid w:val="00E72FB5"/>
    <w:rsid w:val="00E73938"/>
    <w:rsid w:val="00E7400F"/>
    <w:rsid w:val="00E74131"/>
    <w:rsid w:val="00E74794"/>
    <w:rsid w:val="00E748EB"/>
    <w:rsid w:val="00E74ADC"/>
    <w:rsid w:val="00E74D5A"/>
    <w:rsid w:val="00E7611D"/>
    <w:rsid w:val="00E7678D"/>
    <w:rsid w:val="00E772C0"/>
    <w:rsid w:val="00E8457A"/>
    <w:rsid w:val="00E85462"/>
    <w:rsid w:val="00E85929"/>
    <w:rsid w:val="00E865C9"/>
    <w:rsid w:val="00E8680D"/>
    <w:rsid w:val="00E870DB"/>
    <w:rsid w:val="00E87A30"/>
    <w:rsid w:val="00E87D24"/>
    <w:rsid w:val="00E905BD"/>
    <w:rsid w:val="00E9062C"/>
    <w:rsid w:val="00E90BFC"/>
    <w:rsid w:val="00E91699"/>
    <w:rsid w:val="00E916F1"/>
    <w:rsid w:val="00E92BE9"/>
    <w:rsid w:val="00E92F9F"/>
    <w:rsid w:val="00E9347F"/>
    <w:rsid w:val="00E94716"/>
    <w:rsid w:val="00E9473C"/>
    <w:rsid w:val="00E94AC2"/>
    <w:rsid w:val="00E94CCB"/>
    <w:rsid w:val="00E95525"/>
    <w:rsid w:val="00E959B3"/>
    <w:rsid w:val="00E959E8"/>
    <w:rsid w:val="00E96060"/>
    <w:rsid w:val="00E96427"/>
    <w:rsid w:val="00E96E14"/>
    <w:rsid w:val="00E9702D"/>
    <w:rsid w:val="00E974FA"/>
    <w:rsid w:val="00E97A41"/>
    <w:rsid w:val="00EA0137"/>
    <w:rsid w:val="00EA15BA"/>
    <w:rsid w:val="00EA1D6D"/>
    <w:rsid w:val="00EA1EEC"/>
    <w:rsid w:val="00EA2018"/>
    <w:rsid w:val="00EA205A"/>
    <w:rsid w:val="00EA3083"/>
    <w:rsid w:val="00EA3825"/>
    <w:rsid w:val="00EA3C3C"/>
    <w:rsid w:val="00EA4C22"/>
    <w:rsid w:val="00EA5580"/>
    <w:rsid w:val="00EA57D0"/>
    <w:rsid w:val="00EA7737"/>
    <w:rsid w:val="00EA79FB"/>
    <w:rsid w:val="00EB0609"/>
    <w:rsid w:val="00EB078A"/>
    <w:rsid w:val="00EB0D9D"/>
    <w:rsid w:val="00EB147E"/>
    <w:rsid w:val="00EB1F10"/>
    <w:rsid w:val="00EB284E"/>
    <w:rsid w:val="00EB2A0A"/>
    <w:rsid w:val="00EB2DD9"/>
    <w:rsid w:val="00EB2F99"/>
    <w:rsid w:val="00EB2FF9"/>
    <w:rsid w:val="00EB356D"/>
    <w:rsid w:val="00EB35F3"/>
    <w:rsid w:val="00EB3FFD"/>
    <w:rsid w:val="00EB409B"/>
    <w:rsid w:val="00EB41C4"/>
    <w:rsid w:val="00EB4313"/>
    <w:rsid w:val="00EB5488"/>
    <w:rsid w:val="00EB54B3"/>
    <w:rsid w:val="00EB5745"/>
    <w:rsid w:val="00EB5E7C"/>
    <w:rsid w:val="00EB605E"/>
    <w:rsid w:val="00EB61C0"/>
    <w:rsid w:val="00EB676E"/>
    <w:rsid w:val="00EB68B6"/>
    <w:rsid w:val="00EB6BE8"/>
    <w:rsid w:val="00EB6C77"/>
    <w:rsid w:val="00EB7213"/>
    <w:rsid w:val="00EB752B"/>
    <w:rsid w:val="00EC04CA"/>
    <w:rsid w:val="00EC0C5E"/>
    <w:rsid w:val="00EC1BE7"/>
    <w:rsid w:val="00EC1D43"/>
    <w:rsid w:val="00EC2700"/>
    <w:rsid w:val="00EC3105"/>
    <w:rsid w:val="00EC34C5"/>
    <w:rsid w:val="00EC42FA"/>
    <w:rsid w:val="00EC4A64"/>
    <w:rsid w:val="00EC539C"/>
    <w:rsid w:val="00EC5534"/>
    <w:rsid w:val="00EC578A"/>
    <w:rsid w:val="00EC6555"/>
    <w:rsid w:val="00EC6CF7"/>
    <w:rsid w:val="00EC6F5C"/>
    <w:rsid w:val="00EC7546"/>
    <w:rsid w:val="00EC75B2"/>
    <w:rsid w:val="00EC7956"/>
    <w:rsid w:val="00ED0791"/>
    <w:rsid w:val="00ED0ED5"/>
    <w:rsid w:val="00ED2CEA"/>
    <w:rsid w:val="00ED2D7A"/>
    <w:rsid w:val="00ED2D83"/>
    <w:rsid w:val="00ED3373"/>
    <w:rsid w:val="00ED4C66"/>
    <w:rsid w:val="00ED602D"/>
    <w:rsid w:val="00ED6B8F"/>
    <w:rsid w:val="00ED6E53"/>
    <w:rsid w:val="00ED7023"/>
    <w:rsid w:val="00ED71A4"/>
    <w:rsid w:val="00EE0397"/>
    <w:rsid w:val="00EE03EB"/>
    <w:rsid w:val="00EE0655"/>
    <w:rsid w:val="00EE0EB8"/>
    <w:rsid w:val="00EE0F05"/>
    <w:rsid w:val="00EE1923"/>
    <w:rsid w:val="00EE3490"/>
    <w:rsid w:val="00EE43E3"/>
    <w:rsid w:val="00EE571A"/>
    <w:rsid w:val="00EE7131"/>
    <w:rsid w:val="00EE7955"/>
    <w:rsid w:val="00EF0475"/>
    <w:rsid w:val="00EF136E"/>
    <w:rsid w:val="00EF1E54"/>
    <w:rsid w:val="00EF24E6"/>
    <w:rsid w:val="00EF2C03"/>
    <w:rsid w:val="00EF2FA6"/>
    <w:rsid w:val="00EF2FFA"/>
    <w:rsid w:val="00EF3BCC"/>
    <w:rsid w:val="00EF4D2C"/>
    <w:rsid w:val="00EF59EE"/>
    <w:rsid w:val="00EF5A96"/>
    <w:rsid w:val="00EF7277"/>
    <w:rsid w:val="00EF772F"/>
    <w:rsid w:val="00F01210"/>
    <w:rsid w:val="00F017F1"/>
    <w:rsid w:val="00F02D27"/>
    <w:rsid w:val="00F04758"/>
    <w:rsid w:val="00F04852"/>
    <w:rsid w:val="00F05015"/>
    <w:rsid w:val="00F061C4"/>
    <w:rsid w:val="00F06A6A"/>
    <w:rsid w:val="00F06B39"/>
    <w:rsid w:val="00F06F28"/>
    <w:rsid w:val="00F07166"/>
    <w:rsid w:val="00F078CD"/>
    <w:rsid w:val="00F07C41"/>
    <w:rsid w:val="00F1080E"/>
    <w:rsid w:val="00F10829"/>
    <w:rsid w:val="00F109BA"/>
    <w:rsid w:val="00F11462"/>
    <w:rsid w:val="00F119B5"/>
    <w:rsid w:val="00F12B69"/>
    <w:rsid w:val="00F1666B"/>
    <w:rsid w:val="00F16893"/>
    <w:rsid w:val="00F16BDC"/>
    <w:rsid w:val="00F17B9D"/>
    <w:rsid w:val="00F201E7"/>
    <w:rsid w:val="00F20644"/>
    <w:rsid w:val="00F20E5B"/>
    <w:rsid w:val="00F21FD0"/>
    <w:rsid w:val="00F2296F"/>
    <w:rsid w:val="00F23039"/>
    <w:rsid w:val="00F24882"/>
    <w:rsid w:val="00F24E95"/>
    <w:rsid w:val="00F27A8A"/>
    <w:rsid w:val="00F33CBB"/>
    <w:rsid w:val="00F34F90"/>
    <w:rsid w:val="00F35575"/>
    <w:rsid w:val="00F3570E"/>
    <w:rsid w:val="00F35DBC"/>
    <w:rsid w:val="00F3620D"/>
    <w:rsid w:val="00F3635D"/>
    <w:rsid w:val="00F372EB"/>
    <w:rsid w:val="00F37379"/>
    <w:rsid w:val="00F37422"/>
    <w:rsid w:val="00F37E61"/>
    <w:rsid w:val="00F406EF"/>
    <w:rsid w:val="00F409B1"/>
    <w:rsid w:val="00F40FCE"/>
    <w:rsid w:val="00F40FEE"/>
    <w:rsid w:val="00F41B9B"/>
    <w:rsid w:val="00F430E6"/>
    <w:rsid w:val="00F43C7B"/>
    <w:rsid w:val="00F44BD0"/>
    <w:rsid w:val="00F44CD1"/>
    <w:rsid w:val="00F4574D"/>
    <w:rsid w:val="00F45C72"/>
    <w:rsid w:val="00F45E1C"/>
    <w:rsid w:val="00F469DA"/>
    <w:rsid w:val="00F46B8D"/>
    <w:rsid w:val="00F477FE"/>
    <w:rsid w:val="00F50003"/>
    <w:rsid w:val="00F50CB9"/>
    <w:rsid w:val="00F52F0C"/>
    <w:rsid w:val="00F537E7"/>
    <w:rsid w:val="00F53CD4"/>
    <w:rsid w:val="00F5423D"/>
    <w:rsid w:val="00F556FF"/>
    <w:rsid w:val="00F56124"/>
    <w:rsid w:val="00F566D3"/>
    <w:rsid w:val="00F5750F"/>
    <w:rsid w:val="00F57895"/>
    <w:rsid w:val="00F6021D"/>
    <w:rsid w:val="00F60885"/>
    <w:rsid w:val="00F60DDE"/>
    <w:rsid w:val="00F61D79"/>
    <w:rsid w:val="00F625E1"/>
    <w:rsid w:val="00F6278E"/>
    <w:rsid w:val="00F628B0"/>
    <w:rsid w:val="00F62B6E"/>
    <w:rsid w:val="00F62D83"/>
    <w:rsid w:val="00F65398"/>
    <w:rsid w:val="00F654BE"/>
    <w:rsid w:val="00F656E6"/>
    <w:rsid w:val="00F65948"/>
    <w:rsid w:val="00F65FAF"/>
    <w:rsid w:val="00F66008"/>
    <w:rsid w:val="00F663A6"/>
    <w:rsid w:val="00F66680"/>
    <w:rsid w:val="00F66C28"/>
    <w:rsid w:val="00F66E42"/>
    <w:rsid w:val="00F671C6"/>
    <w:rsid w:val="00F6757F"/>
    <w:rsid w:val="00F70F2A"/>
    <w:rsid w:val="00F70FE5"/>
    <w:rsid w:val="00F71ED3"/>
    <w:rsid w:val="00F727CB"/>
    <w:rsid w:val="00F7332B"/>
    <w:rsid w:val="00F733C9"/>
    <w:rsid w:val="00F749AF"/>
    <w:rsid w:val="00F752D4"/>
    <w:rsid w:val="00F766B2"/>
    <w:rsid w:val="00F76B9D"/>
    <w:rsid w:val="00F77135"/>
    <w:rsid w:val="00F771F1"/>
    <w:rsid w:val="00F80338"/>
    <w:rsid w:val="00F808DA"/>
    <w:rsid w:val="00F80F35"/>
    <w:rsid w:val="00F811D5"/>
    <w:rsid w:val="00F81337"/>
    <w:rsid w:val="00F81E59"/>
    <w:rsid w:val="00F826E8"/>
    <w:rsid w:val="00F82FA0"/>
    <w:rsid w:val="00F8335D"/>
    <w:rsid w:val="00F83AD4"/>
    <w:rsid w:val="00F83BB0"/>
    <w:rsid w:val="00F83D5B"/>
    <w:rsid w:val="00F83EC5"/>
    <w:rsid w:val="00F842FF"/>
    <w:rsid w:val="00F8477B"/>
    <w:rsid w:val="00F86A23"/>
    <w:rsid w:val="00F86AFB"/>
    <w:rsid w:val="00F86C20"/>
    <w:rsid w:val="00F86EAC"/>
    <w:rsid w:val="00F86FF5"/>
    <w:rsid w:val="00F87851"/>
    <w:rsid w:val="00F87A5E"/>
    <w:rsid w:val="00F87F4A"/>
    <w:rsid w:val="00F90C09"/>
    <w:rsid w:val="00F90E31"/>
    <w:rsid w:val="00F91655"/>
    <w:rsid w:val="00F92D67"/>
    <w:rsid w:val="00F93158"/>
    <w:rsid w:val="00F933F4"/>
    <w:rsid w:val="00F9424E"/>
    <w:rsid w:val="00F95AB9"/>
    <w:rsid w:val="00F960F0"/>
    <w:rsid w:val="00F96227"/>
    <w:rsid w:val="00F97FE7"/>
    <w:rsid w:val="00FA00D7"/>
    <w:rsid w:val="00FA0B9D"/>
    <w:rsid w:val="00FA0EA5"/>
    <w:rsid w:val="00FA110B"/>
    <w:rsid w:val="00FA12E0"/>
    <w:rsid w:val="00FA1489"/>
    <w:rsid w:val="00FA174F"/>
    <w:rsid w:val="00FA1EC3"/>
    <w:rsid w:val="00FA2186"/>
    <w:rsid w:val="00FA28B5"/>
    <w:rsid w:val="00FA2D27"/>
    <w:rsid w:val="00FA2E00"/>
    <w:rsid w:val="00FA2E08"/>
    <w:rsid w:val="00FA3097"/>
    <w:rsid w:val="00FA338A"/>
    <w:rsid w:val="00FA33E5"/>
    <w:rsid w:val="00FA37C6"/>
    <w:rsid w:val="00FA3D42"/>
    <w:rsid w:val="00FA52FF"/>
    <w:rsid w:val="00FA5F0F"/>
    <w:rsid w:val="00FA5F3D"/>
    <w:rsid w:val="00FB007C"/>
    <w:rsid w:val="00FB3249"/>
    <w:rsid w:val="00FB444E"/>
    <w:rsid w:val="00FB45CC"/>
    <w:rsid w:val="00FB52FD"/>
    <w:rsid w:val="00FB5856"/>
    <w:rsid w:val="00FB5EC3"/>
    <w:rsid w:val="00FB6069"/>
    <w:rsid w:val="00FB60D3"/>
    <w:rsid w:val="00FB6520"/>
    <w:rsid w:val="00FB6CFF"/>
    <w:rsid w:val="00FB7CD3"/>
    <w:rsid w:val="00FC0D7A"/>
    <w:rsid w:val="00FC12D6"/>
    <w:rsid w:val="00FC1B5B"/>
    <w:rsid w:val="00FC1C3C"/>
    <w:rsid w:val="00FC2160"/>
    <w:rsid w:val="00FC2218"/>
    <w:rsid w:val="00FC2BA0"/>
    <w:rsid w:val="00FC2F5C"/>
    <w:rsid w:val="00FC312C"/>
    <w:rsid w:val="00FC318E"/>
    <w:rsid w:val="00FC336F"/>
    <w:rsid w:val="00FC370A"/>
    <w:rsid w:val="00FC3A1F"/>
    <w:rsid w:val="00FC470E"/>
    <w:rsid w:val="00FC4AB1"/>
    <w:rsid w:val="00FC4BB0"/>
    <w:rsid w:val="00FC4E57"/>
    <w:rsid w:val="00FC4F48"/>
    <w:rsid w:val="00FC5A60"/>
    <w:rsid w:val="00FC7126"/>
    <w:rsid w:val="00FC7143"/>
    <w:rsid w:val="00FC7505"/>
    <w:rsid w:val="00FC7C7F"/>
    <w:rsid w:val="00FD118E"/>
    <w:rsid w:val="00FD2441"/>
    <w:rsid w:val="00FD2958"/>
    <w:rsid w:val="00FD3616"/>
    <w:rsid w:val="00FD36EA"/>
    <w:rsid w:val="00FD37BD"/>
    <w:rsid w:val="00FD3A4D"/>
    <w:rsid w:val="00FD3F4C"/>
    <w:rsid w:val="00FD420D"/>
    <w:rsid w:val="00FD44AB"/>
    <w:rsid w:val="00FD4A4B"/>
    <w:rsid w:val="00FD4F07"/>
    <w:rsid w:val="00FD508C"/>
    <w:rsid w:val="00FD511B"/>
    <w:rsid w:val="00FD5C41"/>
    <w:rsid w:val="00FD5E2D"/>
    <w:rsid w:val="00FD617F"/>
    <w:rsid w:val="00FD61A1"/>
    <w:rsid w:val="00FD7AD8"/>
    <w:rsid w:val="00FD7BFC"/>
    <w:rsid w:val="00FD7C67"/>
    <w:rsid w:val="00FD7CAB"/>
    <w:rsid w:val="00FD7DD0"/>
    <w:rsid w:val="00FE0E04"/>
    <w:rsid w:val="00FE0FCA"/>
    <w:rsid w:val="00FE12F6"/>
    <w:rsid w:val="00FE1AEA"/>
    <w:rsid w:val="00FE20AE"/>
    <w:rsid w:val="00FE322E"/>
    <w:rsid w:val="00FE3CBE"/>
    <w:rsid w:val="00FE416E"/>
    <w:rsid w:val="00FE4BDD"/>
    <w:rsid w:val="00FE5443"/>
    <w:rsid w:val="00FE6357"/>
    <w:rsid w:val="00FE639A"/>
    <w:rsid w:val="00FE6B1B"/>
    <w:rsid w:val="00FF1D47"/>
    <w:rsid w:val="00FF1F1D"/>
    <w:rsid w:val="00FF27D2"/>
    <w:rsid w:val="00FF2FF6"/>
    <w:rsid w:val="00FF31FB"/>
    <w:rsid w:val="00FF34FD"/>
    <w:rsid w:val="00FF392F"/>
    <w:rsid w:val="00FF44FD"/>
    <w:rsid w:val="00FF53E4"/>
    <w:rsid w:val="00FF5A3D"/>
    <w:rsid w:val="00FF662E"/>
    <w:rsid w:val="00FF7050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EC5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3EC5"/>
    <w:pPr>
      <w:keepNext/>
      <w:spacing w:before="240" w:after="60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EC5"/>
    <w:rPr>
      <w:b/>
      <w:bCs/>
      <w:kern w:val="32"/>
      <w:sz w:val="28"/>
      <w:szCs w:val="32"/>
    </w:rPr>
  </w:style>
  <w:style w:type="paragraph" w:styleId="TM1">
    <w:name w:val="toc 1"/>
    <w:basedOn w:val="Normal"/>
    <w:next w:val="Normal"/>
    <w:autoRedefine/>
    <w:uiPriority w:val="39"/>
    <w:qFormat/>
    <w:rsid w:val="00F83EC5"/>
    <w:pPr>
      <w:spacing w:before="120"/>
    </w:pPr>
    <w:rPr>
      <w:rFonts w:ascii="Calibri" w:hAnsi="Calibri" w:cs="Times New Roman"/>
      <w:b/>
      <w:bCs/>
      <w:i/>
      <w:iCs/>
      <w:szCs w:val="28"/>
    </w:rPr>
  </w:style>
  <w:style w:type="paragraph" w:styleId="TM2">
    <w:name w:val="toc 2"/>
    <w:basedOn w:val="Normal"/>
    <w:next w:val="Normal"/>
    <w:autoRedefine/>
    <w:uiPriority w:val="39"/>
    <w:semiHidden/>
    <w:qFormat/>
    <w:rsid w:val="00F83EC5"/>
    <w:pPr>
      <w:spacing w:before="120"/>
      <w:ind w:left="240"/>
    </w:pPr>
    <w:rPr>
      <w:rFonts w:ascii="Calibri" w:hAnsi="Calibri" w:cs="Times New Roman"/>
      <w:b/>
      <w:bCs/>
      <w:sz w:val="22"/>
      <w:szCs w:val="26"/>
    </w:rPr>
  </w:style>
  <w:style w:type="paragraph" w:styleId="TM3">
    <w:name w:val="toc 3"/>
    <w:basedOn w:val="Normal"/>
    <w:next w:val="Normal"/>
    <w:autoRedefine/>
    <w:uiPriority w:val="39"/>
    <w:semiHidden/>
    <w:qFormat/>
    <w:rsid w:val="00F83EC5"/>
    <w:pPr>
      <w:ind w:left="480"/>
    </w:pPr>
    <w:rPr>
      <w:rFonts w:ascii="Calibri" w:hAnsi="Calibri" w:cs="Times New Roman"/>
      <w:sz w:val="20"/>
    </w:rPr>
  </w:style>
  <w:style w:type="paragraph" w:styleId="Lgende">
    <w:name w:val="caption"/>
    <w:aliases w:val="Titre1+Rouge"/>
    <w:basedOn w:val="Normal"/>
    <w:next w:val="Normal"/>
    <w:qFormat/>
    <w:rsid w:val="00F83EC5"/>
    <w:rPr>
      <w:rFonts w:cs="Times New Roman"/>
    </w:rPr>
  </w:style>
  <w:style w:type="paragraph" w:styleId="Sansinterligne">
    <w:name w:val="No Spacing"/>
    <w:link w:val="SansinterligneCar"/>
    <w:uiPriority w:val="1"/>
    <w:qFormat/>
    <w:rsid w:val="00F83EC5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EC5"/>
    <w:rPr>
      <w:rFonts w:ascii="Calibri" w:hAnsi="Calibri" w:cs="Arial"/>
      <w:sz w:val="22"/>
      <w:szCs w:val="22"/>
      <w:lang w:val="fr-FR" w:eastAsia="en-US" w:bidi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83EC5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customStyle="1" w:styleId="titre2">
    <w:name w:val="titre2"/>
    <w:basedOn w:val="Normal"/>
    <w:qFormat/>
    <w:rsid w:val="00F83EC5"/>
    <w:pPr>
      <w:tabs>
        <w:tab w:val="left" w:pos="-720"/>
      </w:tabs>
      <w:spacing w:line="300" w:lineRule="atLeast"/>
      <w:jc w:val="both"/>
    </w:pPr>
    <w:rPr>
      <w:rFonts w:ascii="Univers" w:hAnsi="Univers" w:cs="Univers"/>
      <w:b/>
      <w:bCs/>
      <w:spacing w:val="-3"/>
    </w:rPr>
  </w:style>
  <w:style w:type="paragraph" w:customStyle="1" w:styleId="titre3">
    <w:name w:val="titre3"/>
    <w:basedOn w:val="Normal"/>
    <w:qFormat/>
    <w:rsid w:val="00F83EC5"/>
    <w:pPr>
      <w:tabs>
        <w:tab w:val="left" w:pos="-720"/>
      </w:tabs>
      <w:spacing w:line="300" w:lineRule="atLeast"/>
      <w:jc w:val="both"/>
    </w:pPr>
    <w:rPr>
      <w:rFonts w:ascii="Univers" w:hAnsi="Univers" w:cs="Univers"/>
      <w:b/>
      <w:bCs/>
      <w:spacing w:val="-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5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5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6C0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5D6C0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5D6C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E9062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607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60705"/>
    <w:rPr>
      <w:rFonts w:ascii="Courier New" w:hAnsi="Courier New" w:cs="Courier New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4607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0705"/>
    <w:rPr>
      <w:rFonts w:ascii="Courier New" w:hAnsi="Courier New" w:cs="Courier New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E265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265E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265E4"/>
    <w:rPr>
      <w:rFonts w:ascii="Courier New" w:hAnsi="Courier New" w:cs="Courier New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265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265E4"/>
    <w:rPr>
      <w:rFonts w:ascii="Courier New" w:hAnsi="Courier New" w:cs="Courier New"/>
      <w:b/>
      <w:bCs/>
    </w:rPr>
  </w:style>
  <w:style w:type="paragraph" w:styleId="Rvision">
    <w:name w:val="Revision"/>
    <w:hidden/>
    <w:uiPriority w:val="99"/>
    <w:semiHidden/>
    <w:rsid w:val="00ED4C66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www.hcp.m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drissi\Desktop\Enquete%20de%20conjoncture%20menages_BUREAU\2023\resultatseECM(trim1-08-trim2-2023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drissi\Desktop\Enquete%20de%20conjoncture%20menages_BUREAU\2023\resultatseECM(trim1-08-trim2-2023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drissi\Desktop\Enquete%20de%20conjoncture%20menages_BUREAU\2023\resultatseECM(trim1-08-trim2-2023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drissi\Desktop\Enquete%20de%20conjoncture%20menages_BUREAU\2023\resultatseECM(trim1-08-trim2-2023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drissi\Desktop\Enquete%20de%20conjoncture%20menages_BUREAU\2023\resultatseECM(trim1-08-trim2-2023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drissi\Desktop\Enquete%20de%20conjoncture%20menages_BUREAU\2023\resultatseECM(trim1-08-trim2-202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/>
      <c:barChart>
        <c:barDir val="col"/>
        <c:grouping val="clustered"/>
        <c:ser>
          <c:idx val="0"/>
          <c:order val="0"/>
          <c:dPt>
            <c:idx val="50"/>
            <c:spPr>
              <a:solidFill>
                <a:schemeClr val="tx2">
                  <a:lumMod val="60000"/>
                  <a:lumOff val="40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0663-406C-9E91-287D8385D23E}"/>
              </c:ext>
            </c:extLst>
          </c:dPt>
          <c:dPt>
            <c:idx val="51"/>
            <c:spPr>
              <a:solidFill>
                <a:schemeClr val="accent1">
                  <a:lumMod val="50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663-406C-9E91-287D8385D23E}"/>
              </c:ext>
            </c:extLst>
          </c:dPt>
          <c:dPt>
            <c:idx val="54"/>
            <c:spPr>
              <a:solidFill>
                <a:schemeClr val="accent1">
                  <a:lumMod val="50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663-406C-9E91-287D8385D23E}"/>
              </c:ext>
            </c:extLst>
          </c:dPt>
          <c:dPt>
            <c:idx val="55"/>
            <c:spPr>
              <a:solidFill>
                <a:schemeClr val="accent1">
                  <a:lumMod val="50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663-406C-9E91-287D8385D23E}"/>
              </c:ext>
            </c:extLst>
          </c:dPt>
          <c:dLbls>
            <c:dLbl>
              <c:idx val="51"/>
              <c:layout>
                <c:manualLayout>
                  <c:x val="2.1263023601956212E-3"/>
                  <c:y val="-1.1090573012939045E-2"/>
                </c:manualLayout>
              </c:layout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663-406C-9E91-287D8385D23E}"/>
                </c:ext>
              </c:extLst>
            </c:dLbl>
            <c:dLbl>
              <c:idx val="54"/>
              <c:layout>
                <c:manualLayout>
                  <c:x val="0"/>
                  <c:y val="1.2765957446808543E-2"/>
                </c:manualLayout>
              </c:layout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663-406C-9E91-287D8385D23E}"/>
                </c:ext>
              </c:extLst>
            </c:dLbl>
            <c:dLbl>
              <c:idx val="55"/>
              <c:layout>
                <c:manualLayout>
                  <c:x val="0"/>
                  <c:y val="-1.2765957446808543E-2"/>
                </c:manualLayout>
              </c:layout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663-406C-9E91-287D8385D23E}"/>
                </c:ext>
              </c:extLst>
            </c:dLbl>
            <c:delet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'tableau note fr'!$I$3:$BL$3</c:f>
              <c:strCache>
                <c:ptCount val="56"/>
                <c:pt idx="0">
                  <c:v>T4/09</c:v>
                </c:pt>
                <c:pt idx="1">
                  <c:v>T1/10</c:v>
                </c:pt>
                <c:pt idx="2">
                  <c:v>T2/10</c:v>
                </c:pt>
                <c:pt idx="3">
                  <c:v>T3/10</c:v>
                </c:pt>
                <c:pt idx="4">
                  <c:v>T4/10</c:v>
                </c:pt>
                <c:pt idx="5">
                  <c:v>T1/11</c:v>
                </c:pt>
                <c:pt idx="6">
                  <c:v>T2/11</c:v>
                </c:pt>
                <c:pt idx="7">
                  <c:v>T3/11</c:v>
                </c:pt>
                <c:pt idx="8">
                  <c:v>T4/11</c:v>
                </c:pt>
                <c:pt idx="9">
                  <c:v>T1/12</c:v>
                </c:pt>
                <c:pt idx="10">
                  <c:v>T2/12</c:v>
                </c:pt>
                <c:pt idx="11">
                  <c:v>T3/12</c:v>
                </c:pt>
                <c:pt idx="12">
                  <c:v>T4/12</c:v>
                </c:pt>
                <c:pt idx="13">
                  <c:v>T1/13</c:v>
                </c:pt>
                <c:pt idx="14">
                  <c:v>T2/13</c:v>
                </c:pt>
                <c:pt idx="15">
                  <c:v>T3/13</c:v>
                </c:pt>
                <c:pt idx="16">
                  <c:v>T4/13</c:v>
                </c:pt>
                <c:pt idx="17">
                  <c:v>T1/14</c:v>
                </c:pt>
                <c:pt idx="18">
                  <c:v>T2/14</c:v>
                </c:pt>
                <c:pt idx="19">
                  <c:v>T3/14</c:v>
                </c:pt>
                <c:pt idx="20">
                  <c:v>T4/14</c:v>
                </c:pt>
                <c:pt idx="21">
                  <c:v>T1/15</c:v>
                </c:pt>
                <c:pt idx="22">
                  <c:v>T2/15</c:v>
                </c:pt>
                <c:pt idx="23">
                  <c:v>T3/15</c:v>
                </c:pt>
                <c:pt idx="24">
                  <c:v>T4/15</c:v>
                </c:pt>
                <c:pt idx="25">
                  <c:v>T1/16</c:v>
                </c:pt>
                <c:pt idx="26">
                  <c:v>T2/16</c:v>
                </c:pt>
                <c:pt idx="27">
                  <c:v>T3/16</c:v>
                </c:pt>
                <c:pt idx="28">
                  <c:v>T4/16</c:v>
                </c:pt>
                <c:pt idx="29">
                  <c:v>T1/17</c:v>
                </c:pt>
                <c:pt idx="30">
                  <c:v>T2/17</c:v>
                </c:pt>
                <c:pt idx="31">
                  <c:v>T3/17</c:v>
                </c:pt>
                <c:pt idx="32">
                  <c:v>T4/17</c:v>
                </c:pt>
                <c:pt idx="33">
                  <c:v>T1/18</c:v>
                </c:pt>
                <c:pt idx="34">
                  <c:v>T2/18</c:v>
                </c:pt>
                <c:pt idx="35">
                  <c:v>T3/18</c:v>
                </c:pt>
                <c:pt idx="36">
                  <c:v>T4/18</c:v>
                </c:pt>
                <c:pt idx="37">
                  <c:v>T1/19</c:v>
                </c:pt>
                <c:pt idx="38">
                  <c:v>T2/19</c:v>
                </c:pt>
                <c:pt idx="39">
                  <c:v>T3/19</c:v>
                </c:pt>
                <c:pt idx="40">
                  <c:v>T4/19</c:v>
                </c:pt>
                <c:pt idx="41">
                  <c:v>T1/20</c:v>
                </c:pt>
                <c:pt idx="42">
                  <c:v>T2/20</c:v>
                </c:pt>
                <c:pt idx="43">
                  <c:v>T3/20</c:v>
                </c:pt>
                <c:pt idx="44">
                  <c:v>T4/20</c:v>
                </c:pt>
                <c:pt idx="45">
                  <c:v>T1/21</c:v>
                </c:pt>
                <c:pt idx="46">
                  <c:v>T2/21</c:v>
                </c:pt>
                <c:pt idx="47">
                  <c:v>T3/21</c:v>
                </c:pt>
                <c:pt idx="48">
                  <c:v>T4/21</c:v>
                </c:pt>
                <c:pt idx="49">
                  <c:v>T1/22</c:v>
                </c:pt>
                <c:pt idx="50">
                  <c:v>T2/22</c:v>
                </c:pt>
                <c:pt idx="51">
                  <c:v>T3/22</c:v>
                </c:pt>
                <c:pt idx="52">
                  <c:v>T4/22</c:v>
                </c:pt>
                <c:pt idx="53">
                  <c:v>T1/23</c:v>
                </c:pt>
                <c:pt idx="54">
                  <c:v>T2/23</c:v>
                </c:pt>
                <c:pt idx="55">
                  <c:v>T3/23</c:v>
                </c:pt>
              </c:strCache>
            </c:strRef>
          </c:cat>
          <c:val>
            <c:numRef>
              <c:f>'tableau note fr'!$I$4:$BL$4</c:f>
              <c:numCache>
                <c:formatCode>0.0</c:formatCode>
                <c:ptCount val="56"/>
                <c:pt idx="0">
                  <c:v>79.463913413558046</c:v>
                </c:pt>
                <c:pt idx="1">
                  <c:v>80.13608609361907</c:v>
                </c:pt>
                <c:pt idx="2">
                  <c:v>78.833388330574081</c:v>
                </c:pt>
                <c:pt idx="3">
                  <c:v>78.629956901853419</c:v>
                </c:pt>
                <c:pt idx="4">
                  <c:v>74.744893710814793</c:v>
                </c:pt>
                <c:pt idx="5">
                  <c:v>78.406406130604694</c:v>
                </c:pt>
                <c:pt idx="6">
                  <c:v>85.789532632532485</c:v>
                </c:pt>
                <c:pt idx="7">
                  <c:v>86.506225251482533</c:v>
                </c:pt>
                <c:pt idx="8">
                  <c:v>84.477214694877219</c:v>
                </c:pt>
                <c:pt idx="9">
                  <c:v>82.880478542821379</c:v>
                </c:pt>
                <c:pt idx="10">
                  <c:v>80.673652783725359</c:v>
                </c:pt>
                <c:pt idx="11">
                  <c:v>77.553867036569244</c:v>
                </c:pt>
                <c:pt idx="12">
                  <c:v>78.403353681349699</c:v>
                </c:pt>
                <c:pt idx="13">
                  <c:v>75.830193123476278</c:v>
                </c:pt>
                <c:pt idx="14">
                  <c:v>74.26831493920966</c:v>
                </c:pt>
                <c:pt idx="15">
                  <c:v>75.40113716912164</c:v>
                </c:pt>
                <c:pt idx="16">
                  <c:v>74.15325435026638</c:v>
                </c:pt>
                <c:pt idx="17">
                  <c:v>74.110620959006027</c:v>
                </c:pt>
                <c:pt idx="18">
                  <c:v>74.014553099961716</c:v>
                </c:pt>
                <c:pt idx="19">
                  <c:v>73.148145370690258</c:v>
                </c:pt>
                <c:pt idx="20">
                  <c:v>71.583460003653641</c:v>
                </c:pt>
                <c:pt idx="21">
                  <c:v>73.659282965035374</c:v>
                </c:pt>
                <c:pt idx="22">
                  <c:v>76.125099572807798</c:v>
                </c:pt>
                <c:pt idx="23">
                  <c:v>76.315005733685865</c:v>
                </c:pt>
                <c:pt idx="24">
                  <c:v>77.131028825386352</c:v>
                </c:pt>
                <c:pt idx="25">
                  <c:v>71.648499016392478</c:v>
                </c:pt>
                <c:pt idx="26">
                  <c:v>75.703427371681059</c:v>
                </c:pt>
                <c:pt idx="27">
                  <c:v>73.804891243097046</c:v>
                </c:pt>
                <c:pt idx="28">
                  <c:v>73.539376287214708</c:v>
                </c:pt>
                <c:pt idx="29">
                  <c:v>78.230698468980961</c:v>
                </c:pt>
                <c:pt idx="30">
                  <c:v>85.8</c:v>
                </c:pt>
                <c:pt idx="31">
                  <c:v>85.5</c:v>
                </c:pt>
                <c:pt idx="32">
                  <c:v>85.9</c:v>
                </c:pt>
                <c:pt idx="33">
                  <c:v>87.317111388814197</c:v>
                </c:pt>
                <c:pt idx="34">
                  <c:v>87.279337774029145</c:v>
                </c:pt>
                <c:pt idx="35">
                  <c:v>82.473279380066572</c:v>
                </c:pt>
                <c:pt idx="36">
                  <c:v>79.8</c:v>
                </c:pt>
                <c:pt idx="37">
                  <c:v>79.104981863169684</c:v>
                </c:pt>
                <c:pt idx="38">
                  <c:v>74.905107002702309</c:v>
                </c:pt>
                <c:pt idx="39">
                  <c:v>74.821311833193803</c:v>
                </c:pt>
                <c:pt idx="40">
                  <c:v>77.783342120372509</c:v>
                </c:pt>
                <c:pt idx="41">
                  <c:v>75.733160637772542</c:v>
                </c:pt>
                <c:pt idx="42">
                  <c:v>65.597735117391295</c:v>
                </c:pt>
                <c:pt idx="43" formatCode="#,##0.0">
                  <c:v>60.6</c:v>
                </c:pt>
                <c:pt idx="44">
                  <c:v>61.15460503678139</c:v>
                </c:pt>
                <c:pt idx="45">
                  <c:v>68.3</c:v>
                </c:pt>
                <c:pt idx="46">
                  <c:v>62.975895024721467</c:v>
                </c:pt>
                <c:pt idx="47">
                  <c:v>65.469321461685027</c:v>
                </c:pt>
                <c:pt idx="48">
                  <c:v>61.244838328447536</c:v>
                </c:pt>
                <c:pt idx="49">
                  <c:v>53.745567465683727</c:v>
                </c:pt>
                <c:pt idx="50">
                  <c:v>50.111231811293337</c:v>
                </c:pt>
                <c:pt idx="51">
                  <c:v>47.411849848039999</c:v>
                </c:pt>
                <c:pt idx="52">
                  <c:v>46.606895890263495</c:v>
                </c:pt>
                <c:pt idx="53">
                  <c:v>46.297927716965162</c:v>
                </c:pt>
                <c:pt idx="54">
                  <c:v>45.357586401620708</c:v>
                </c:pt>
                <c:pt idx="55">
                  <c:v>46.469404550193047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0663-406C-9E91-287D8385D23E}"/>
            </c:ext>
          </c:extLst>
        </c:ser>
        <c:axId val="114781184"/>
        <c:axId val="114787072"/>
      </c:barChart>
      <c:catAx>
        <c:axId val="114781184"/>
        <c:scaling>
          <c:orientation val="minMax"/>
        </c:scaling>
        <c:axPos val="b"/>
        <c:numFmt formatCode="General" sourceLinked="0"/>
        <c:majorTickMark val="none"/>
        <c:tickLblPos val="nextTo"/>
        <c:crossAx val="114787072"/>
        <c:crosses val="autoZero"/>
        <c:auto val="1"/>
        <c:lblAlgn val="ctr"/>
        <c:lblOffset val="100"/>
      </c:catAx>
      <c:valAx>
        <c:axId val="114787072"/>
        <c:scaling>
          <c:orientation val="minMax"/>
          <c:max val="90"/>
        </c:scaling>
        <c:axPos val="l"/>
        <c:numFmt formatCode="0.0" sourceLinked="1"/>
        <c:majorTickMark val="none"/>
        <c:tickLblPos val="nextTo"/>
        <c:crossAx val="114781184"/>
        <c:crosses val="autoZero"/>
        <c:crossBetween val="between"/>
      </c:valAx>
    </c:plotArea>
    <c:plotVisOnly val="1"/>
    <c:dispBlanksAs val="gap"/>
  </c:chart>
  <c:txPr>
    <a:bodyPr/>
    <a:lstStyle/>
    <a:p>
      <a:pPr>
        <a:defRPr sz="500">
          <a:latin typeface="Times New Roman" pitchFamily="18" charset="0"/>
          <a:cs typeface="Times New Roman" pitchFamily="18" charset="0"/>
        </a:defRPr>
      </a:pPr>
      <a:endParaRPr lang="fr-FR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>
        <c:manualLayout>
          <c:layoutTarget val="inner"/>
          <c:xMode val="edge"/>
          <c:yMode val="edge"/>
          <c:x val="5.2859876674463076E-2"/>
          <c:y val="9.5780730897009961E-2"/>
          <c:w val="0.91311928556240696"/>
          <c:h val="0.71078426243231263"/>
        </c:manualLayout>
      </c:layout>
      <c:lineChart>
        <c:grouping val="standard"/>
        <c:ser>
          <c:idx val="0"/>
          <c:order val="0"/>
          <c:tx>
            <c:strRef>
              <c:f>'tableau note fr'!$A$6</c:f>
              <c:strCache>
                <c:ptCount val="1"/>
                <c:pt idx="0">
                  <c:v>Evolution  passée du niveau de vie</c:v>
                </c:pt>
              </c:strCache>
            </c:strRef>
          </c:tx>
          <c:marker>
            <c:symbol val="circle"/>
            <c:size val="4"/>
          </c:marker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fr'!$B$6:$BL$6</c:f>
              <c:numCache>
                <c:formatCode>#,##0.0</c:formatCode>
                <c:ptCount val="63"/>
                <c:pt idx="0">
                  <c:v>-10.399945582052929</c:v>
                </c:pt>
                <c:pt idx="1">
                  <c:v>-25.15337945599229</c:v>
                </c:pt>
                <c:pt idx="2">
                  <c:v>-31.141291421499744</c:v>
                </c:pt>
                <c:pt idx="3">
                  <c:v>-29.393844818665286</c:v>
                </c:pt>
                <c:pt idx="4">
                  <c:v>-36.652789359955584</c:v>
                </c:pt>
                <c:pt idx="5">
                  <c:v>-29.108394514506987</c:v>
                </c:pt>
                <c:pt idx="6">
                  <c:v>-25.702364309825629</c:v>
                </c:pt>
                <c:pt idx="7">
                  <c:v>-26.546435956901789</c:v>
                </c:pt>
                <c:pt idx="8">
                  <c:v>-25.723634629572988</c:v>
                </c:pt>
                <c:pt idx="9">
                  <c:v>-28.56499551903989</c:v>
                </c:pt>
                <c:pt idx="10">
                  <c:v>-27.930454212484364</c:v>
                </c:pt>
                <c:pt idx="11">
                  <c:v>-37.236760344983431</c:v>
                </c:pt>
                <c:pt idx="12">
                  <c:v>-26.050959167650099</c:v>
                </c:pt>
                <c:pt idx="13">
                  <c:v>-16.961438303130869</c:v>
                </c:pt>
                <c:pt idx="14">
                  <c:v>-13.439142519852023</c:v>
                </c:pt>
                <c:pt idx="15">
                  <c:v>-20.224270151200944</c:v>
                </c:pt>
                <c:pt idx="16">
                  <c:v>-26.170201326733839</c:v>
                </c:pt>
                <c:pt idx="17">
                  <c:v>-21.816848529134631</c:v>
                </c:pt>
                <c:pt idx="18">
                  <c:v>-27.85707555673623</c:v>
                </c:pt>
                <c:pt idx="19">
                  <c:v>-28.088708351168659</c:v>
                </c:pt>
                <c:pt idx="20">
                  <c:v>-29.212341127418195</c:v>
                </c:pt>
                <c:pt idx="21">
                  <c:v>-23.102864483982085</c:v>
                </c:pt>
                <c:pt idx="22">
                  <c:v>-21.158266803557588</c:v>
                </c:pt>
                <c:pt idx="23">
                  <c:v>-19.887264929132375</c:v>
                </c:pt>
                <c:pt idx="24">
                  <c:v>-18.060219769201886</c:v>
                </c:pt>
                <c:pt idx="25">
                  <c:v>-17.740461010850293</c:v>
                </c:pt>
                <c:pt idx="26">
                  <c:v>-17.387590506775613</c:v>
                </c:pt>
                <c:pt idx="27">
                  <c:v>-16.459915505713987</c:v>
                </c:pt>
                <c:pt idx="28">
                  <c:v>-14.108179132101393</c:v>
                </c:pt>
                <c:pt idx="29">
                  <c:v>-12.785821926678448</c:v>
                </c:pt>
                <c:pt idx="30">
                  <c:v>-15.129825087046068</c:v>
                </c:pt>
                <c:pt idx="31">
                  <c:v>-13.828410383657548</c:v>
                </c:pt>
                <c:pt idx="32">
                  <c:v>-22.864633579953768</c:v>
                </c:pt>
                <c:pt idx="33">
                  <c:v>-15.196177330129153</c:v>
                </c:pt>
                <c:pt idx="34">
                  <c:v>-17.372021059071617</c:v>
                </c:pt>
                <c:pt idx="35">
                  <c:v>-17.464225574589303</c:v>
                </c:pt>
                <c:pt idx="36">
                  <c:v>-11.990228520502566</c:v>
                </c:pt>
                <c:pt idx="37">
                  <c:v>-8.1644944099805006</c:v>
                </c:pt>
                <c:pt idx="38">
                  <c:v>-3.1370023233621227</c:v>
                </c:pt>
                <c:pt idx="39">
                  <c:v>-3.7719246964283601</c:v>
                </c:pt>
                <c:pt idx="40">
                  <c:v>-6.24696090915109</c:v>
                </c:pt>
                <c:pt idx="41" formatCode="0.0">
                  <c:v>-5.3830093381329069</c:v>
                </c:pt>
                <c:pt idx="42" formatCode="0.0">
                  <c:v>-9.5049571220917919</c:v>
                </c:pt>
                <c:pt idx="43" formatCode="0.0">
                  <c:v>-13.3</c:v>
                </c:pt>
                <c:pt idx="44" formatCode="0.0">
                  <c:v>-14.967427927122976</c:v>
                </c:pt>
                <c:pt idx="45" formatCode="0.0">
                  <c:v>-25.353008106891508</c:v>
                </c:pt>
                <c:pt idx="46" formatCode="0.0">
                  <c:v>-20.237097183526259</c:v>
                </c:pt>
                <c:pt idx="47" formatCode="0.0">
                  <c:v>-19.996896512157313</c:v>
                </c:pt>
                <c:pt idx="48" formatCode="0.0">
                  <c:v>-19.767991560587593</c:v>
                </c:pt>
                <c:pt idx="49" formatCode="0.0">
                  <c:v>-24.751522052511689</c:v>
                </c:pt>
                <c:pt idx="50">
                  <c:v>-35.633876933169311</c:v>
                </c:pt>
                <c:pt idx="51" formatCode="0.0">
                  <c:v>-46.607458922581912</c:v>
                </c:pt>
                <c:pt idx="52" formatCode="0.0">
                  <c:v>-50.5</c:v>
                </c:pt>
                <c:pt idx="53" formatCode="0.0">
                  <c:v>-50.789884569181041</c:v>
                </c:pt>
                <c:pt idx="54" formatCode="0.0">
                  <c:v>-41.509403430971062</c:v>
                </c:pt>
                <c:pt idx="55" formatCode="0.0">
                  <c:v>-55.207171712499431</c:v>
                </c:pt>
                <c:pt idx="56" formatCode="0.0">
                  <c:v>-66.848800336369465</c:v>
                </c:pt>
                <c:pt idx="57" formatCode="0.0">
                  <c:v>-72.973367191898419</c:v>
                </c:pt>
                <c:pt idx="58" formatCode="0.0">
                  <c:v>-74.584296237560608</c:v>
                </c:pt>
                <c:pt idx="59" formatCode="0.0">
                  <c:v>-77.955196192924404</c:v>
                </c:pt>
                <c:pt idx="60" formatCode="0.0">
                  <c:v>-81.53758164563699</c:v>
                </c:pt>
                <c:pt idx="61" formatCode="0.0">
                  <c:v>-84.602763632049985</c:v>
                </c:pt>
                <c:pt idx="62" formatCode="0.0">
                  <c:v>-81.540450582650379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107-4582-B942-BA4BA7923213}"/>
            </c:ext>
          </c:extLst>
        </c:ser>
        <c:ser>
          <c:idx val="1"/>
          <c:order val="1"/>
          <c:tx>
            <c:strRef>
              <c:f>'tableau note fr'!$A$7</c:f>
              <c:strCache>
                <c:ptCount val="1"/>
                <c:pt idx="0">
                  <c:v>Perspective d'évolution du niveau de vie</c:v>
                </c:pt>
              </c:strCache>
            </c:strRef>
          </c:tx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fr'!$B$7:$BL$7</c:f>
              <c:numCache>
                <c:formatCode>#,##0.0</c:formatCode>
                <c:ptCount val="63"/>
                <c:pt idx="0">
                  <c:v>14.440493946063453</c:v>
                </c:pt>
                <c:pt idx="1">
                  <c:v>-11.52673084245559</c:v>
                </c:pt>
                <c:pt idx="2">
                  <c:v>-21.380291437825413</c:v>
                </c:pt>
                <c:pt idx="3">
                  <c:v>-3.4692228168248267</c:v>
                </c:pt>
                <c:pt idx="4">
                  <c:v>-9.3118753956095954</c:v>
                </c:pt>
                <c:pt idx="5">
                  <c:v>-3.5223109272796771</c:v>
                </c:pt>
                <c:pt idx="6">
                  <c:v>8.4334302751112991E-2</c:v>
                </c:pt>
                <c:pt idx="7">
                  <c:v>2.1853913991610052</c:v>
                </c:pt>
                <c:pt idx="8">
                  <c:v>0.39154986438085693</c:v>
                </c:pt>
                <c:pt idx="9">
                  <c:v>2.7314646872285109</c:v>
                </c:pt>
                <c:pt idx="10">
                  <c:v>0.19418325799955102</c:v>
                </c:pt>
                <c:pt idx="11">
                  <c:v>-11.371112777150765</c:v>
                </c:pt>
                <c:pt idx="12">
                  <c:v>-1.8875512037963609</c:v>
                </c:pt>
                <c:pt idx="13">
                  <c:v>18.132139936578785</c:v>
                </c:pt>
                <c:pt idx="14">
                  <c:v>11.870106120928302</c:v>
                </c:pt>
                <c:pt idx="15">
                  <c:v>13.146309479543481</c:v>
                </c:pt>
                <c:pt idx="16">
                  <c:v>11.211772002164619</c:v>
                </c:pt>
                <c:pt idx="17">
                  <c:v>8.9776180181468028</c:v>
                </c:pt>
                <c:pt idx="18">
                  <c:v>-3.2327838268829292</c:v>
                </c:pt>
                <c:pt idx="19">
                  <c:v>-1.2159862376115478</c:v>
                </c:pt>
                <c:pt idx="20">
                  <c:v>-5.0957647237932591</c:v>
                </c:pt>
                <c:pt idx="21">
                  <c:v>-4.2068608448306479</c:v>
                </c:pt>
                <c:pt idx="22">
                  <c:v>-3.0973555754801207</c:v>
                </c:pt>
                <c:pt idx="23">
                  <c:v>-7.9340099346010531</c:v>
                </c:pt>
                <c:pt idx="24">
                  <c:v>-11.389732068783619</c:v>
                </c:pt>
                <c:pt idx="25">
                  <c:v>-13.063768224593518</c:v>
                </c:pt>
                <c:pt idx="26">
                  <c:v>-13.090700094553394</c:v>
                </c:pt>
                <c:pt idx="27">
                  <c:v>-12.672429336417764</c:v>
                </c:pt>
                <c:pt idx="28">
                  <c:v>-8.8537661336825266</c:v>
                </c:pt>
                <c:pt idx="29">
                  <c:v>-7.2727206831161846</c:v>
                </c:pt>
                <c:pt idx="30">
                  <c:v>-7.7131091840762114</c:v>
                </c:pt>
                <c:pt idx="31">
                  <c:v>-8.0828133778612727</c:v>
                </c:pt>
                <c:pt idx="32">
                  <c:v>-14.22824639578895</c:v>
                </c:pt>
                <c:pt idx="33">
                  <c:v>-7.5906192549525784</c:v>
                </c:pt>
                <c:pt idx="34">
                  <c:v>-7.0591296227720894</c:v>
                </c:pt>
                <c:pt idx="35">
                  <c:v>-2.3745123557304657</c:v>
                </c:pt>
                <c:pt idx="36">
                  <c:v>5.7386765593441833</c:v>
                </c:pt>
                <c:pt idx="37">
                  <c:v>11.056984366480355</c:v>
                </c:pt>
                <c:pt idx="38">
                  <c:v>10.513852464527606</c:v>
                </c:pt>
                <c:pt idx="39">
                  <c:v>11.534776778164916</c:v>
                </c:pt>
                <c:pt idx="40">
                  <c:v>16.612852585837704</c:v>
                </c:pt>
                <c:pt idx="41" formatCode="0.0">
                  <c:v>14.986375562038818</c:v>
                </c:pt>
                <c:pt idx="42" formatCode="0.0">
                  <c:v>11.908882798368182</c:v>
                </c:pt>
                <c:pt idx="43" formatCode="0.0">
                  <c:v>9</c:v>
                </c:pt>
                <c:pt idx="44" formatCode="0.0">
                  <c:v>9.9894562713734381</c:v>
                </c:pt>
                <c:pt idx="45" formatCode="0.0">
                  <c:v>4.7256177899689273</c:v>
                </c:pt>
                <c:pt idx="46" formatCode="0.0">
                  <c:v>-3.6764057837750337</c:v>
                </c:pt>
                <c:pt idx="47" formatCode="0.0">
                  <c:v>-2.1591381326741157</c:v>
                </c:pt>
                <c:pt idx="48" formatCode="0.0">
                  <c:v>-4.6486149345966226</c:v>
                </c:pt>
                <c:pt idx="49" formatCode="0.0">
                  <c:v>-11.439989639150372</c:v>
                </c:pt>
                <c:pt idx="50">
                  <c:v>-17.395183495255491</c:v>
                </c:pt>
                <c:pt idx="51" formatCode="0.0">
                  <c:v>-17.398438698388123</c:v>
                </c:pt>
                <c:pt idx="52" formatCode="0.0">
                  <c:v>13.2</c:v>
                </c:pt>
                <c:pt idx="53" formatCode="0.0">
                  <c:v>0.23038768840290041</c:v>
                </c:pt>
                <c:pt idx="54" formatCode="0.0">
                  <c:v>9.3481827020713499</c:v>
                </c:pt>
                <c:pt idx="55" formatCode="0.0">
                  <c:v>-1.3718594161528617</c:v>
                </c:pt>
                <c:pt idx="56" formatCode="0.0">
                  <c:v>-21.440746708881584</c:v>
                </c:pt>
                <c:pt idx="57" formatCode="0.0">
                  <c:v>-34.307671667317265</c:v>
                </c:pt>
                <c:pt idx="58" formatCode="0.0">
                  <c:v>-41.560642466335395</c:v>
                </c:pt>
                <c:pt idx="59" formatCode="0.0">
                  <c:v>-43.041302609193096</c:v>
                </c:pt>
                <c:pt idx="60" formatCode="0.0">
                  <c:v>-38.777551768230154</c:v>
                </c:pt>
                <c:pt idx="61" formatCode="0.0">
                  <c:v>-43.671200534104102</c:v>
                </c:pt>
                <c:pt idx="62" formatCode="0.0">
                  <c:v>-41.711189325198177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107-4582-B942-BA4BA7923213}"/>
            </c:ext>
          </c:extLst>
        </c:ser>
        <c:marker val="1"/>
        <c:axId val="114836608"/>
        <c:axId val="114838144"/>
      </c:lineChart>
      <c:catAx>
        <c:axId val="114836608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sz="600"/>
            </a:pPr>
            <a:endParaRPr lang="fr-FR"/>
          </a:p>
        </c:txPr>
        <c:crossAx val="114838144"/>
        <c:crosses val="autoZero"/>
        <c:auto val="1"/>
        <c:lblAlgn val="ctr"/>
        <c:lblOffset val="100"/>
      </c:catAx>
      <c:valAx>
        <c:axId val="114838144"/>
        <c:scaling>
          <c:orientation val="minMax"/>
        </c:scaling>
        <c:axPos val="l"/>
        <c:majorGridlines/>
        <c:numFmt formatCode="#,##0" sourceLinked="0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600"/>
            </a:pPr>
            <a:endParaRPr lang="fr-FR"/>
          </a:p>
        </c:txPr>
        <c:crossAx val="11483660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2906019109933226"/>
          <c:y val="0.90475972480184153"/>
          <c:w val="0.74187961780133815"/>
          <c:h val="5.2050906427394301E-2"/>
        </c:manualLayout>
      </c:layout>
    </c:legend>
    <c:plotVisOnly val="1"/>
    <c:dispBlanksAs val="gap"/>
  </c:chart>
  <c:spPr>
    <a:ln w="3175">
      <a:solidFill>
        <a:schemeClr val="tx1"/>
      </a:solidFill>
    </a:ln>
  </c:spPr>
  <c:txPr>
    <a:bodyPr/>
    <a:lstStyle/>
    <a:p>
      <a:pPr>
        <a:defRPr sz="800">
          <a:latin typeface="Times New Roman" pitchFamily="18" charset="0"/>
          <a:cs typeface="Times New Roman" pitchFamily="18" charset="0"/>
        </a:defRPr>
      </a:pPr>
      <a:endParaRPr lang="fr-FR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>
        <c:manualLayout>
          <c:layoutTarget val="inner"/>
          <c:xMode val="edge"/>
          <c:yMode val="edge"/>
          <c:x val="5.8770507855467433E-2"/>
          <c:y val="7.6263819295315352E-2"/>
          <c:w val="0.91712518623897865"/>
          <c:h val="0.76700190885230268"/>
        </c:manualLayout>
      </c:layout>
      <c:lineChart>
        <c:grouping val="standard"/>
        <c:ser>
          <c:idx val="0"/>
          <c:order val="0"/>
          <c:tx>
            <c:strRef>
              <c:f>'tableau note fr'!$A$5</c:f>
              <c:strCache>
                <c:ptCount val="1"/>
                <c:pt idx="0">
                  <c:v>Perspective d'évolution du nombre de chômeur</c:v>
                </c:pt>
              </c:strCache>
            </c:strRef>
          </c:tx>
          <c:marker>
            <c:symbol val="none"/>
          </c:marker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fr'!$B$5:$BL$5</c:f>
              <c:numCache>
                <c:formatCode>#,##0.0</c:formatCode>
                <c:ptCount val="63"/>
                <c:pt idx="0">
                  <c:v>-52.095692279179246</c:v>
                </c:pt>
                <c:pt idx="1">
                  <c:v>-56.601297669293217</c:v>
                </c:pt>
                <c:pt idx="2">
                  <c:v>-51.593765595534528</c:v>
                </c:pt>
                <c:pt idx="3">
                  <c:v>-51.137343653505525</c:v>
                </c:pt>
                <c:pt idx="4">
                  <c:v>-50.999102607130283</c:v>
                </c:pt>
                <c:pt idx="5">
                  <c:v>-59.135165785990033</c:v>
                </c:pt>
                <c:pt idx="6">
                  <c:v>-57.930600458568435</c:v>
                </c:pt>
                <c:pt idx="7">
                  <c:v>-57.517749523976477</c:v>
                </c:pt>
                <c:pt idx="8">
                  <c:v>-59.239397454073007</c:v>
                </c:pt>
                <c:pt idx="9">
                  <c:v>-61.048152851769579</c:v>
                </c:pt>
                <c:pt idx="10">
                  <c:v>-56.106436371502731</c:v>
                </c:pt>
                <c:pt idx="11">
                  <c:v>-52.335316844022493</c:v>
                </c:pt>
                <c:pt idx="12">
                  <c:v>-52.408437207990296</c:v>
                </c:pt>
                <c:pt idx="13">
                  <c:v>-45.982278486233433</c:v>
                </c:pt>
                <c:pt idx="14">
                  <c:v>-40.986479794930496</c:v>
                </c:pt>
                <c:pt idx="15">
                  <c:v>-41.619683700101234</c:v>
                </c:pt>
                <c:pt idx="16">
                  <c:v>-44.058495214148614</c:v>
                </c:pt>
                <c:pt idx="17">
                  <c:v>-48.557155794606146</c:v>
                </c:pt>
                <c:pt idx="18">
                  <c:v>-56.657119953107134</c:v>
                </c:pt>
                <c:pt idx="19">
                  <c:v>-58.054676707354794</c:v>
                </c:pt>
                <c:pt idx="20">
                  <c:v>-61.683132655398175</c:v>
                </c:pt>
                <c:pt idx="21">
                  <c:v>-67.848891093145681</c:v>
                </c:pt>
                <c:pt idx="22">
                  <c:v>-69.816287861188869</c:v>
                </c:pt>
                <c:pt idx="23">
                  <c:v>-68.20001271186625</c:v>
                </c:pt>
                <c:pt idx="24">
                  <c:v>-69.100751044168078</c:v>
                </c:pt>
                <c:pt idx="25">
                  <c:v>-66.493969881109336</c:v>
                </c:pt>
                <c:pt idx="26">
                  <c:v>-68.825577821249794</c:v>
                </c:pt>
                <c:pt idx="27">
                  <c:v>-68.019160185663324</c:v>
                </c:pt>
                <c:pt idx="28">
                  <c:v>-65.155740215393536</c:v>
                </c:pt>
                <c:pt idx="29">
                  <c:v>-67.05648182258949</c:v>
                </c:pt>
                <c:pt idx="30">
                  <c:v>-66.189276460398091</c:v>
                </c:pt>
                <c:pt idx="31">
                  <c:v>-64.100777949741669</c:v>
                </c:pt>
                <c:pt idx="32">
                  <c:v>-67.73444283636087</c:v>
                </c:pt>
                <c:pt idx="33">
                  <c:v>-68.976178952187567</c:v>
                </c:pt>
                <c:pt idx="34">
                  <c:v>-70.599999999999994</c:v>
                </c:pt>
                <c:pt idx="35">
                  <c:v>-66.808709762830389</c:v>
                </c:pt>
                <c:pt idx="36">
                  <c:v>-64.932045987858601</c:v>
                </c:pt>
                <c:pt idx="37">
                  <c:v>-54.327058153454743</c:v>
                </c:pt>
                <c:pt idx="38">
                  <c:v>-59.886763094223099</c:v>
                </c:pt>
                <c:pt idx="39">
                  <c:v>-58.5</c:v>
                </c:pt>
                <c:pt idx="40">
                  <c:v>-54.525998602090162</c:v>
                </c:pt>
                <c:pt idx="41" formatCode="0.0">
                  <c:v>-61.706282712863526</c:v>
                </c:pt>
                <c:pt idx="42" formatCode="0.0">
                  <c:v>-65.247643368132231</c:v>
                </c:pt>
                <c:pt idx="43" formatCode="0.0">
                  <c:v>-70</c:v>
                </c:pt>
                <c:pt idx="44" formatCode="0.0">
                  <c:v>-75.565732444458718</c:v>
                </c:pt>
                <c:pt idx="45" formatCode="0.0">
                  <c:v>-76.905120512383789</c:v>
                </c:pt>
                <c:pt idx="46" formatCode="0.0">
                  <c:v>-71.81769794194058</c:v>
                </c:pt>
                <c:pt idx="47" formatCode="0.0">
                  <c:v>-71.645886731132009</c:v>
                </c:pt>
                <c:pt idx="48" formatCode="0.0">
                  <c:v>-70.7934404370435</c:v>
                </c:pt>
                <c:pt idx="49" formatCode="0.0">
                  <c:v>-75.168553605935429</c:v>
                </c:pt>
                <c:pt idx="50">
                  <c:v>-82.012609773267997</c:v>
                </c:pt>
                <c:pt idx="51" formatCode="0.0">
                  <c:v>-78.280561499164364</c:v>
                </c:pt>
                <c:pt idx="52" formatCode="0.0">
                  <c:v>-62.2</c:v>
                </c:pt>
                <c:pt idx="53" formatCode="0.0">
                  <c:v>-69.830611321827732</c:v>
                </c:pt>
                <c:pt idx="54" formatCode="0.0">
                  <c:v>-78.313406558982848</c:v>
                </c:pt>
                <c:pt idx="55" formatCode="0.0">
                  <c:v>-77.577031249355031</c:v>
                </c:pt>
                <c:pt idx="56" formatCode="0.0">
                  <c:v>-82.803590957343502</c:v>
                </c:pt>
                <c:pt idx="57" formatCode="0.0">
                  <c:v>-81.13998967210614</c:v>
                </c:pt>
                <c:pt idx="58" formatCode="0.0">
                  <c:v>-83.498658671309329</c:v>
                </c:pt>
                <c:pt idx="59" formatCode="0.0">
                  <c:v>-79.636069225786045</c:v>
                </c:pt>
                <c:pt idx="60" formatCode="0.0">
                  <c:v>-81.389540713196325</c:v>
                </c:pt>
                <c:pt idx="61" formatCode="0.0">
                  <c:v>-80.42672546201743</c:v>
                </c:pt>
                <c:pt idx="62" formatCode="0.0">
                  <c:v>-81.916897779373627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161-406F-903F-57BE0DA75539}"/>
            </c:ext>
          </c:extLst>
        </c:ser>
        <c:marker val="1"/>
        <c:axId val="114862336"/>
        <c:axId val="114868224"/>
      </c:lineChart>
      <c:catAx>
        <c:axId val="114862336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lang="en-US" sz="500"/>
            </a:pPr>
            <a:endParaRPr lang="fr-FR"/>
          </a:p>
        </c:txPr>
        <c:crossAx val="114868224"/>
        <c:crosses val="autoZero"/>
        <c:auto val="1"/>
        <c:lblAlgn val="ctr"/>
        <c:lblOffset val="100"/>
      </c:catAx>
      <c:valAx>
        <c:axId val="114868224"/>
        <c:scaling>
          <c:orientation val="minMax"/>
        </c:scaling>
        <c:axPos val="l"/>
        <c:majorGridlines/>
        <c:numFmt formatCode="#,##0" sourceLinked="0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lang="en-US" sz="600"/>
            </a:pPr>
            <a:endParaRPr lang="fr-FR"/>
          </a:p>
        </c:txPr>
        <c:crossAx val="114862336"/>
        <c:crosses val="autoZero"/>
        <c:crossBetween val="between"/>
      </c:valAx>
    </c:plotArea>
    <c:plotVisOnly val="1"/>
    <c:dispBlanksAs val="gap"/>
  </c:chart>
  <c:spPr>
    <a:ln w="3175">
      <a:solidFill>
        <a:schemeClr val="tx1"/>
      </a:solidFill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>
        <c:manualLayout>
          <c:layoutTarget val="inner"/>
          <c:xMode val="edge"/>
          <c:yMode val="edge"/>
          <c:x val="4.4033556097871122E-2"/>
          <c:y val="8.6481096551814615E-2"/>
          <c:w val="0.94772791848141724"/>
          <c:h val="0.79184970957421164"/>
        </c:manualLayout>
      </c:layout>
      <c:lineChart>
        <c:grouping val="standard"/>
        <c:ser>
          <c:idx val="0"/>
          <c:order val="0"/>
          <c:tx>
            <c:strRef>
              <c:f>'tableau note fr'!$A$8</c:f>
              <c:strCache>
                <c:ptCount val="1"/>
                <c:pt idx="0">
                  <c:v>Opportunité d'achat</c:v>
                </c:pt>
              </c:strCache>
            </c:strRef>
          </c:tx>
          <c:marker>
            <c:symbol val="none"/>
          </c:marker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fr'!$B$8:$BL$8</c:f>
              <c:numCache>
                <c:formatCode>#,##0.0</c:formatCode>
                <c:ptCount val="63"/>
                <c:pt idx="0">
                  <c:v>-30.018449770831772</c:v>
                </c:pt>
                <c:pt idx="1">
                  <c:v>-34.254528080670752</c:v>
                </c:pt>
                <c:pt idx="2">
                  <c:v>-37.471777984571169</c:v>
                </c:pt>
                <c:pt idx="3">
                  <c:v>-39.103064640682895</c:v>
                </c:pt>
                <c:pt idx="4">
                  <c:v>-41.765350509033972</c:v>
                </c:pt>
                <c:pt idx="5">
                  <c:v>-46.542730671354157</c:v>
                </c:pt>
                <c:pt idx="6">
                  <c:v>-43.408027388108131</c:v>
                </c:pt>
                <c:pt idx="7">
                  <c:v>-42.642623532569331</c:v>
                </c:pt>
                <c:pt idx="8">
                  <c:v>-34.756506471721544</c:v>
                </c:pt>
                <c:pt idx="9">
                  <c:v>-37.532519098271905</c:v>
                </c:pt>
                <c:pt idx="10">
                  <c:v>-36.012077907569903</c:v>
                </c:pt>
                <c:pt idx="11">
                  <c:v>-44.335673139521013</c:v>
                </c:pt>
                <c:pt idx="12">
                  <c:v>-39.860076277616685</c:v>
                </c:pt>
                <c:pt idx="13">
                  <c:v>-39.017818744674372</c:v>
                </c:pt>
                <c:pt idx="14">
                  <c:v>-36.350911088685244</c:v>
                </c:pt>
                <c:pt idx="15">
                  <c:v>-38.491211120248494</c:v>
                </c:pt>
                <c:pt idx="16">
                  <c:v>-32.485234146306901</c:v>
                </c:pt>
                <c:pt idx="17">
                  <c:v>-37.388587169100447</c:v>
                </c:pt>
                <c:pt idx="18">
                  <c:v>-29.521996232881474</c:v>
                </c:pt>
                <c:pt idx="19">
                  <c:v>-29.332441443088875</c:v>
                </c:pt>
                <c:pt idx="20">
                  <c:v>-28.348240299081681</c:v>
                </c:pt>
                <c:pt idx="21">
                  <c:v>-31.722199742496027</c:v>
                </c:pt>
                <c:pt idx="22">
                  <c:v>-29.53704552622213</c:v>
                </c:pt>
                <c:pt idx="23">
                  <c:v>-31.849081241594892</c:v>
                </c:pt>
                <c:pt idx="24">
                  <c:v>-31.319060011477994</c:v>
                </c:pt>
                <c:pt idx="25">
                  <c:v>-28.892463445062127</c:v>
                </c:pt>
                <c:pt idx="26">
                  <c:v>-33.067265037911191</c:v>
                </c:pt>
                <c:pt idx="27">
                  <c:v>-38.061946980941102</c:v>
                </c:pt>
                <c:pt idx="28">
                  <c:v>-36.986420638663795</c:v>
                </c:pt>
                <c:pt idx="29">
                  <c:v>-35.967938268219903</c:v>
                </c:pt>
                <c:pt idx="30">
                  <c:v>-34.247070009141204</c:v>
                </c:pt>
                <c:pt idx="31">
                  <c:v>-37.509325471422422</c:v>
                </c:pt>
                <c:pt idx="32">
                  <c:v>-40.239810197161113</c:v>
                </c:pt>
                <c:pt idx="33">
                  <c:v>-34.794169125290885</c:v>
                </c:pt>
                <c:pt idx="34">
                  <c:v>-40.511458517814845</c:v>
                </c:pt>
                <c:pt idx="35">
                  <c:v>-43.033835365277199</c:v>
                </c:pt>
                <c:pt idx="36">
                  <c:v>-39.999291784066394</c:v>
                </c:pt>
                <c:pt idx="37">
                  <c:v>-28.160977836062902</c:v>
                </c:pt>
                <c:pt idx="38">
                  <c:v>-31.475843594428071</c:v>
                </c:pt>
                <c:pt idx="39">
                  <c:v>-25.6</c:v>
                </c:pt>
                <c:pt idx="40">
                  <c:v>-27.189644342164517</c:v>
                </c:pt>
                <c:pt idx="41" formatCode="0.0">
                  <c:v>-25.753095123938731</c:v>
                </c:pt>
                <c:pt idx="42" formatCode="0.0">
                  <c:v>-30.193271317535196</c:v>
                </c:pt>
                <c:pt idx="43" formatCode="0.0">
                  <c:v>-36.800000000000004</c:v>
                </c:pt>
                <c:pt idx="44" formatCode="0.0">
                  <c:v>-36.294477943510053</c:v>
                </c:pt>
                <c:pt idx="45" formatCode="0.0">
                  <c:v>-41.423646990592751</c:v>
                </c:pt>
                <c:pt idx="46" formatCode="0.0">
                  <c:v>-37.730567473068341</c:v>
                </c:pt>
                <c:pt idx="47" formatCode="0.0">
                  <c:v>-29.21833531467249</c:v>
                </c:pt>
                <c:pt idx="48" formatCode="0.0">
                  <c:v>-32.611752500665851</c:v>
                </c:pt>
                <c:pt idx="49" formatCode="0.0">
                  <c:v>-67.951617125134092</c:v>
                </c:pt>
                <c:pt idx="50">
                  <c:v>-63.469757370471989</c:v>
                </c:pt>
                <c:pt idx="51" formatCode="0.0">
                  <c:v>-61.233843482530801</c:v>
                </c:pt>
                <c:pt idx="52" formatCode="0.0">
                  <c:v>-61.6</c:v>
                </c:pt>
                <c:pt idx="53" formatCode="0.0">
                  <c:v>-65.565215742281509</c:v>
                </c:pt>
                <c:pt idx="54" formatCode="0.0">
                  <c:v>-61.974386136345984</c:v>
                </c:pt>
                <c:pt idx="55" formatCode="0.0">
                  <c:v>-62.794548879325561</c:v>
                </c:pt>
                <c:pt idx="56" formatCode="0.0">
                  <c:v>-66.694844970978195</c:v>
                </c:pt>
                <c:pt idx="57" formatCode="0.0">
                  <c:v>-69.145089033375214</c:v>
                </c:pt>
                <c:pt idx="58" formatCode="0.0">
                  <c:v>-74.005196986116957</c:v>
                </c:pt>
                <c:pt idx="59" formatCode="0.0">
                  <c:v>-70.308042764648889</c:v>
                </c:pt>
                <c:pt idx="60" formatCode="0.0">
                  <c:v>-69.793610379094631</c:v>
                </c:pt>
                <c:pt idx="61" formatCode="0.0">
                  <c:v>-68.920694966427703</c:v>
                </c:pt>
                <c:pt idx="62" formatCode="0.0">
                  <c:v>-71.5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069-465B-BD3E-33EC2E47DB56}"/>
            </c:ext>
          </c:extLst>
        </c:ser>
        <c:marker val="1"/>
        <c:axId val="114883584"/>
        <c:axId val="114893568"/>
      </c:lineChart>
      <c:catAx>
        <c:axId val="114883584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lang="en-US" sz="500"/>
            </a:pPr>
            <a:endParaRPr lang="fr-FR"/>
          </a:p>
        </c:txPr>
        <c:crossAx val="114893568"/>
        <c:crosses val="autoZero"/>
        <c:auto val="1"/>
        <c:lblAlgn val="ctr"/>
        <c:lblOffset val="100"/>
      </c:catAx>
      <c:valAx>
        <c:axId val="114893568"/>
        <c:scaling>
          <c:orientation val="minMax"/>
        </c:scaling>
        <c:axPos val="l"/>
        <c:majorGridlines/>
        <c:numFmt formatCode="#,##0" sourceLinked="0"/>
        <c:tickLblPos val="nextTo"/>
        <c:txPr>
          <a:bodyPr/>
          <a:lstStyle/>
          <a:p>
            <a:pPr>
              <a:defRPr lang="en-US" sz="600"/>
            </a:pPr>
            <a:endParaRPr lang="fr-FR"/>
          </a:p>
        </c:txPr>
        <c:crossAx val="114883584"/>
        <c:crosses val="autoZero"/>
        <c:crossBetween val="between"/>
      </c:valAx>
    </c:plotArea>
    <c:plotVisOnly val="1"/>
    <c:dispBlanksAs val="gap"/>
  </c:chart>
  <c:spPr>
    <a:ln w="3175">
      <a:solidFill>
        <a:schemeClr val="tx1"/>
      </a:solidFill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>
        <c:manualLayout>
          <c:layoutTarget val="inner"/>
          <c:xMode val="edge"/>
          <c:yMode val="edge"/>
          <c:x val="5.6863351819674883E-2"/>
          <c:y val="4.9995802425722727E-2"/>
          <c:w val="0.91973204979759959"/>
          <c:h val="0.68346013175631126"/>
        </c:manualLayout>
      </c:layout>
      <c:lineChart>
        <c:grouping val="standard"/>
        <c:ser>
          <c:idx val="0"/>
          <c:order val="0"/>
          <c:tx>
            <c:strRef>
              <c:f>'tableau note fr'!$A$9</c:f>
              <c:strCache>
                <c:ptCount val="1"/>
                <c:pt idx="0">
                  <c:v>Situation financière actuelle des ménages</c:v>
                </c:pt>
              </c:strCache>
            </c:strRef>
          </c:tx>
          <c:marker>
            <c:symbol val="circle"/>
            <c:size val="4"/>
          </c:marker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fr'!$B$9:$BL$9</c:f>
              <c:numCache>
                <c:formatCode>#,##0.0</c:formatCode>
                <c:ptCount val="63"/>
                <c:pt idx="0">
                  <c:v>-33.000396349797541</c:v>
                </c:pt>
                <c:pt idx="1">
                  <c:v>-32.92085732825101</c:v>
                </c:pt>
                <c:pt idx="2">
                  <c:v>-34.418326375664194</c:v>
                </c:pt>
                <c:pt idx="3">
                  <c:v>-33.119220631579381</c:v>
                </c:pt>
                <c:pt idx="4">
                  <c:v>-31.284887127595891</c:v>
                </c:pt>
                <c:pt idx="5">
                  <c:v>-26.871936633729426</c:v>
                </c:pt>
                <c:pt idx="6">
                  <c:v>-28.286909450889887</c:v>
                </c:pt>
                <c:pt idx="7">
                  <c:v>-25.297554133135563</c:v>
                </c:pt>
                <c:pt idx="8">
                  <c:v>-27.535808431365773</c:v>
                </c:pt>
                <c:pt idx="9">
                  <c:v>-27.628417792744592</c:v>
                </c:pt>
                <c:pt idx="10">
                  <c:v>-29.997502753451052</c:v>
                </c:pt>
                <c:pt idx="11">
                  <c:v>-28.062624892496299</c:v>
                </c:pt>
                <c:pt idx="12">
                  <c:v>-30.645498931903717</c:v>
                </c:pt>
                <c:pt idx="13">
                  <c:v>-27.092549889444296</c:v>
                </c:pt>
                <c:pt idx="14">
                  <c:v>-24.28899054728441</c:v>
                </c:pt>
                <c:pt idx="15">
                  <c:v>-25.669712181349716</c:v>
                </c:pt>
                <c:pt idx="16">
                  <c:v>-25.435462945688826</c:v>
                </c:pt>
                <c:pt idx="17">
                  <c:v>-31.040689498948886</c:v>
                </c:pt>
                <c:pt idx="18">
                  <c:v>-30.846093343724185</c:v>
                </c:pt>
                <c:pt idx="19">
                  <c:v>-29.426966691861253</c:v>
                </c:pt>
                <c:pt idx="20">
                  <c:v>-29.764200665198015</c:v>
                </c:pt>
                <c:pt idx="21">
                  <c:v>-30.168616451396016</c:v>
                </c:pt>
                <c:pt idx="22">
                  <c:v>-29.484131282651205</c:v>
                </c:pt>
                <c:pt idx="23">
                  <c:v>-29.485585569479934</c:v>
                </c:pt>
                <c:pt idx="24">
                  <c:v>-31.290770339915028</c:v>
                </c:pt>
                <c:pt idx="25">
                  <c:v>-29.704256665370011</c:v>
                </c:pt>
                <c:pt idx="26">
                  <c:v>-28.344504427944035</c:v>
                </c:pt>
                <c:pt idx="27">
                  <c:v>-30.637429411694065</c:v>
                </c:pt>
                <c:pt idx="28">
                  <c:v>-32.404955656558201</c:v>
                </c:pt>
                <c:pt idx="29">
                  <c:v>-28</c:v>
                </c:pt>
                <c:pt idx="30">
                  <c:v>-25.071467645625653</c:v>
                </c:pt>
                <c:pt idx="31">
                  <c:v>-25.699936983325856</c:v>
                </c:pt>
                <c:pt idx="32">
                  <c:v>-27.232686212381402</c:v>
                </c:pt>
                <c:pt idx="33">
                  <c:v>-22.997618165471859</c:v>
                </c:pt>
                <c:pt idx="34">
                  <c:v>-25.8</c:v>
                </c:pt>
                <c:pt idx="35">
                  <c:v>-28.725836843764025</c:v>
                </c:pt>
                <c:pt idx="36">
                  <c:v>-27.797585066069505</c:v>
                </c:pt>
                <c:pt idx="37">
                  <c:v>-25.340990239285759</c:v>
                </c:pt>
                <c:pt idx="38">
                  <c:v>-22.581783906285729</c:v>
                </c:pt>
                <c:pt idx="39">
                  <c:v>-24.392000147868323</c:v>
                </c:pt>
                <c:pt idx="40">
                  <c:v>-25.236685531801321</c:v>
                </c:pt>
                <c:pt idx="41" formatCode="0.0">
                  <c:v>-24.077817715725971</c:v>
                </c:pt>
                <c:pt idx="42" formatCode="0.0">
                  <c:v>-29.675061855859198</c:v>
                </c:pt>
                <c:pt idx="43" formatCode="0.0">
                  <c:v>-28.4</c:v>
                </c:pt>
                <c:pt idx="44" formatCode="0.0">
                  <c:v>-28.874306637901324</c:v>
                </c:pt>
                <c:pt idx="45" formatCode="0.0">
                  <c:v>-30.794330285810986</c:v>
                </c:pt>
                <c:pt idx="46" formatCode="0.0">
                  <c:v>-29.543474949783889</c:v>
                </c:pt>
                <c:pt idx="47" formatCode="0.0">
                  <c:v>-26.38685501138583</c:v>
                </c:pt>
                <c:pt idx="48" formatCode="0.0">
                  <c:v>-27.711995909750652</c:v>
                </c:pt>
                <c:pt idx="49" formatCode="0.0">
                  <c:v>-29.95522089472162</c:v>
                </c:pt>
                <c:pt idx="50">
                  <c:v>-31.504825451700487</c:v>
                </c:pt>
                <c:pt idx="51" formatCode="0.0">
                  <c:v>-29.083585505842859</c:v>
                </c:pt>
                <c:pt idx="52" formatCode="0.0">
                  <c:v>-34.4</c:v>
                </c:pt>
                <c:pt idx="53" formatCode="0.0">
                  <c:v>-38.035486047325477</c:v>
                </c:pt>
                <c:pt idx="54" formatCode="0.0">
                  <c:v>-36.428256542769461</c:v>
                </c:pt>
                <c:pt idx="55" formatCode="0.0">
                  <c:v>-40.395301048613071</c:v>
                </c:pt>
                <c:pt idx="56" formatCode="0.0">
                  <c:v>-43.360121736390973</c:v>
                </c:pt>
                <c:pt idx="57" formatCode="0.0">
                  <c:v>-42.859520384168782</c:v>
                </c:pt>
                <c:pt idx="58" formatCode="0.0">
                  <c:v>-40.852070365263721</c:v>
                </c:pt>
                <c:pt idx="59" formatCode="0.0">
                  <c:v>-42.073262915232263</c:v>
                </c:pt>
                <c:pt idx="60" formatCode="0.0">
                  <c:v>-42.039252344626163</c:v>
                </c:pt>
                <c:pt idx="61" formatCode="0.0">
                  <c:v>-41.443683343818755</c:v>
                </c:pt>
                <c:pt idx="62" formatCode="0.0">
                  <c:v>-40.153087787854183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D1-427B-A03E-84EBF6A4AA95}"/>
            </c:ext>
          </c:extLst>
        </c:ser>
        <c:ser>
          <c:idx val="1"/>
          <c:order val="1"/>
          <c:tx>
            <c:strRef>
              <c:f>'tableau note fr'!$A$10</c:f>
              <c:strCache>
                <c:ptCount val="1"/>
                <c:pt idx="0">
                  <c:v>Evolution  passée de la situation financière des ménages</c:v>
                </c:pt>
              </c:strCache>
            </c:strRef>
          </c:tx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fr'!$B$10:$BL$10</c:f>
              <c:numCache>
                <c:formatCode>#,##0.0</c:formatCode>
                <c:ptCount val="63"/>
                <c:pt idx="0">
                  <c:v>-11.760493904860514</c:v>
                </c:pt>
                <c:pt idx="1">
                  <c:v>-11.376439540974184</c:v>
                </c:pt>
                <c:pt idx="2">
                  <c:v>-11.707546774199256</c:v>
                </c:pt>
                <c:pt idx="3">
                  <c:v>-9.5250570435126427</c:v>
                </c:pt>
                <c:pt idx="4">
                  <c:v>-18.438210074457341</c:v>
                </c:pt>
                <c:pt idx="5">
                  <c:v>-13.353492384896773</c:v>
                </c:pt>
                <c:pt idx="6">
                  <c:v>-8.3398771422969418</c:v>
                </c:pt>
                <c:pt idx="7">
                  <c:v>-11.02764060888175</c:v>
                </c:pt>
                <c:pt idx="8">
                  <c:v>-9.9712946623485852</c:v>
                </c:pt>
                <c:pt idx="9">
                  <c:v>-7.900036816111526</c:v>
                </c:pt>
                <c:pt idx="10">
                  <c:v>-7.5448517126855705</c:v>
                </c:pt>
                <c:pt idx="11">
                  <c:v>-12.80990794833837</c:v>
                </c:pt>
                <c:pt idx="12">
                  <c:v>-10.526395373972909</c:v>
                </c:pt>
                <c:pt idx="13">
                  <c:v>-8.9058745431594577</c:v>
                </c:pt>
                <c:pt idx="14">
                  <c:v>-6.3663328535796895</c:v>
                </c:pt>
                <c:pt idx="15">
                  <c:v>-9.8004349690184149</c:v>
                </c:pt>
                <c:pt idx="16">
                  <c:v>-14.12986220998387</c:v>
                </c:pt>
                <c:pt idx="17">
                  <c:v>-16.595107957258964</c:v>
                </c:pt>
                <c:pt idx="18">
                  <c:v>-16.673706990082124</c:v>
                </c:pt>
                <c:pt idx="19">
                  <c:v>-15.707035536653336</c:v>
                </c:pt>
                <c:pt idx="20">
                  <c:v>-19.633449783694058</c:v>
                </c:pt>
                <c:pt idx="21">
                  <c:v>-23.788807201688929</c:v>
                </c:pt>
                <c:pt idx="22">
                  <c:v>-21.891965579068518</c:v>
                </c:pt>
                <c:pt idx="23">
                  <c:v>-21.870867995539985</c:v>
                </c:pt>
                <c:pt idx="24">
                  <c:v>-21.277780753263979</c:v>
                </c:pt>
                <c:pt idx="25">
                  <c:v>-23.337257864101161</c:v>
                </c:pt>
                <c:pt idx="26">
                  <c:v>-25.773771694272</c:v>
                </c:pt>
                <c:pt idx="27">
                  <c:v>-29.150994705705731</c:v>
                </c:pt>
                <c:pt idx="28">
                  <c:v>-26.965288381475748</c:v>
                </c:pt>
                <c:pt idx="29">
                  <c:v>-20.216971341645095</c:v>
                </c:pt>
                <c:pt idx="30">
                  <c:v>-20.789363149769258</c:v>
                </c:pt>
                <c:pt idx="31">
                  <c:v>-18.50333400384844</c:v>
                </c:pt>
                <c:pt idx="32">
                  <c:v>-27.398022856415206</c:v>
                </c:pt>
                <c:pt idx="33">
                  <c:v>-22.820131487915329</c:v>
                </c:pt>
                <c:pt idx="34">
                  <c:v>-26.987361336961168</c:v>
                </c:pt>
                <c:pt idx="35">
                  <c:v>-33.305012733303052</c:v>
                </c:pt>
                <c:pt idx="36">
                  <c:v>-26.764408087130526</c:v>
                </c:pt>
                <c:pt idx="37">
                  <c:v>-16.626704252959726</c:v>
                </c:pt>
                <c:pt idx="38">
                  <c:v>-14.506801572644624</c:v>
                </c:pt>
                <c:pt idx="39">
                  <c:v>-16.7</c:v>
                </c:pt>
                <c:pt idx="40">
                  <c:v>-18.12020796730943</c:v>
                </c:pt>
                <c:pt idx="41" formatCode="0.0">
                  <c:v>-15.241299993196501</c:v>
                </c:pt>
                <c:pt idx="42" formatCode="0.0">
                  <c:v>-18.212765523946558</c:v>
                </c:pt>
                <c:pt idx="43" formatCode="0.0">
                  <c:v>-20.7</c:v>
                </c:pt>
                <c:pt idx="44" formatCode="0.0">
                  <c:v>-21.239570741294095</c:v>
                </c:pt>
                <c:pt idx="45" formatCode="0.0">
                  <c:v>-24.187755596841431</c:v>
                </c:pt>
                <c:pt idx="46" formatCode="0.0">
                  <c:v>-26.020639530378219</c:v>
                </c:pt>
                <c:pt idx="47" formatCode="0.0">
                  <c:v>-22.058531326387186</c:v>
                </c:pt>
                <c:pt idx="48" formatCode="0.0">
                  <c:v>-22.87812787616225</c:v>
                </c:pt>
                <c:pt idx="49" formatCode="0.0">
                  <c:v>-26.986745192981438</c:v>
                </c:pt>
                <c:pt idx="50">
                  <c:v>-33.978821699551595</c:v>
                </c:pt>
                <c:pt idx="51" formatCode="0.0">
                  <c:v>-39.901098518697083</c:v>
                </c:pt>
                <c:pt idx="52" formatCode="0.0">
                  <c:v>-47.4</c:v>
                </c:pt>
                <c:pt idx="53" formatCode="0.0">
                  <c:v>-49.983603873811994</c:v>
                </c:pt>
                <c:pt idx="54" formatCode="0.0">
                  <c:v>-47.976189869600468</c:v>
                </c:pt>
                <c:pt idx="55" formatCode="0.0">
                  <c:v>-48.996187860965861</c:v>
                </c:pt>
                <c:pt idx="56" formatCode="0.0">
                  <c:v>-50.914989365216925</c:v>
                </c:pt>
                <c:pt idx="57" formatCode="0.0">
                  <c:v>-48.695739372079444</c:v>
                </c:pt>
                <c:pt idx="58" formatCode="0.0">
                  <c:v>-47.705982595091868</c:v>
                </c:pt>
                <c:pt idx="59" formatCode="0.0">
                  <c:v>-52.997909819539814</c:v>
                </c:pt>
                <c:pt idx="60" formatCode="0.0">
                  <c:v>-57.178423227688718</c:v>
                </c:pt>
                <c:pt idx="61" formatCode="0.0">
                  <c:v>-57.331610038737644</c:v>
                </c:pt>
                <c:pt idx="62" formatCode="0.0">
                  <c:v>-53.292717144326581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D1-427B-A03E-84EBF6A4AA95}"/>
            </c:ext>
          </c:extLst>
        </c:ser>
        <c:ser>
          <c:idx val="2"/>
          <c:order val="2"/>
          <c:tx>
            <c:strRef>
              <c:f>'tableau note fr'!$A$11</c:f>
              <c:strCache>
                <c:ptCount val="1"/>
                <c:pt idx="0">
                  <c:v>Evolution  future de la situation financière des ménages</c:v>
                </c:pt>
              </c:strCache>
            </c:strRef>
          </c:tx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fr'!$B$11:$BL$11</c:f>
              <c:numCache>
                <c:formatCode>#,##0.0</c:formatCode>
                <c:ptCount val="63"/>
                <c:pt idx="0">
                  <c:v>23.9</c:v>
                </c:pt>
                <c:pt idx="1">
                  <c:v>15.58418860861071</c:v>
                </c:pt>
                <c:pt idx="2">
                  <c:v>16.580364039590329</c:v>
                </c:pt>
                <c:pt idx="3">
                  <c:v>26.705941849103169</c:v>
                </c:pt>
                <c:pt idx="4">
                  <c:v>26.76915423900191</c:v>
                </c:pt>
                <c:pt idx="5">
                  <c:v>21.986954089697061</c:v>
                </c:pt>
                <c:pt idx="6">
                  <c:v>17.532817766676516</c:v>
                </c:pt>
                <c:pt idx="7">
                  <c:v>17.09400625121032</c:v>
                </c:pt>
                <c:pt idx="8">
                  <c:v>17.787694440036187</c:v>
                </c:pt>
                <c:pt idx="9">
                  <c:v>11.776375704730489</c:v>
                </c:pt>
                <c:pt idx="10">
                  <c:v>7.8068380126684715</c:v>
                </c:pt>
                <c:pt idx="11">
                  <c:v>9.3656519222157506</c:v>
                </c:pt>
                <c:pt idx="12">
                  <c:v>10.223761077165181</c:v>
                </c:pt>
                <c:pt idx="13">
                  <c:v>20.354548457792731</c:v>
                </c:pt>
                <c:pt idx="14">
                  <c:v>15.105327443781253</c:v>
                </c:pt>
                <c:pt idx="15">
                  <c:v>13.999505506513676</c:v>
                </c:pt>
                <c:pt idx="16">
                  <c:v>11.230833640450319</c:v>
                </c:pt>
                <c:pt idx="17">
                  <c:v>11.136340416980383</c:v>
                </c:pt>
                <c:pt idx="18">
                  <c:v>7.6658451594012895</c:v>
                </c:pt>
                <c:pt idx="19">
                  <c:v>10.649290737183625</c:v>
                </c:pt>
                <c:pt idx="20">
                  <c:v>4.5484811189173895</c:v>
                </c:pt>
                <c:pt idx="21">
                  <c:v>0.71644439200690369</c:v>
                </c:pt>
                <c:pt idx="22">
                  <c:v>2.7930128120198785</c:v>
                </c:pt>
                <c:pt idx="23">
                  <c:v>-1.7003971659207211</c:v>
                </c:pt>
                <c:pt idx="24">
                  <c:v>1.2126606998519158</c:v>
                </c:pt>
                <c:pt idx="25">
                  <c:v>-2.6659512091834952</c:v>
                </c:pt>
                <c:pt idx="26">
                  <c:v>-1.4735728224612341</c:v>
                </c:pt>
                <c:pt idx="27">
                  <c:v>-3.91390384828716</c:v>
                </c:pt>
                <c:pt idx="28">
                  <c:v>8.9330913123193523E-2</c:v>
                </c:pt>
                <c:pt idx="29">
                  <c:v>4.1756310519058966</c:v>
                </c:pt>
                <c:pt idx="30">
                  <c:v>3.3451516718598637</c:v>
                </c:pt>
                <c:pt idx="31">
                  <c:v>7.6417999475620588</c:v>
                </c:pt>
                <c:pt idx="32">
                  <c:v>1.2373351928093992</c:v>
                </c:pt>
                <c:pt idx="33">
                  <c:v>2.2988859177154</c:v>
                </c:pt>
                <c:pt idx="34">
                  <c:v>4.9642092382991612</c:v>
                </c:pt>
                <c:pt idx="35">
                  <c:v>6.4877666459978194</c:v>
                </c:pt>
                <c:pt idx="36">
                  <c:v>13.359772169150252</c:v>
                </c:pt>
                <c:pt idx="37">
                  <c:v>22.123807522802235</c:v>
                </c:pt>
                <c:pt idx="38">
                  <c:v>19.596485843359812</c:v>
                </c:pt>
                <c:pt idx="39">
                  <c:v>19.180868333171652</c:v>
                </c:pt>
                <c:pt idx="40">
                  <c:v>25.926424488378206</c:v>
                </c:pt>
                <c:pt idx="41" formatCode="0.0">
                  <c:v>28.130493740025226</c:v>
                </c:pt>
                <c:pt idx="42" formatCode="0.0">
                  <c:v>18.237772049662329</c:v>
                </c:pt>
                <c:pt idx="43" formatCode="0.0">
                  <c:v>19.100000000000001</c:v>
                </c:pt>
                <c:pt idx="44" formatCode="0.0">
                  <c:v>20.686932465103727</c:v>
                </c:pt>
                <c:pt idx="45" formatCode="0.0">
                  <c:v>18.273992721467774</c:v>
                </c:pt>
                <c:pt idx="46" formatCode="0.0">
                  <c:v>12.775065694831193</c:v>
                </c:pt>
                <c:pt idx="47" formatCode="0.0">
                  <c:v>15.949037871016632</c:v>
                </c:pt>
                <c:pt idx="48" formatCode="0.0">
                  <c:v>8.5440476832129519</c:v>
                </c:pt>
                <c:pt idx="49" formatCode="0.0">
                  <c:v>-4.5622056678242258</c:v>
                </c:pt>
                <c:pt idx="50" formatCode="0.0">
                  <c:v>-11.891224568065192</c:v>
                </c:pt>
                <c:pt idx="51" formatCode="0.0">
                  <c:v>0.5872218846748406</c:v>
                </c:pt>
                <c:pt idx="52" formatCode="0.0">
                  <c:v>21.2</c:v>
                </c:pt>
                <c:pt idx="53" formatCode="0.0">
                  <c:v>14.805679039075409</c:v>
                </c:pt>
                <c:pt idx="54" formatCode="0.0">
                  <c:v>15.138710068393648</c:v>
                </c:pt>
                <c:pt idx="55" formatCode="0.0">
                  <c:v>15.055968466044563</c:v>
                </c:pt>
                <c:pt idx="56" formatCode="0.0">
                  <c:v>8.2820663349680768</c:v>
                </c:pt>
                <c:pt idx="57" formatCode="0.0">
                  <c:v>-0.1</c:v>
                </c:pt>
                <c:pt idx="58" formatCode="0.0">
                  <c:v>-5.9102037420420492</c:v>
                </c:pt>
                <c:pt idx="59" formatCode="0.0">
                  <c:v>-7.7399452408305418</c:v>
                </c:pt>
                <c:pt idx="60" formatCode="0.0">
                  <c:v>-5.1985459027706948</c:v>
                </c:pt>
                <c:pt idx="61" formatCode="0.0">
                  <c:v>-6.1002172114981841</c:v>
                </c:pt>
                <c:pt idx="62" formatCode="0.0">
                  <c:v>-4.5998255292449253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1D1-427B-A03E-84EBF6A4AA95}"/>
            </c:ext>
          </c:extLst>
        </c:ser>
        <c:marker val="1"/>
        <c:axId val="114956544"/>
        <c:axId val="114970624"/>
      </c:lineChart>
      <c:catAx>
        <c:axId val="114956544"/>
        <c:scaling>
          <c:orientation val="minMax"/>
        </c:scaling>
        <c:axPos val="b"/>
        <c:numFmt formatCode="General" sourceLinked="0"/>
        <c:majorTickMark val="none"/>
        <c:tickLblPos val="low"/>
        <c:crossAx val="114970624"/>
        <c:crosses val="autoZero"/>
        <c:auto val="1"/>
        <c:lblAlgn val="ctr"/>
        <c:lblOffset val="100"/>
      </c:catAx>
      <c:valAx>
        <c:axId val="114970624"/>
        <c:scaling>
          <c:orientation val="minMax"/>
        </c:scaling>
        <c:axPos val="l"/>
        <c:majorGridlines/>
        <c:numFmt formatCode="#,##0" sourceLinked="0"/>
        <c:majorTickMark val="none"/>
        <c:tickLblPos val="nextTo"/>
        <c:spPr>
          <a:ln w="9525">
            <a:noFill/>
          </a:ln>
        </c:spPr>
        <c:crossAx val="11495654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6.3256658088906362E-3"/>
          <c:y val="0.8655445679428877"/>
          <c:w val="0.98309606366182767"/>
          <c:h val="0.11031541998710633"/>
        </c:manualLayout>
      </c:layout>
      <c:txPr>
        <a:bodyPr/>
        <a:lstStyle/>
        <a:p>
          <a:pPr>
            <a:defRPr sz="600"/>
          </a:pPr>
          <a:endParaRPr lang="fr-FR"/>
        </a:p>
      </c:txPr>
    </c:legend>
    <c:plotVisOnly val="1"/>
    <c:dispBlanksAs val="gap"/>
  </c:chart>
  <c:spPr>
    <a:ln w="3175">
      <a:solidFill>
        <a:schemeClr val="tx1"/>
      </a:solidFill>
    </a:ln>
  </c:spPr>
  <c:txPr>
    <a:bodyPr/>
    <a:lstStyle/>
    <a:p>
      <a:pPr>
        <a:defRPr sz="500"/>
      </a:pPr>
      <a:endParaRPr lang="fr-FR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>
        <c:manualLayout>
          <c:layoutTarget val="inner"/>
          <c:xMode val="edge"/>
          <c:yMode val="edge"/>
          <c:x val="6.0527361936278584E-2"/>
          <c:y val="6.4664928531188173E-2"/>
          <c:w val="0.91007862895562319"/>
          <c:h val="0.67825103549668675"/>
        </c:manualLayout>
      </c:layout>
      <c:lineChart>
        <c:grouping val="standard"/>
        <c:ser>
          <c:idx val="0"/>
          <c:order val="0"/>
          <c:tx>
            <c:strRef>
              <c:f>'tableau note fr'!$A$13</c:f>
              <c:strCache>
                <c:ptCount val="1"/>
                <c:pt idx="0">
                  <c:v>Evolution future des prix des produits alimentaires</c:v>
                </c:pt>
              </c:strCache>
            </c:strRef>
          </c:tx>
          <c:marker>
            <c:symbol val="circle"/>
            <c:size val="4"/>
          </c:marker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fr'!$B$13:$BL$13</c:f>
              <c:numCache>
                <c:formatCode>#,##0.0</c:formatCode>
                <c:ptCount val="63"/>
                <c:pt idx="0">
                  <c:v>-74.061389031284818</c:v>
                </c:pt>
                <c:pt idx="1">
                  <c:v>-77.716574651610429</c:v>
                </c:pt>
                <c:pt idx="2">
                  <c:v>-78.940542419693813</c:v>
                </c:pt>
                <c:pt idx="3">
                  <c:v>-49.653420650313478</c:v>
                </c:pt>
                <c:pt idx="4">
                  <c:v>-34.869529990694446</c:v>
                </c:pt>
                <c:pt idx="5">
                  <c:v>-33.523065681383329</c:v>
                </c:pt>
                <c:pt idx="6">
                  <c:v>-50.919242344766445</c:v>
                </c:pt>
                <c:pt idx="7">
                  <c:v>-47.87194786445454</c:v>
                </c:pt>
                <c:pt idx="8">
                  <c:v>-46.51502281152586</c:v>
                </c:pt>
                <c:pt idx="9">
                  <c:v>-56.832932011427957</c:v>
                </c:pt>
                <c:pt idx="10">
                  <c:v>-62.176731306136958</c:v>
                </c:pt>
                <c:pt idx="11">
                  <c:v>-70.131788082404057</c:v>
                </c:pt>
                <c:pt idx="12">
                  <c:v>-73.412747182583757</c:v>
                </c:pt>
                <c:pt idx="13">
                  <c:v>-58.832065504603946</c:v>
                </c:pt>
                <c:pt idx="14">
                  <c:v>-72.59048616904964</c:v>
                </c:pt>
                <c:pt idx="15">
                  <c:v>-72.965887012434848</c:v>
                </c:pt>
                <c:pt idx="16">
                  <c:v>-69.834720496858949</c:v>
                </c:pt>
                <c:pt idx="17">
                  <c:v>-71.450027411204985</c:v>
                </c:pt>
                <c:pt idx="18">
                  <c:v>-73.578371466433751</c:v>
                </c:pt>
                <c:pt idx="19">
                  <c:v>-70.049698245525676</c:v>
                </c:pt>
                <c:pt idx="20">
                  <c:v>-76.096296687300736</c:v>
                </c:pt>
                <c:pt idx="21">
                  <c:v>-73.375476646911466</c:v>
                </c:pt>
                <c:pt idx="22">
                  <c:v>-76.007455926126042</c:v>
                </c:pt>
                <c:pt idx="23">
                  <c:v>-76.048555842624395</c:v>
                </c:pt>
                <c:pt idx="24">
                  <c:v>-77.551787041299889</c:v>
                </c:pt>
                <c:pt idx="25">
                  <c:v>-78.042355521266373</c:v>
                </c:pt>
                <c:pt idx="26">
                  <c:v>-76.898841721729667</c:v>
                </c:pt>
                <c:pt idx="27">
                  <c:v>-77.2</c:v>
                </c:pt>
                <c:pt idx="28">
                  <c:v>-77.231717010323948</c:v>
                </c:pt>
                <c:pt idx="29">
                  <c:v>-75.641194802119557</c:v>
                </c:pt>
                <c:pt idx="30">
                  <c:v>-75.301499740412396</c:v>
                </c:pt>
                <c:pt idx="31">
                  <c:v>-75.201077205088083</c:v>
                </c:pt>
                <c:pt idx="32">
                  <c:v>-79.25874198980361</c:v>
                </c:pt>
                <c:pt idx="33">
                  <c:v>-77.326465444648022</c:v>
                </c:pt>
                <c:pt idx="34">
                  <c:v>-77.900000000000006</c:v>
                </c:pt>
                <c:pt idx="35">
                  <c:v>-77.33590195130148</c:v>
                </c:pt>
                <c:pt idx="36">
                  <c:v>-77.664169536728878</c:v>
                </c:pt>
                <c:pt idx="37">
                  <c:v>-74.5</c:v>
                </c:pt>
                <c:pt idx="38">
                  <c:v>-73.964173414184586</c:v>
                </c:pt>
                <c:pt idx="39">
                  <c:v>-79.602800137507742</c:v>
                </c:pt>
                <c:pt idx="40">
                  <c:v>-82.909090889011466</c:v>
                </c:pt>
                <c:pt idx="41" formatCode="0.0">
                  <c:v>-84.024833717392056</c:v>
                </c:pt>
                <c:pt idx="42">
                  <c:v>-82.078038176837225</c:v>
                </c:pt>
                <c:pt idx="43">
                  <c:v>-86.6</c:v>
                </c:pt>
                <c:pt idx="44">
                  <c:v>-87.54271632969234</c:v>
                </c:pt>
                <c:pt idx="45">
                  <c:v>-86.508482649196509</c:v>
                </c:pt>
                <c:pt idx="46">
                  <c:v>-83.288697742697579</c:v>
                </c:pt>
                <c:pt idx="47">
                  <c:v>-82.220036585575144</c:v>
                </c:pt>
                <c:pt idx="48">
                  <c:v>-82.585609750348496</c:v>
                </c:pt>
                <c:pt idx="49" formatCode="0.0">
                  <c:v>-69.044082249116101</c:v>
                </c:pt>
                <c:pt idx="50">
                  <c:v>-68.063522341730973</c:v>
                </c:pt>
                <c:pt idx="51" formatCode="0.0">
                  <c:v>-64.634662916008139</c:v>
                </c:pt>
                <c:pt idx="52" formatCode="0.0">
                  <c:v>-60.2</c:v>
                </c:pt>
                <c:pt idx="53" formatCode="0.0">
                  <c:v>-67.626807058147179</c:v>
                </c:pt>
                <c:pt idx="54" formatCode="0.0">
                  <c:v>-70.948472628894308</c:v>
                </c:pt>
                <c:pt idx="55" formatCode="0.0">
                  <c:v>-76.250623411131627</c:v>
                </c:pt>
                <c:pt idx="56" formatCode="0.0">
                  <c:v>-74.08113857965057</c:v>
                </c:pt>
                <c:pt idx="57" formatCode="0.0">
                  <c:v>-74.293813887540622</c:v>
                </c:pt>
                <c:pt idx="58" formatCode="0.0">
                  <c:v>-73.590712253861639</c:v>
                </c:pt>
                <c:pt idx="59" formatCode="0.0">
                  <c:v>-71.823546131746667</c:v>
                </c:pt>
                <c:pt idx="60" formatCode="0.0">
                  <c:v>-69.77520154712964</c:v>
                </c:pt>
                <c:pt idx="61" formatCode="0.0">
                  <c:v>-67.713945367946124</c:v>
                </c:pt>
                <c:pt idx="62" formatCode="0.0">
                  <c:v>-66.2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898-4597-B2B6-AB30D5ACB06C}"/>
            </c:ext>
          </c:extLst>
        </c:ser>
        <c:ser>
          <c:idx val="1"/>
          <c:order val="1"/>
          <c:tx>
            <c:strRef>
              <c:f>'tableau note fr'!$A$14</c:f>
              <c:strCache>
                <c:ptCount val="1"/>
                <c:pt idx="0">
                  <c:v>Evolution  passée des prix des produits alimentaires</c:v>
                </c:pt>
              </c:strCache>
            </c:strRef>
          </c:tx>
          <c:cat>
            <c:strRef>
              <c:f>'tableau note fr'!$B$3:$BL$3</c:f>
              <c:strCache>
                <c:ptCount val="63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  <c:pt idx="62">
                  <c:v>T3/23</c:v>
                </c:pt>
              </c:strCache>
            </c:strRef>
          </c:cat>
          <c:val>
            <c:numRef>
              <c:f>'tableau note fr'!$B$14:$BL$14</c:f>
              <c:numCache>
                <c:formatCode>#,##0.0</c:formatCode>
                <c:ptCount val="63"/>
                <c:pt idx="0">
                  <c:v>-93.561530615416999</c:v>
                </c:pt>
                <c:pt idx="1">
                  <c:v>-95.947220816722407</c:v>
                </c:pt>
                <c:pt idx="2">
                  <c:v>-98.048475442965014</c:v>
                </c:pt>
                <c:pt idx="3">
                  <c:v>-96.216541508823312</c:v>
                </c:pt>
                <c:pt idx="4">
                  <c:v>-93.990402062896209</c:v>
                </c:pt>
                <c:pt idx="5">
                  <c:v>-87.215803326852651</c:v>
                </c:pt>
                <c:pt idx="6">
                  <c:v>-85.738329527783449</c:v>
                </c:pt>
                <c:pt idx="7">
                  <c:v>-83.27809847810137</c:v>
                </c:pt>
                <c:pt idx="8">
                  <c:v>-79.493520436579956</c:v>
                </c:pt>
                <c:pt idx="9">
                  <c:v>-87.814557184919167</c:v>
                </c:pt>
                <c:pt idx="10">
                  <c:v>-89.729007404339953</c:v>
                </c:pt>
                <c:pt idx="11">
                  <c:v>-90.967802162493442</c:v>
                </c:pt>
                <c:pt idx="12">
                  <c:v>-95.526783459398686</c:v>
                </c:pt>
                <c:pt idx="13">
                  <c:v>-87.197236284295727</c:v>
                </c:pt>
                <c:pt idx="14">
                  <c:v>-89.924388392525927</c:v>
                </c:pt>
                <c:pt idx="15">
                  <c:v>-92.495216554147831</c:v>
                </c:pt>
                <c:pt idx="16">
                  <c:v>-91.625316584481652</c:v>
                </c:pt>
                <c:pt idx="17">
                  <c:v>-91.140544889708991</c:v>
                </c:pt>
                <c:pt idx="18">
                  <c:v>-91.653648288633619</c:v>
                </c:pt>
                <c:pt idx="19">
                  <c:v>-90.602273539903038</c:v>
                </c:pt>
                <c:pt idx="20">
                  <c:v>-91.630328830979536</c:v>
                </c:pt>
                <c:pt idx="21">
                  <c:v>-88.947630714849396</c:v>
                </c:pt>
                <c:pt idx="22">
                  <c:v>-90.507981291878522</c:v>
                </c:pt>
                <c:pt idx="23">
                  <c:v>-90.842402571703019</c:v>
                </c:pt>
                <c:pt idx="24">
                  <c:v>-89.421972084851788</c:v>
                </c:pt>
                <c:pt idx="25">
                  <c:v>-84.135715875788947</c:v>
                </c:pt>
                <c:pt idx="26">
                  <c:v>-81.763249669623846</c:v>
                </c:pt>
                <c:pt idx="27">
                  <c:v>-84.521199779532196</c:v>
                </c:pt>
                <c:pt idx="28">
                  <c:v>-87.223881643150108</c:v>
                </c:pt>
                <c:pt idx="29">
                  <c:v>-85.304961002513068</c:v>
                </c:pt>
                <c:pt idx="30">
                  <c:v>-84.28450715952367</c:v>
                </c:pt>
                <c:pt idx="31">
                  <c:v>-85.427496568127424</c:v>
                </c:pt>
                <c:pt idx="32">
                  <c:v>-85.452277394276848</c:v>
                </c:pt>
                <c:pt idx="33">
                  <c:v>-87.871778057968015</c:v>
                </c:pt>
                <c:pt idx="34">
                  <c:v>-87.672521775530825</c:v>
                </c:pt>
                <c:pt idx="35">
                  <c:v>-87.308587775463238</c:v>
                </c:pt>
                <c:pt idx="36">
                  <c:v>-86.771015006658288</c:v>
                </c:pt>
                <c:pt idx="37">
                  <c:v>-86.4</c:v>
                </c:pt>
                <c:pt idx="38">
                  <c:v>-82.805018292489279</c:v>
                </c:pt>
                <c:pt idx="39">
                  <c:v>-88.513579156072012</c:v>
                </c:pt>
                <c:pt idx="40">
                  <c:v>-86.694812387811382</c:v>
                </c:pt>
                <c:pt idx="41" formatCode="0.0">
                  <c:v>-88.182833745436568</c:v>
                </c:pt>
                <c:pt idx="42">
                  <c:v>-88.119908444008828</c:v>
                </c:pt>
                <c:pt idx="43">
                  <c:v>-90.3</c:v>
                </c:pt>
                <c:pt idx="44">
                  <c:v>-88.136419421127727</c:v>
                </c:pt>
                <c:pt idx="45">
                  <c:v>-88.912542109472369</c:v>
                </c:pt>
                <c:pt idx="46">
                  <c:v>-83.748311328811582</c:v>
                </c:pt>
                <c:pt idx="47">
                  <c:v>-85.084964738360227</c:v>
                </c:pt>
                <c:pt idx="48">
                  <c:v>-82.774085672956858</c:v>
                </c:pt>
                <c:pt idx="49" formatCode="0.0">
                  <c:v>-67.616999612935103</c:v>
                </c:pt>
                <c:pt idx="50">
                  <c:v>-75.123128911649388</c:v>
                </c:pt>
                <c:pt idx="51" formatCode="0.0">
                  <c:v>-74.676635648394679</c:v>
                </c:pt>
                <c:pt idx="52" formatCode="0.0">
                  <c:v>-74</c:v>
                </c:pt>
                <c:pt idx="53" formatCode="0.0">
                  <c:v>-86.830108784480601</c:v>
                </c:pt>
                <c:pt idx="54" formatCode="0.0">
                  <c:v>-86.892269253653168</c:v>
                </c:pt>
                <c:pt idx="55" formatCode="0.0">
                  <c:v>-95.946419387502416</c:v>
                </c:pt>
                <c:pt idx="56" formatCode="0.0">
                  <c:v>-97.899492867529347</c:v>
                </c:pt>
                <c:pt idx="57" formatCode="0.0">
                  <c:v>-99.090827572349781</c:v>
                </c:pt>
                <c:pt idx="58" formatCode="0.0">
                  <c:v>-99.053454059204242</c:v>
                </c:pt>
                <c:pt idx="59" formatCode="0.0">
                  <c:v>-98.761441528769112</c:v>
                </c:pt>
                <c:pt idx="60" formatCode="0.0">
                  <c:v>-98.724700288378315</c:v>
                </c:pt>
                <c:pt idx="61" formatCode="0.0">
                  <c:v>-97.999403296955293</c:v>
                </c:pt>
                <c:pt idx="62" formatCode="0.0">
                  <c:v>-97.87839258004027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898-4597-B2B6-AB30D5ACB06C}"/>
            </c:ext>
          </c:extLst>
        </c:ser>
        <c:marker val="1"/>
        <c:axId val="114991872"/>
        <c:axId val="114993408"/>
      </c:lineChart>
      <c:catAx>
        <c:axId val="114991872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lang="en-US" sz="500"/>
            </a:pPr>
            <a:endParaRPr lang="fr-FR"/>
          </a:p>
        </c:txPr>
        <c:crossAx val="114993408"/>
        <c:crosses val="autoZero"/>
        <c:auto val="1"/>
        <c:lblAlgn val="ctr"/>
        <c:lblOffset val="100"/>
      </c:catAx>
      <c:valAx>
        <c:axId val="114993408"/>
        <c:scaling>
          <c:orientation val="minMax"/>
        </c:scaling>
        <c:axPos val="l"/>
        <c:majorGridlines/>
        <c:numFmt formatCode="#,##0" sourceLinked="0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lang="en-US" sz="500"/>
            </a:pPr>
            <a:endParaRPr lang="fr-FR"/>
          </a:p>
        </c:txPr>
        <c:crossAx val="11499187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5.1989971402828412E-2"/>
          <c:y val="0.87118449511584861"/>
          <c:w val="0.9"/>
          <c:h val="6.0592883699232422E-2"/>
        </c:manualLayout>
      </c:layout>
      <c:txPr>
        <a:bodyPr/>
        <a:lstStyle/>
        <a:p>
          <a:pPr>
            <a:defRPr lang="en-US" sz="900"/>
          </a:pPr>
          <a:endParaRPr lang="fr-FR"/>
        </a:p>
      </c:txPr>
    </c:legend>
    <c:plotVisOnly val="1"/>
    <c:dispBlanksAs val="gap"/>
  </c:chart>
  <c:spPr>
    <a:ln w="3175">
      <a:solidFill>
        <a:schemeClr val="tx1"/>
      </a:solidFill>
    </a:ln>
  </c:spPr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E0783-7AE2-4F31-A4E2-3C29E7A7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1644</Words>
  <Characters>9043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10666</CharactersWithSpaces>
  <SharedDoc>false</SharedDoc>
  <HLinks>
    <vt:vector size="6" baseType="variant">
      <vt:variant>
        <vt:i4>7405692</vt:i4>
      </vt:variant>
      <vt:variant>
        <vt:i4>0</vt:i4>
      </vt:variant>
      <vt:variant>
        <vt:i4>0</vt:i4>
      </vt:variant>
      <vt:variant>
        <vt:i4>5</vt:i4>
      </vt:variant>
      <vt:variant>
        <vt:lpwstr>http://www.hcp.ma/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HCP</cp:lastModifiedBy>
  <cp:revision>7</cp:revision>
  <cp:lastPrinted>2023-10-12T08:41:00Z</cp:lastPrinted>
  <dcterms:created xsi:type="dcterms:W3CDTF">2023-10-12T10:52:00Z</dcterms:created>
  <dcterms:modified xsi:type="dcterms:W3CDTF">2023-10-15T22:26:00Z</dcterms:modified>
</cp:coreProperties>
</file>