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A6281" w14:textId="5AE411B1" w:rsidR="000A4A6D" w:rsidRDefault="00C9031D" w:rsidP="00C9031D">
      <w:pPr>
        <w:rPr>
          <w:lang w:val="en-US"/>
        </w:rPr>
      </w:pPr>
      <w:r>
        <w:rPr>
          <w:lang w:val="en-US"/>
        </w:rPr>
        <w:t>Following are the details of the challenges and hackathons that were conducted through GESH</w:t>
      </w:r>
    </w:p>
    <w:tbl>
      <w:tblPr>
        <w:tblW w:w="15981" w:type="dxa"/>
        <w:tblInd w:w="-1281" w:type="dxa"/>
        <w:tblLook w:val="04A0" w:firstRow="1" w:lastRow="0" w:firstColumn="1" w:lastColumn="0" w:noHBand="0" w:noVBand="1"/>
      </w:tblPr>
      <w:tblGrid>
        <w:gridCol w:w="1791"/>
        <w:gridCol w:w="3975"/>
        <w:gridCol w:w="1747"/>
        <w:gridCol w:w="2440"/>
        <w:gridCol w:w="1671"/>
        <w:gridCol w:w="1631"/>
        <w:gridCol w:w="1543"/>
        <w:gridCol w:w="1183"/>
      </w:tblGrid>
      <w:tr w:rsidR="00C9031D" w:rsidRPr="00C9031D" w14:paraId="7ECBDFEC" w14:textId="77777777" w:rsidTr="00533CF5">
        <w:trPr>
          <w:trHeight w:val="264"/>
          <w:tblHeader/>
        </w:trPr>
        <w:tc>
          <w:tcPr>
            <w:tcW w:w="179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D47116"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Event / Programme</w:t>
            </w:r>
          </w:p>
        </w:tc>
        <w:tc>
          <w:tcPr>
            <w:tcW w:w="3975" w:type="dxa"/>
            <w:tcBorders>
              <w:top w:val="single" w:sz="4" w:space="0" w:color="000000"/>
              <w:left w:val="nil"/>
              <w:bottom w:val="single" w:sz="4" w:space="0" w:color="000000"/>
              <w:right w:val="single" w:sz="4" w:space="0" w:color="000000"/>
            </w:tcBorders>
            <w:shd w:val="clear" w:color="auto" w:fill="auto"/>
            <w:vAlign w:val="center"/>
            <w:hideMark/>
          </w:tcPr>
          <w:p w14:paraId="5F032ABD"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Event Brief</w:t>
            </w:r>
          </w:p>
        </w:tc>
        <w:tc>
          <w:tcPr>
            <w:tcW w:w="1747" w:type="dxa"/>
            <w:tcBorders>
              <w:top w:val="single" w:sz="4" w:space="0" w:color="000000"/>
              <w:left w:val="nil"/>
              <w:bottom w:val="single" w:sz="4" w:space="0" w:color="000000"/>
              <w:right w:val="single" w:sz="4" w:space="0" w:color="000000"/>
            </w:tcBorders>
            <w:shd w:val="clear" w:color="auto" w:fill="auto"/>
            <w:vAlign w:val="center"/>
            <w:hideMark/>
          </w:tcPr>
          <w:p w14:paraId="178B7505"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Date</w:t>
            </w:r>
          </w:p>
        </w:tc>
        <w:tc>
          <w:tcPr>
            <w:tcW w:w="2440" w:type="dxa"/>
            <w:tcBorders>
              <w:top w:val="single" w:sz="4" w:space="0" w:color="000000"/>
              <w:left w:val="nil"/>
              <w:bottom w:val="single" w:sz="4" w:space="0" w:color="000000"/>
              <w:right w:val="single" w:sz="4" w:space="0" w:color="000000"/>
            </w:tcBorders>
            <w:shd w:val="clear" w:color="auto" w:fill="auto"/>
            <w:vAlign w:val="center"/>
            <w:hideMark/>
          </w:tcPr>
          <w:p w14:paraId="5C150AEB"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Collaborators</w:t>
            </w:r>
          </w:p>
        </w:tc>
        <w:tc>
          <w:tcPr>
            <w:tcW w:w="1671" w:type="dxa"/>
            <w:tcBorders>
              <w:top w:val="single" w:sz="4" w:space="0" w:color="000000"/>
              <w:left w:val="nil"/>
              <w:bottom w:val="single" w:sz="4" w:space="0" w:color="000000"/>
              <w:right w:val="single" w:sz="4" w:space="0" w:color="000000"/>
            </w:tcBorders>
            <w:shd w:val="clear" w:color="auto" w:fill="auto"/>
            <w:vAlign w:val="center"/>
            <w:hideMark/>
          </w:tcPr>
          <w:p w14:paraId="2E50CBDD"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Teams</w:t>
            </w:r>
          </w:p>
        </w:tc>
        <w:tc>
          <w:tcPr>
            <w:tcW w:w="1631" w:type="dxa"/>
            <w:tcBorders>
              <w:top w:val="single" w:sz="4" w:space="0" w:color="000000"/>
              <w:left w:val="nil"/>
              <w:bottom w:val="single" w:sz="4" w:space="0" w:color="000000"/>
              <w:right w:val="single" w:sz="4" w:space="0" w:color="000000"/>
            </w:tcBorders>
            <w:shd w:val="clear" w:color="auto" w:fill="auto"/>
            <w:vAlign w:val="center"/>
            <w:hideMark/>
          </w:tcPr>
          <w:p w14:paraId="6CA9A5BD"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Team Size</w:t>
            </w:r>
          </w:p>
        </w:tc>
        <w:tc>
          <w:tcPr>
            <w:tcW w:w="1543" w:type="dxa"/>
            <w:tcBorders>
              <w:top w:val="single" w:sz="4" w:space="0" w:color="000000"/>
              <w:left w:val="nil"/>
              <w:bottom w:val="single" w:sz="4" w:space="0" w:color="000000"/>
              <w:right w:val="single" w:sz="4" w:space="0" w:color="000000"/>
            </w:tcBorders>
            <w:shd w:val="clear" w:color="auto" w:fill="auto"/>
            <w:vAlign w:val="center"/>
            <w:hideMark/>
          </w:tcPr>
          <w:p w14:paraId="4348364D"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Participants</w:t>
            </w:r>
          </w:p>
        </w:tc>
        <w:tc>
          <w:tcPr>
            <w:tcW w:w="1183" w:type="dxa"/>
            <w:tcBorders>
              <w:top w:val="single" w:sz="4" w:space="0" w:color="000000"/>
              <w:left w:val="nil"/>
              <w:bottom w:val="single" w:sz="4" w:space="0" w:color="000000"/>
              <w:right w:val="single" w:sz="4" w:space="0" w:color="000000"/>
            </w:tcBorders>
            <w:shd w:val="clear" w:color="auto" w:fill="auto"/>
            <w:vAlign w:val="center"/>
            <w:hideMark/>
          </w:tcPr>
          <w:p w14:paraId="4457FE84" w14:textId="77777777" w:rsidR="00C9031D" w:rsidRPr="00C9031D" w:rsidRDefault="00C9031D" w:rsidP="00C9031D">
            <w:pPr>
              <w:spacing w:after="0" w:line="240" w:lineRule="auto"/>
              <w:rPr>
                <w:rFonts w:ascii="Arial" w:eastAsia="Times New Roman" w:hAnsi="Arial" w:cs="Arial"/>
                <w:b/>
                <w:bCs/>
                <w:color w:val="000000"/>
                <w:sz w:val="20"/>
                <w:szCs w:val="20"/>
                <w:lang w:eastAsia="en-IN"/>
              </w:rPr>
            </w:pPr>
            <w:r w:rsidRPr="00C9031D">
              <w:rPr>
                <w:rFonts w:ascii="Arial" w:eastAsia="Times New Roman" w:hAnsi="Arial" w:cs="Arial"/>
                <w:b/>
                <w:bCs/>
                <w:color w:val="000000"/>
                <w:sz w:val="20"/>
                <w:szCs w:val="20"/>
                <w:lang w:eastAsia="en-IN"/>
              </w:rPr>
              <w:t>Attendees</w:t>
            </w:r>
          </w:p>
        </w:tc>
      </w:tr>
      <w:tr w:rsidR="00C9031D" w:rsidRPr="00C9031D" w14:paraId="3B4879D4" w14:textId="77777777" w:rsidTr="00C9031D">
        <w:trPr>
          <w:trHeight w:val="2904"/>
        </w:trPr>
        <w:tc>
          <w:tcPr>
            <w:tcW w:w="1791" w:type="dxa"/>
            <w:tcBorders>
              <w:top w:val="nil"/>
              <w:left w:val="single" w:sz="4" w:space="0" w:color="000000"/>
              <w:bottom w:val="single" w:sz="4" w:space="0" w:color="000000"/>
              <w:right w:val="single" w:sz="4" w:space="0" w:color="000000"/>
            </w:tcBorders>
            <w:shd w:val="clear" w:color="auto" w:fill="auto"/>
            <w:vAlign w:val="center"/>
            <w:hideMark/>
          </w:tcPr>
          <w:p w14:paraId="6E5A55FF"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Global Sustainability Challenge (GSC) 2025–26 – South Asia Region</w:t>
            </w:r>
          </w:p>
        </w:tc>
        <w:tc>
          <w:tcPr>
            <w:tcW w:w="3975" w:type="dxa"/>
            <w:tcBorders>
              <w:top w:val="nil"/>
              <w:left w:val="nil"/>
              <w:bottom w:val="single" w:sz="4" w:space="0" w:color="000000"/>
              <w:right w:val="single" w:sz="4" w:space="0" w:color="000000"/>
            </w:tcBorders>
            <w:shd w:val="clear" w:color="auto" w:fill="auto"/>
            <w:vAlign w:val="center"/>
            <w:hideMark/>
          </w:tcPr>
          <w:p w14:paraId="18C2E121" w14:textId="77777777" w:rsid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The Global Sustainability Challenge, is an annual competition where students design, implement, and showcase real-world sustainability solutions. The initiative is a collaboration among leading global institutions. Structured the challenge into three phases:</w:t>
            </w:r>
            <w:r w:rsidRPr="00C9031D">
              <w:rPr>
                <w:rFonts w:ascii="Arial" w:eastAsia="Times New Roman" w:hAnsi="Arial" w:cs="Arial"/>
                <w:color w:val="000000"/>
                <w:sz w:val="20"/>
                <w:szCs w:val="20"/>
                <w:lang w:eastAsia="en-IN"/>
              </w:rPr>
              <w:br/>
            </w:r>
            <w:r w:rsidRPr="00C9031D">
              <w:rPr>
                <w:rFonts w:ascii="Arial" w:eastAsia="Times New Roman" w:hAnsi="Arial" w:cs="Arial"/>
                <w:color w:val="000000"/>
                <w:sz w:val="20"/>
                <w:szCs w:val="20"/>
                <w:lang w:eastAsia="en-IN"/>
              </w:rPr>
              <w:br/>
              <w:t>IGNITE: Problem identification, team formation, and solution ideation. (Late August - Early November 2025)</w:t>
            </w:r>
            <w:r w:rsidRPr="00C9031D">
              <w:rPr>
                <w:rFonts w:ascii="Arial" w:eastAsia="Times New Roman" w:hAnsi="Arial" w:cs="Arial"/>
                <w:color w:val="000000"/>
                <w:sz w:val="20"/>
                <w:szCs w:val="20"/>
                <w:lang w:eastAsia="en-IN"/>
              </w:rPr>
              <w:br/>
              <w:t>BUILD: Mentorship, solution validation, prototype development, and regional evaluation. (Late November 2025 - January / Early February 2026)</w:t>
            </w:r>
            <w:r w:rsidRPr="00C9031D">
              <w:rPr>
                <w:rFonts w:ascii="Arial" w:eastAsia="Times New Roman" w:hAnsi="Arial" w:cs="Arial"/>
                <w:color w:val="000000"/>
                <w:sz w:val="20"/>
                <w:szCs w:val="20"/>
                <w:lang w:eastAsia="en-IN"/>
              </w:rPr>
              <w:br/>
              <w:t>SHINE: Global showcase, advanced mentorship, and international finale at TUM - Germany. (February - April 2026)</w:t>
            </w:r>
          </w:p>
          <w:p w14:paraId="3E114D51" w14:textId="77777777" w:rsidR="002945C1" w:rsidRDefault="002945C1" w:rsidP="00C9031D">
            <w:pPr>
              <w:spacing w:after="0" w:line="240" w:lineRule="auto"/>
              <w:rPr>
                <w:rFonts w:ascii="Arial" w:eastAsia="Times New Roman" w:hAnsi="Arial" w:cs="Arial"/>
                <w:color w:val="000000"/>
                <w:sz w:val="20"/>
                <w:szCs w:val="20"/>
                <w:lang w:eastAsia="en-IN"/>
              </w:rPr>
            </w:pPr>
          </w:p>
          <w:p w14:paraId="1AA1FBD2" w14:textId="5AEFD935" w:rsidR="002945C1" w:rsidRPr="00C9031D" w:rsidRDefault="002945C1" w:rsidP="00C9031D">
            <w:pPr>
              <w:spacing w:after="0" w:line="240" w:lineRule="auto"/>
              <w:rPr>
                <w:rFonts w:ascii="Arial" w:eastAsia="Times New Roman" w:hAnsi="Arial" w:cs="Arial"/>
                <w:b/>
                <w:bCs/>
                <w:color w:val="000000"/>
                <w:sz w:val="20"/>
                <w:szCs w:val="20"/>
                <w:lang w:eastAsia="en-IN"/>
              </w:rPr>
            </w:pPr>
            <w:r w:rsidRPr="002945C1">
              <w:rPr>
                <w:rFonts w:ascii="Arial" w:eastAsia="Times New Roman" w:hAnsi="Arial" w:cs="Arial"/>
                <w:b/>
                <w:bCs/>
                <w:color w:val="000000"/>
                <w:sz w:val="20"/>
                <w:szCs w:val="20"/>
                <w:lang w:eastAsia="en-IN"/>
              </w:rPr>
              <w:t>GESH</w:t>
            </w:r>
            <w:r>
              <w:rPr>
                <w:rFonts w:ascii="Arial" w:eastAsia="Times New Roman" w:hAnsi="Arial" w:cs="Arial"/>
                <w:b/>
                <w:bCs/>
                <w:color w:val="000000"/>
                <w:sz w:val="20"/>
                <w:szCs w:val="20"/>
                <w:lang w:eastAsia="en-IN"/>
              </w:rPr>
              <w:t xml:space="preserve"> IIT Bombay</w:t>
            </w:r>
            <w:r w:rsidRPr="002945C1">
              <w:rPr>
                <w:rFonts w:ascii="Arial" w:eastAsia="Times New Roman" w:hAnsi="Arial" w:cs="Arial"/>
                <w:b/>
                <w:bCs/>
                <w:color w:val="000000"/>
                <w:sz w:val="20"/>
                <w:szCs w:val="20"/>
                <w:lang w:eastAsia="en-IN"/>
              </w:rPr>
              <w:t xml:space="preserve"> is a founding partner</w:t>
            </w:r>
            <w:r w:rsidR="008A072B">
              <w:rPr>
                <w:rFonts w:ascii="Arial" w:eastAsia="Times New Roman" w:hAnsi="Arial" w:cs="Arial"/>
                <w:b/>
                <w:bCs/>
                <w:color w:val="000000"/>
                <w:sz w:val="20"/>
                <w:szCs w:val="20"/>
                <w:lang w:eastAsia="en-IN"/>
              </w:rPr>
              <w:t xml:space="preserve"> and regional ambassador</w:t>
            </w:r>
            <w:r w:rsidRPr="002945C1">
              <w:rPr>
                <w:rFonts w:ascii="Arial" w:eastAsia="Times New Roman" w:hAnsi="Arial" w:cs="Arial"/>
                <w:b/>
                <w:bCs/>
                <w:color w:val="000000"/>
                <w:sz w:val="20"/>
                <w:szCs w:val="20"/>
                <w:lang w:eastAsia="en-IN"/>
              </w:rPr>
              <w:t xml:space="preserve"> for GSC</w:t>
            </w:r>
          </w:p>
        </w:tc>
        <w:tc>
          <w:tcPr>
            <w:tcW w:w="1747" w:type="dxa"/>
            <w:tcBorders>
              <w:top w:val="nil"/>
              <w:left w:val="nil"/>
              <w:bottom w:val="single" w:sz="4" w:space="0" w:color="000000"/>
              <w:right w:val="single" w:sz="4" w:space="0" w:color="000000"/>
            </w:tcBorders>
            <w:shd w:val="clear" w:color="auto" w:fill="auto"/>
            <w:vAlign w:val="center"/>
            <w:hideMark/>
          </w:tcPr>
          <w:p w14:paraId="53465538"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Regional Finale - 7th Feb, 2026, Global Finale - 29th April 2026</w:t>
            </w:r>
          </w:p>
        </w:tc>
        <w:tc>
          <w:tcPr>
            <w:tcW w:w="2440" w:type="dxa"/>
            <w:tcBorders>
              <w:top w:val="nil"/>
              <w:left w:val="nil"/>
              <w:bottom w:val="single" w:sz="4" w:space="0" w:color="000000"/>
              <w:right w:val="single" w:sz="4" w:space="0" w:color="000000"/>
            </w:tcBorders>
            <w:shd w:val="clear" w:color="auto" w:fill="auto"/>
            <w:vAlign w:val="center"/>
            <w:hideMark/>
          </w:tcPr>
          <w:p w14:paraId="4C402C72"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Stanford </w:t>
            </w:r>
            <w:proofErr w:type="spellStart"/>
            <w:r w:rsidRPr="00C9031D">
              <w:rPr>
                <w:rFonts w:ascii="Arial" w:eastAsia="Times New Roman" w:hAnsi="Arial" w:cs="Arial"/>
                <w:color w:val="000000"/>
                <w:sz w:val="20"/>
                <w:szCs w:val="20"/>
                <w:lang w:eastAsia="en-IN"/>
              </w:rPr>
              <w:t>Doerr</w:t>
            </w:r>
            <w:proofErr w:type="spellEnd"/>
            <w:r w:rsidRPr="00C9031D">
              <w:rPr>
                <w:rFonts w:ascii="Arial" w:eastAsia="Times New Roman" w:hAnsi="Arial" w:cs="Arial"/>
                <w:color w:val="000000"/>
                <w:sz w:val="20"/>
                <w:szCs w:val="20"/>
                <w:lang w:eastAsia="en-IN"/>
              </w:rPr>
              <w:t xml:space="preserve"> School of Sustainability, Maker Bhavan Foundation, IIT Bombay, IIT Hyderabad, Centre for Climate Studies IIT Bombay, TUM, Imperial College London, HKUST, Zhejiang University, </w:t>
            </w:r>
            <w:proofErr w:type="spellStart"/>
            <w:r w:rsidRPr="00C9031D">
              <w:rPr>
                <w:rFonts w:ascii="Arial" w:eastAsia="Times New Roman" w:hAnsi="Arial" w:cs="Arial"/>
                <w:color w:val="000000"/>
                <w:sz w:val="20"/>
                <w:szCs w:val="20"/>
                <w:lang w:eastAsia="en-IN"/>
              </w:rPr>
              <w:t>Makerghat</w:t>
            </w:r>
            <w:proofErr w:type="spellEnd"/>
            <w:r w:rsidRPr="00C9031D">
              <w:rPr>
                <w:rFonts w:ascii="Arial" w:eastAsia="Times New Roman" w:hAnsi="Arial" w:cs="Arial"/>
                <w:color w:val="000000"/>
                <w:sz w:val="20"/>
                <w:szCs w:val="20"/>
                <w:lang w:eastAsia="en-IN"/>
              </w:rPr>
              <w:t>, YGA</w:t>
            </w:r>
          </w:p>
        </w:tc>
        <w:tc>
          <w:tcPr>
            <w:tcW w:w="1671" w:type="dxa"/>
            <w:tcBorders>
              <w:top w:val="nil"/>
              <w:left w:val="nil"/>
              <w:bottom w:val="single" w:sz="4" w:space="0" w:color="000000"/>
              <w:right w:val="single" w:sz="4" w:space="0" w:color="000000"/>
            </w:tcBorders>
            <w:shd w:val="clear" w:color="auto" w:fill="auto"/>
            <w:vAlign w:val="center"/>
            <w:hideMark/>
          </w:tcPr>
          <w:p w14:paraId="217DC897" w14:textId="77777777" w:rsid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Phase 0 - 906, Phase 1 - 131, Phase 2 - 54, Phase 3 - 10</w:t>
            </w:r>
          </w:p>
          <w:p w14:paraId="54F5E8DB" w14:textId="0DFF53AC" w:rsidR="008A072B" w:rsidRPr="00C9031D" w:rsidRDefault="008A072B" w:rsidP="00C9031D">
            <w:pPr>
              <w:spacing w:after="0" w:line="240" w:lineRule="auto"/>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(participation received from 91 countries</w:t>
            </w:r>
            <w:bookmarkStart w:id="0" w:name="_GoBack"/>
            <w:bookmarkEnd w:id="0"/>
            <w:r>
              <w:rPr>
                <w:rFonts w:ascii="Arial" w:eastAsia="Times New Roman" w:hAnsi="Arial" w:cs="Arial"/>
                <w:color w:val="000000"/>
                <w:sz w:val="20"/>
                <w:szCs w:val="20"/>
                <w:lang w:eastAsia="en-IN"/>
              </w:rPr>
              <w:t>)</w:t>
            </w:r>
          </w:p>
        </w:tc>
        <w:tc>
          <w:tcPr>
            <w:tcW w:w="1631" w:type="dxa"/>
            <w:tcBorders>
              <w:top w:val="nil"/>
              <w:left w:val="nil"/>
              <w:bottom w:val="single" w:sz="4" w:space="0" w:color="000000"/>
              <w:right w:val="single" w:sz="4" w:space="0" w:color="000000"/>
            </w:tcBorders>
            <w:shd w:val="clear" w:color="auto" w:fill="auto"/>
            <w:vAlign w:val="center"/>
            <w:hideMark/>
          </w:tcPr>
          <w:p w14:paraId="78F2F26C"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1–4 members per team</w:t>
            </w:r>
          </w:p>
        </w:tc>
        <w:tc>
          <w:tcPr>
            <w:tcW w:w="1543" w:type="dxa"/>
            <w:tcBorders>
              <w:top w:val="nil"/>
              <w:left w:val="nil"/>
              <w:bottom w:val="single" w:sz="4" w:space="0" w:color="000000"/>
              <w:right w:val="single" w:sz="4" w:space="0" w:color="000000"/>
            </w:tcBorders>
            <w:shd w:val="clear" w:color="auto" w:fill="auto"/>
            <w:vAlign w:val="center"/>
            <w:hideMark/>
          </w:tcPr>
          <w:p w14:paraId="1B4B0369"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Phase 1 - </w:t>
            </w:r>
            <w:proofErr w:type="spellStart"/>
            <w:r w:rsidRPr="00C9031D">
              <w:rPr>
                <w:rFonts w:ascii="Arial" w:eastAsia="Times New Roman" w:hAnsi="Arial" w:cs="Arial"/>
                <w:color w:val="000000"/>
                <w:sz w:val="20"/>
                <w:szCs w:val="20"/>
                <w:lang w:eastAsia="en-IN"/>
              </w:rPr>
              <w:t>Approx</w:t>
            </w:r>
            <w:proofErr w:type="spellEnd"/>
            <w:r w:rsidRPr="00C9031D">
              <w:rPr>
                <w:rFonts w:ascii="Arial" w:eastAsia="Times New Roman" w:hAnsi="Arial" w:cs="Arial"/>
                <w:color w:val="000000"/>
                <w:sz w:val="20"/>
                <w:szCs w:val="20"/>
                <w:lang w:eastAsia="en-IN"/>
              </w:rPr>
              <w:t xml:space="preserve"> 3000</w:t>
            </w:r>
          </w:p>
        </w:tc>
        <w:tc>
          <w:tcPr>
            <w:tcW w:w="1183" w:type="dxa"/>
            <w:tcBorders>
              <w:top w:val="nil"/>
              <w:left w:val="nil"/>
              <w:bottom w:val="single" w:sz="4" w:space="0" w:color="000000"/>
              <w:right w:val="single" w:sz="4" w:space="0" w:color="000000"/>
            </w:tcBorders>
            <w:shd w:val="clear" w:color="auto" w:fill="auto"/>
            <w:vAlign w:val="center"/>
            <w:hideMark/>
          </w:tcPr>
          <w:p w14:paraId="27CE9575"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Regional Finale - 200 </w:t>
            </w:r>
          </w:p>
        </w:tc>
      </w:tr>
      <w:tr w:rsidR="00C9031D" w:rsidRPr="00C9031D" w14:paraId="6BA6892C" w14:textId="77777777" w:rsidTr="00C9031D">
        <w:trPr>
          <w:trHeight w:val="1056"/>
        </w:trPr>
        <w:tc>
          <w:tcPr>
            <w:tcW w:w="1791" w:type="dxa"/>
            <w:tcBorders>
              <w:top w:val="nil"/>
              <w:left w:val="single" w:sz="4" w:space="0" w:color="000000"/>
              <w:bottom w:val="single" w:sz="4" w:space="0" w:color="000000"/>
              <w:right w:val="single" w:sz="4" w:space="0" w:color="000000"/>
            </w:tcBorders>
            <w:shd w:val="clear" w:color="auto" w:fill="auto"/>
            <w:vAlign w:val="center"/>
            <w:hideMark/>
          </w:tcPr>
          <w:p w14:paraId="66768910" w14:textId="77777777" w:rsidR="00C9031D" w:rsidRPr="00C9031D" w:rsidRDefault="00C9031D" w:rsidP="00C9031D">
            <w:pPr>
              <w:spacing w:after="0" w:line="240" w:lineRule="auto"/>
              <w:rPr>
                <w:rFonts w:ascii="Arial" w:eastAsia="Times New Roman" w:hAnsi="Arial" w:cs="Arial"/>
                <w:color w:val="000000"/>
                <w:sz w:val="20"/>
                <w:szCs w:val="20"/>
                <w:lang w:eastAsia="en-IN"/>
              </w:rPr>
            </w:pPr>
            <w:proofErr w:type="spellStart"/>
            <w:r w:rsidRPr="00C9031D">
              <w:rPr>
                <w:rFonts w:ascii="Arial" w:eastAsia="Times New Roman" w:hAnsi="Arial" w:cs="Arial"/>
                <w:color w:val="000000"/>
                <w:sz w:val="20"/>
                <w:szCs w:val="20"/>
                <w:lang w:eastAsia="en-IN"/>
              </w:rPr>
              <w:t>Greenovate</w:t>
            </w:r>
            <w:proofErr w:type="spellEnd"/>
            <w:r w:rsidRPr="00C9031D">
              <w:rPr>
                <w:rFonts w:ascii="Arial" w:eastAsia="Times New Roman" w:hAnsi="Arial" w:cs="Arial"/>
                <w:color w:val="000000"/>
                <w:sz w:val="20"/>
                <w:szCs w:val="20"/>
                <w:lang w:eastAsia="en-IN"/>
              </w:rPr>
              <w:t xml:space="preserve"> 2025 – World Environment Day Innovation Challenge</w:t>
            </w:r>
          </w:p>
        </w:tc>
        <w:tc>
          <w:tcPr>
            <w:tcW w:w="3975" w:type="dxa"/>
            <w:tcBorders>
              <w:top w:val="nil"/>
              <w:left w:val="nil"/>
              <w:bottom w:val="single" w:sz="4" w:space="0" w:color="000000"/>
              <w:right w:val="single" w:sz="4" w:space="0" w:color="000000"/>
            </w:tcBorders>
            <w:shd w:val="clear" w:color="auto" w:fill="auto"/>
            <w:vAlign w:val="center"/>
            <w:hideMark/>
          </w:tcPr>
          <w:p w14:paraId="6C751CDA" w14:textId="656AC681"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A platform to spotlight student-led innovations in sustainability. The event aimed to nurture early-stage ideas with potential for real-world impact and align them with</w:t>
            </w:r>
            <w:r w:rsidR="000D124D">
              <w:rPr>
                <w:rFonts w:ascii="Arial" w:eastAsia="Times New Roman" w:hAnsi="Arial" w:cs="Arial"/>
                <w:color w:val="000000"/>
                <w:sz w:val="20"/>
                <w:szCs w:val="20"/>
                <w:lang w:eastAsia="en-IN"/>
              </w:rPr>
              <w:t xml:space="preserve"> </w:t>
            </w:r>
            <w:r w:rsidRPr="00C9031D">
              <w:rPr>
                <w:rFonts w:ascii="Arial" w:eastAsia="Times New Roman" w:hAnsi="Arial" w:cs="Arial"/>
                <w:color w:val="000000"/>
                <w:sz w:val="20"/>
                <w:szCs w:val="20"/>
                <w:lang w:eastAsia="en-IN"/>
              </w:rPr>
              <w:t>IIT Bombay’s broader sustainability goals.</w:t>
            </w:r>
          </w:p>
        </w:tc>
        <w:tc>
          <w:tcPr>
            <w:tcW w:w="1747" w:type="dxa"/>
            <w:tcBorders>
              <w:top w:val="nil"/>
              <w:left w:val="nil"/>
              <w:bottom w:val="single" w:sz="4" w:space="0" w:color="000000"/>
              <w:right w:val="single" w:sz="4" w:space="0" w:color="000000"/>
            </w:tcBorders>
            <w:shd w:val="clear" w:color="auto" w:fill="auto"/>
            <w:vAlign w:val="center"/>
            <w:hideMark/>
          </w:tcPr>
          <w:p w14:paraId="63E0C291"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5 June 2025</w:t>
            </w:r>
          </w:p>
        </w:tc>
        <w:tc>
          <w:tcPr>
            <w:tcW w:w="2440" w:type="dxa"/>
            <w:tcBorders>
              <w:top w:val="nil"/>
              <w:left w:val="nil"/>
              <w:bottom w:val="single" w:sz="4" w:space="0" w:color="000000"/>
              <w:right w:val="single" w:sz="4" w:space="0" w:color="000000"/>
            </w:tcBorders>
            <w:shd w:val="clear" w:color="auto" w:fill="auto"/>
            <w:vAlign w:val="center"/>
            <w:hideMark/>
          </w:tcPr>
          <w:p w14:paraId="409519C1"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GESH IITB, Centre for Climate Studies, ESED, DSSE, IIC</w:t>
            </w:r>
          </w:p>
        </w:tc>
        <w:tc>
          <w:tcPr>
            <w:tcW w:w="1671" w:type="dxa"/>
            <w:tcBorders>
              <w:top w:val="nil"/>
              <w:left w:val="nil"/>
              <w:bottom w:val="single" w:sz="4" w:space="0" w:color="000000"/>
              <w:right w:val="single" w:sz="4" w:space="0" w:color="000000"/>
            </w:tcBorders>
            <w:shd w:val="clear" w:color="auto" w:fill="auto"/>
            <w:vAlign w:val="center"/>
            <w:hideMark/>
          </w:tcPr>
          <w:p w14:paraId="3309DC3A"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21</w:t>
            </w:r>
          </w:p>
        </w:tc>
        <w:tc>
          <w:tcPr>
            <w:tcW w:w="1631" w:type="dxa"/>
            <w:tcBorders>
              <w:top w:val="nil"/>
              <w:left w:val="nil"/>
              <w:bottom w:val="single" w:sz="4" w:space="0" w:color="000000"/>
              <w:right w:val="single" w:sz="4" w:space="0" w:color="000000"/>
            </w:tcBorders>
            <w:shd w:val="clear" w:color="auto" w:fill="auto"/>
            <w:vAlign w:val="center"/>
            <w:hideMark/>
          </w:tcPr>
          <w:p w14:paraId="1C52721E"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1–4 members per team</w:t>
            </w:r>
          </w:p>
        </w:tc>
        <w:tc>
          <w:tcPr>
            <w:tcW w:w="1543" w:type="dxa"/>
            <w:tcBorders>
              <w:top w:val="nil"/>
              <w:left w:val="nil"/>
              <w:bottom w:val="single" w:sz="4" w:space="0" w:color="000000"/>
              <w:right w:val="single" w:sz="4" w:space="0" w:color="000000"/>
            </w:tcBorders>
            <w:shd w:val="clear" w:color="auto" w:fill="auto"/>
            <w:vAlign w:val="center"/>
            <w:hideMark/>
          </w:tcPr>
          <w:p w14:paraId="21F0A298"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31</w:t>
            </w:r>
          </w:p>
        </w:tc>
        <w:tc>
          <w:tcPr>
            <w:tcW w:w="1183" w:type="dxa"/>
            <w:tcBorders>
              <w:top w:val="nil"/>
              <w:left w:val="nil"/>
              <w:bottom w:val="single" w:sz="4" w:space="0" w:color="000000"/>
              <w:right w:val="single" w:sz="4" w:space="0" w:color="000000"/>
            </w:tcBorders>
            <w:shd w:val="clear" w:color="auto" w:fill="auto"/>
            <w:vAlign w:val="center"/>
            <w:hideMark/>
          </w:tcPr>
          <w:p w14:paraId="279A75D1"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50</w:t>
            </w:r>
          </w:p>
        </w:tc>
      </w:tr>
      <w:tr w:rsidR="00C9031D" w:rsidRPr="00C9031D" w14:paraId="15D117CA" w14:textId="77777777" w:rsidTr="000D124D">
        <w:trPr>
          <w:trHeight w:val="508"/>
        </w:trPr>
        <w:tc>
          <w:tcPr>
            <w:tcW w:w="1791" w:type="dxa"/>
            <w:tcBorders>
              <w:top w:val="nil"/>
              <w:left w:val="single" w:sz="4" w:space="0" w:color="000000"/>
              <w:bottom w:val="single" w:sz="4" w:space="0" w:color="000000"/>
              <w:right w:val="single" w:sz="4" w:space="0" w:color="000000"/>
            </w:tcBorders>
            <w:shd w:val="clear" w:color="auto" w:fill="auto"/>
            <w:vAlign w:val="center"/>
            <w:hideMark/>
          </w:tcPr>
          <w:p w14:paraId="6EE94A4D"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HPCL-IITB Energy Transition Challenge</w:t>
            </w:r>
          </w:p>
        </w:tc>
        <w:tc>
          <w:tcPr>
            <w:tcW w:w="3975" w:type="dxa"/>
            <w:tcBorders>
              <w:top w:val="nil"/>
              <w:left w:val="nil"/>
              <w:bottom w:val="single" w:sz="4" w:space="0" w:color="000000"/>
              <w:right w:val="single" w:sz="4" w:space="0" w:color="000000"/>
            </w:tcBorders>
            <w:shd w:val="clear" w:color="auto" w:fill="auto"/>
            <w:vAlign w:val="center"/>
            <w:hideMark/>
          </w:tcPr>
          <w:p w14:paraId="06D46CC7"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Designed to bring together students, </w:t>
            </w:r>
            <w:proofErr w:type="spellStart"/>
            <w:r w:rsidRPr="00C9031D">
              <w:rPr>
                <w:rFonts w:ascii="Arial" w:eastAsia="Times New Roman" w:hAnsi="Arial" w:cs="Arial"/>
                <w:color w:val="000000"/>
                <w:sz w:val="20"/>
                <w:szCs w:val="20"/>
                <w:lang w:eastAsia="en-IN"/>
              </w:rPr>
              <w:t>startups</w:t>
            </w:r>
            <w:proofErr w:type="spellEnd"/>
            <w:r w:rsidRPr="00C9031D">
              <w:rPr>
                <w:rFonts w:ascii="Arial" w:eastAsia="Times New Roman" w:hAnsi="Arial" w:cs="Arial"/>
                <w:color w:val="000000"/>
                <w:sz w:val="20"/>
                <w:szCs w:val="20"/>
                <w:lang w:eastAsia="en-IN"/>
              </w:rPr>
              <w:t>, researchers, and HPCL professionals to co-create practical and scalable solutions for decarbonizing refinery operations and advancing the net-zero transition.</w:t>
            </w:r>
            <w:r w:rsidRPr="00C9031D">
              <w:rPr>
                <w:rFonts w:ascii="Arial" w:eastAsia="Times New Roman" w:hAnsi="Arial" w:cs="Arial"/>
                <w:color w:val="000000"/>
                <w:sz w:val="20"/>
                <w:szCs w:val="20"/>
                <w:lang w:eastAsia="en-IN"/>
              </w:rPr>
              <w:br/>
              <w:t xml:space="preserve">Focused on key themes including refinery decarbonization, future fuels, digital </w:t>
            </w:r>
            <w:r w:rsidRPr="00C9031D">
              <w:rPr>
                <w:rFonts w:ascii="Arial" w:eastAsia="Times New Roman" w:hAnsi="Arial" w:cs="Arial"/>
                <w:color w:val="000000"/>
                <w:sz w:val="20"/>
                <w:szCs w:val="20"/>
                <w:lang w:eastAsia="en-IN"/>
              </w:rPr>
              <w:lastRenderedPageBreak/>
              <w:t>innovation, sustainable mobility, and energy transition technologies.</w:t>
            </w:r>
          </w:p>
        </w:tc>
        <w:tc>
          <w:tcPr>
            <w:tcW w:w="1747" w:type="dxa"/>
            <w:tcBorders>
              <w:top w:val="nil"/>
              <w:left w:val="nil"/>
              <w:bottom w:val="single" w:sz="4" w:space="0" w:color="000000"/>
              <w:right w:val="single" w:sz="4" w:space="0" w:color="000000"/>
            </w:tcBorders>
            <w:shd w:val="clear" w:color="auto" w:fill="auto"/>
            <w:vAlign w:val="center"/>
            <w:hideMark/>
          </w:tcPr>
          <w:p w14:paraId="1E5DCB10"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lastRenderedPageBreak/>
              <w:t>30 Aug 2025</w:t>
            </w:r>
          </w:p>
        </w:tc>
        <w:tc>
          <w:tcPr>
            <w:tcW w:w="2440" w:type="dxa"/>
            <w:tcBorders>
              <w:top w:val="nil"/>
              <w:left w:val="nil"/>
              <w:bottom w:val="single" w:sz="4" w:space="0" w:color="000000"/>
              <w:right w:val="single" w:sz="4" w:space="0" w:color="000000"/>
            </w:tcBorders>
            <w:shd w:val="clear" w:color="auto" w:fill="auto"/>
            <w:vAlign w:val="center"/>
            <w:hideMark/>
          </w:tcPr>
          <w:p w14:paraId="0F43E435"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HPCL, </w:t>
            </w:r>
            <w:proofErr w:type="spellStart"/>
            <w:r w:rsidRPr="00C9031D">
              <w:rPr>
                <w:rFonts w:ascii="Arial" w:eastAsia="Times New Roman" w:hAnsi="Arial" w:cs="Arial"/>
                <w:color w:val="000000"/>
                <w:sz w:val="20"/>
                <w:szCs w:val="20"/>
                <w:lang w:eastAsia="en-IN"/>
              </w:rPr>
              <w:t>CoE</w:t>
            </w:r>
            <w:proofErr w:type="spellEnd"/>
            <w:r w:rsidRPr="00C9031D">
              <w:rPr>
                <w:rFonts w:ascii="Arial" w:eastAsia="Times New Roman" w:hAnsi="Arial" w:cs="Arial"/>
                <w:color w:val="000000"/>
                <w:sz w:val="20"/>
                <w:szCs w:val="20"/>
                <w:lang w:eastAsia="en-IN"/>
              </w:rPr>
              <w:t>–OGE IIT Bombay, GESH IITB</w:t>
            </w:r>
          </w:p>
        </w:tc>
        <w:tc>
          <w:tcPr>
            <w:tcW w:w="1671" w:type="dxa"/>
            <w:tcBorders>
              <w:top w:val="nil"/>
              <w:left w:val="nil"/>
              <w:bottom w:val="single" w:sz="4" w:space="0" w:color="000000"/>
              <w:right w:val="single" w:sz="4" w:space="0" w:color="000000"/>
            </w:tcBorders>
            <w:shd w:val="clear" w:color="auto" w:fill="auto"/>
            <w:vAlign w:val="center"/>
            <w:hideMark/>
          </w:tcPr>
          <w:p w14:paraId="3A966BFE"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54</w:t>
            </w:r>
          </w:p>
        </w:tc>
        <w:tc>
          <w:tcPr>
            <w:tcW w:w="1631" w:type="dxa"/>
            <w:tcBorders>
              <w:top w:val="nil"/>
              <w:left w:val="nil"/>
              <w:bottom w:val="single" w:sz="4" w:space="0" w:color="000000"/>
              <w:right w:val="single" w:sz="4" w:space="0" w:color="000000"/>
            </w:tcBorders>
            <w:shd w:val="clear" w:color="auto" w:fill="auto"/>
            <w:vAlign w:val="center"/>
            <w:hideMark/>
          </w:tcPr>
          <w:p w14:paraId="37B9C597"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1–4 members per team</w:t>
            </w:r>
          </w:p>
        </w:tc>
        <w:tc>
          <w:tcPr>
            <w:tcW w:w="1543" w:type="dxa"/>
            <w:tcBorders>
              <w:top w:val="nil"/>
              <w:left w:val="nil"/>
              <w:bottom w:val="single" w:sz="4" w:space="0" w:color="000000"/>
              <w:right w:val="single" w:sz="4" w:space="0" w:color="000000"/>
            </w:tcBorders>
            <w:shd w:val="clear" w:color="auto" w:fill="auto"/>
            <w:vAlign w:val="center"/>
            <w:hideMark/>
          </w:tcPr>
          <w:p w14:paraId="6CDE1548"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126</w:t>
            </w:r>
          </w:p>
        </w:tc>
        <w:tc>
          <w:tcPr>
            <w:tcW w:w="1183" w:type="dxa"/>
            <w:tcBorders>
              <w:top w:val="nil"/>
              <w:left w:val="nil"/>
              <w:bottom w:val="single" w:sz="4" w:space="0" w:color="000000"/>
              <w:right w:val="single" w:sz="4" w:space="0" w:color="000000"/>
            </w:tcBorders>
            <w:shd w:val="clear" w:color="auto" w:fill="auto"/>
            <w:vAlign w:val="center"/>
            <w:hideMark/>
          </w:tcPr>
          <w:p w14:paraId="1EE36CC9"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75</w:t>
            </w:r>
          </w:p>
        </w:tc>
      </w:tr>
      <w:tr w:rsidR="00C9031D" w:rsidRPr="00C9031D" w14:paraId="19F9F2A5" w14:textId="77777777" w:rsidTr="00C9031D">
        <w:trPr>
          <w:trHeight w:val="3432"/>
        </w:trPr>
        <w:tc>
          <w:tcPr>
            <w:tcW w:w="1791" w:type="dxa"/>
            <w:tcBorders>
              <w:top w:val="nil"/>
              <w:left w:val="single" w:sz="4" w:space="0" w:color="000000"/>
              <w:bottom w:val="single" w:sz="4" w:space="0" w:color="000000"/>
              <w:right w:val="single" w:sz="4" w:space="0" w:color="000000"/>
            </w:tcBorders>
            <w:shd w:val="clear" w:color="auto" w:fill="auto"/>
            <w:vAlign w:val="center"/>
            <w:hideMark/>
          </w:tcPr>
          <w:p w14:paraId="118A5FC6"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IITB–IOCL Product Innovation Hackathon</w:t>
            </w:r>
          </w:p>
        </w:tc>
        <w:tc>
          <w:tcPr>
            <w:tcW w:w="3975" w:type="dxa"/>
            <w:tcBorders>
              <w:top w:val="nil"/>
              <w:left w:val="nil"/>
              <w:bottom w:val="single" w:sz="4" w:space="0" w:color="000000"/>
              <w:right w:val="single" w:sz="4" w:space="0" w:color="000000"/>
            </w:tcBorders>
            <w:shd w:val="clear" w:color="auto" w:fill="auto"/>
            <w:vAlign w:val="center"/>
            <w:hideMark/>
          </w:tcPr>
          <w:p w14:paraId="0488FC09"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Focused on enhancing the </w:t>
            </w:r>
            <w:proofErr w:type="spellStart"/>
            <w:r w:rsidRPr="00C9031D">
              <w:rPr>
                <w:rFonts w:ascii="Arial" w:eastAsia="Times New Roman" w:hAnsi="Arial" w:cs="Arial"/>
                <w:color w:val="000000"/>
                <w:sz w:val="20"/>
                <w:szCs w:val="20"/>
                <w:lang w:eastAsia="en-IN"/>
              </w:rPr>
              <w:t>SuryaNutan</w:t>
            </w:r>
            <w:proofErr w:type="spellEnd"/>
            <w:r w:rsidRPr="00C9031D">
              <w:rPr>
                <w:rFonts w:ascii="Arial" w:eastAsia="Times New Roman" w:hAnsi="Arial" w:cs="Arial"/>
                <w:color w:val="000000"/>
                <w:sz w:val="20"/>
                <w:szCs w:val="20"/>
                <w:lang w:eastAsia="en-IN"/>
              </w:rPr>
              <w:t xml:space="preserve"> Indoor Solar Cooking System, an innovative clean cooking solution developed by IOCL.</w:t>
            </w:r>
            <w:r w:rsidRPr="00C9031D">
              <w:rPr>
                <w:rFonts w:ascii="Arial" w:eastAsia="Times New Roman" w:hAnsi="Arial" w:cs="Arial"/>
                <w:color w:val="000000"/>
                <w:sz w:val="20"/>
                <w:szCs w:val="20"/>
                <w:lang w:eastAsia="en-IN"/>
              </w:rPr>
              <w:br/>
              <w:t>Engaged IIT Bombay students from diverse disciplines to develop practical and scalable product innovations.</w:t>
            </w:r>
            <w:r w:rsidRPr="00C9031D">
              <w:rPr>
                <w:rFonts w:ascii="Arial" w:eastAsia="Times New Roman" w:hAnsi="Arial" w:cs="Arial"/>
                <w:color w:val="000000"/>
                <w:sz w:val="20"/>
                <w:szCs w:val="20"/>
                <w:lang w:eastAsia="en-IN"/>
              </w:rPr>
              <w:br/>
              <w:t>Addressed two challenge tracks: Operational Efficiency &amp; Cost Reduction and Design &amp; Usability</w:t>
            </w:r>
            <w:r w:rsidRPr="00C9031D">
              <w:rPr>
                <w:rFonts w:ascii="Arial" w:eastAsia="Times New Roman" w:hAnsi="Arial" w:cs="Arial"/>
                <w:color w:val="000000"/>
                <w:sz w:val="20"/>
                <w:szCs w:val="20"/>
                <w:lang w:eastAsia="en-IN"/>
              </w:rPr>
              <w:br/>
              <w:t xml:space="preserve">Launched on 10 March 2026 with a prototype demonstration and technical briefing by the IOCL R&amp;D team. </w:t>
            </w:r>
            <w:r w:rsidRPr="00C9031D">
              <w:rPr>
                <w:rFonts w:ascii="Arial" w:eastAsia="Times New Roman" w:hAnsi="Arial" w:cs="Arial"/>
                <w:color w:val="000000"/>
                <w:sz w:val="20"/>
                <w:szCs w:val="20"/>
                <w:lang w:eastAsia="en-IN"/>
              </w:rPr>
              <w:br/>
              <w:t>Conducted a dedicated participant interaction session for technical clarifications, feedback, and mentoring support on 8 April.</w:t>
            </w:r>
            <w:r w:rsidRPr="00C9031D">
              <w:rPr>
                <w:rFonts w:ascii="Arial" w:eastAsia="Times New Roman" w:hAnsi="Arial" w:cs="Arial"/>
                <w:color w:val="000000"/>
                <w:sz w:val="20"/>
                <w:szCs w:val="20"/>
                <w:lang w:eastAsia="en-IN"/>
              </w:rPr>
              <w:br/>
              <w:t>Report submissions were made on 15 May. Reports were evaluated and six shortlisted teams were selected for the final round based on solution quality and innovation potential and presented on 16 June.</w:t>
            </w:r>
          </w:p>
        </w:tc>
        <w:tc>
          <w:tcPr>
            <w:tcW w:w="1747" w:type="dxa"/>
            <w:tcBorders>
              <w:top w:val="nil"/>
              <w:left w:val="nil"/>
              <w:bottom w:val="single" w:sz="4" w:space="0" w:color="000000"/>
              <w:right w:val="single" w:sz="4" w:space="0" w:color="000000"/>
            </w:tcBorders>
            <w:shd w:val="clear" w:color="auto" w:fill="auto"/>
            <w:vAlign w:val="center"/>
            <w:hideMark/>
          </w:tcPr>
          <w:p w14:paraId="1639953A"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16 April 2026</w:t>
            </w:r>
          </w:p>
        </w:tc>
        <w:tc>
          <w:tcPr>
            <w:tcW w:w="2440" w:type="dxa"/>
            <w:tcBorders>
              <w:top w:val="nil"/>
              <w:left w:val="nil"/>
              <w:bottom w:val="single" w:sz="4" w:space="0" w:color="000000"/>
              <w:right w:val="single" w:sz="4" w:space="0" w:color="000000"/>
            </w:tcBorders>
            <w:shd w:val="clear" w:color="auto" w:fill="auto"/>
            <w:vAlign w:val="center"/>
            <w:hideMark/>
          </w:tcPr>
          <w:p w14:paraId="3A1E8F23"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IOCL, </w:t>
            </w:r>
            <w:proofErr w:type="spellStart"/>
            <w:r w:rsidRPr="00C9031D">
              <w:rPr>
                <w:rFonts w:ascii="Arial" w:eastAsia="Times New Roman" w:hAnsi="Arial" w:cs="Arial"/>
                <w:color w:val="000000"/>
                <w:sz w:val="20"/>
                <w:szCs w:val="20"/>
                <w:lang w:eastAsia="en-IN"/>
              </w:rPr>
              <w:t>CoE</w:t>
            </w:r>
            <w:proofErr w:type="spellEnd"/>
            <w:r w:rsidRPr="00C9031D">
              <w:rPr>
                <w:rFonts w:ascii="Arial" w:eastAsia="Times New Roman" w:hAnsi="Arial" w:cs="Arial"/>
                <w:color w:val="000000"/>
                <w:sz w:val="20"/>
                <w:szCs w:val="20"/>
                <w:lang w:eastAsia="en-IN"/>
              </w:rPr>
              <w:t>–OGE IIT Bombay, GESH IITB</w:t>
            </w:r>
          </w:p>
        </w:tc>
        <w:tc>
          <w:tcPr>
            <w:tcW w:w="1671" w:type="dxa"/>
            <w:tcBorders>
              <w:top w:val="nil"/>
              <w:left w:val="nil"/>
              <w:bottom w:val="single" w:sz="4" w:space="0" w:color="000000"/>
              <w:right w:val="single" w:sz="4" w:space="0" w:color="000000"/>
            </w:tcBorders>
            <w:shd w:val="clear" w:color="auto" w:fill="auto"/>
            <w:vAlign w:val="center"/>
            <w:hideMark/>
          </w:tcPr>
          <w:p w14:paraId="41660CFA"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60</w:t>
            </w:r>
          </w:p>
        </w:tc>
        <w:tc>
          <w:tcPr>
            <w:tcW w:w="1631" w:type="dxa"/>
            <w:tcBorders>
              <w:top w:val="nil"/>
              <w:left w:val="nil"/>
              <w:bottom w:val="single" w:sz="4" w:space="0" w:color="000000"/>
              <w:right w:val="single" w:sz="4" w:space="0" w:color="000000"/>
            </w:tcBorders>
            <w:shd w:val="clear" w:color="auto" w:fill="auto"/>
            <w:vAlign w:val="center"/>
            <w:hideMark/>
          </w:tcPr>
          <w:p w14:paraId="030CB5CE"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1–4 members per team</w:t>
            </w:r>
          </w:p>
        </w:tc>
        <w:tc>
          <w:tcPr>
            <w:tcW w:w="1543" w:type="dxa"/>
            <w:tcBorders>
              <w:top w:val="nil"/>
              <w:left w:val="nil"/>
              <w:bottom w:val="single" w:sz="4" w:space="0" w:color="000000"/>
              <w:right w:val="single" w:sz="4" w:space="0" w:color="000000"/>
            </w:tcBorders>
            <w:shd w:val="clear" w:color="auto" w:fill="auto"/>
            <w:vAlign w:val="center"/>
            <w:hideMark/>
          </w:tcPr>
          <w:p w14:paraId="19A7514B"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85</w:t>
            </w:r>
          </w:p>
        </w:tc>
        <w:tc>
          <w:tcPr>
            <w:tcW w:w="1183" w:type="dxa"/>
            <w:tcBorders>
              <w:top w:val="nil"/>
              <w:left w:val="nil"/>
              <w:bottom w:val="single" w:sz="4" w:space="0" w:color="000000"/>
              <w:right w:val="single" w:sz="4" w:space="0" w:color="000000"/>
            </w:tcBorders>
            <w:shd w:val="clear" w:color="auto" w:fill="auto"/>
            <w:vAlign w:val="center"/>
            <w:hideMark/>
          </w:tcPr>
          <w:p w14:paraId="42E6593B" w14:textId="77777777" w:rsidR="00C9031D" w:rsidRPr="00C9031D" w:rsidRDefault="00C9031D" w:rsidP="00C9031D">
            <w:pPr>
              <w:spacing w:after="0" w:line="240" w:lineRule="auto"/>
              <w:rPr>
                <w:rFonts w:ascii="Arial" w:eastAsia="Times New Roman" w:hAnsi="Arial" w:cs="Arial"/>
                <w:color w:val="000000"/>
                <w:sz w:val="20"/>
                <w:szCs w:val="20"/>
                <w:lang w:eastAsia="en-IN"/>
              </w:rPr>
            </w:pPr>
            <w:r w:rsidRPr="00C9031D">
              <w:rPr>
                <w:rFonts w:ascii="Arial" w:eastAsia="Times New Roman" w:hAnsi="Arial" w:cs="Arial"/>
                <w:color w:val="000000"/>
                <w:sz w:val="20"/>
                <w:szCs w:val="20"/>
                <w:lang w:eastAsia="en-IN"/>
              </w:rPr>
              <w:t xml:space="preserve">NDA Signing - 60 </w:t>
            </w:r>
          </w:p>
        </w:tc>
      </w:tr>
    </w:tbl>
    <w:p w14:paraId="2F08AFEF" w14:textId="421E5584" w:rsidR="00C9031D" w:rsidRDefault="00C9031D" w:rsidP="00C9031D">
      <w:pPr>
        <w:rPr>
          <w:lang w:val="en-US"/>
        </w:rPr>
      </w:pPr>
    </w:p>
    <w:p w14:paraId="20C385CB" w14:textId="3CECD831" w:rsidR="00533CF5" w:rsidRDefault="00533CF5" w:rsidP="00C9031D">
      <w:pPr>
        <w:rPr>
          <w:lang w:val="en-US"/>
        </w:rPr>
      </w:pPr>
      <w:r w:rsidRPr="00533CF5">
        <w:rPr>
          <w:noProof/>
          <w:lang w:val="en-US"/>
        </w:rPr>
        <w:lastRenderedPageBreak/>
        <w:drawing>
          <wp:inline distT="0" distB="0" distL="0" distR="0" wp14:anchorId="2BA8AE8D" wp14:editId="013D144B">
            <wp:extent cx="5265876" cy="2057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5876" cy="2057578"/>
                    </a:xfrm>
                    <a:prstGeom prst="rect">
                      <a:avLst/>
                    </a:prstGeom>
                  </pic:spPr>
                </pic:pic>
              </a:graphicData>
            </a:graphic>
          </wp:inline>
        </w:drawing>
      </w:r>
      <w:r>
        <w:rPr>
          <w:lang w:val="en-US"/>
        </w:rPr>
        <w:t xml:space="preserve">     </w:t>
      </w:r>
      <w:r w:rsidRPr="00533CF5">
        <w:rPr>
          <w:noProof/>
          <w:lang w:val="en-US"/>
        </w:rPr>
        <w:drawing>
          <wp:inline distT="0" distB="0" distL="0" distR="0" wp14:anchorId="60FFB029" wp14:editId="4C15FADF">
            <wp:extent cx="2994920" cy="2080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94920" cy="2080440"/>
                    </a:xfrm>
                    <a:prstGeom prst="rect">
                      <a:avLst/>
                    </a:prstGeom>
                  </pic:spPr>
                </pic:pic>
              </a:graphicData>
            </a:graphic>
          </wp:inline>
        </w:drawing>
      </w:r>
    </w:p>
    <w:p w14:paraId="7D6A0C6B" w14:textId="62B94444" w:rsidR="00533CF5" w:rsidRPr="00C9031D" w:rsidRDefault="00533CF5" w:rsidP="00C9031D">
      <w:pPr>
        <w:rPr>
          <w:lang w:val="en-US"/>
        </w:rPr>
      </w:pPr>
      <w:r w:rsidRPr="00533CF5">
        <w:rPr>
          <w:noProof/>
          <w:lang w:val="en-US"/>
        </w:rPr>
        <w:drawing>
          <wp:inline distT="0" distB="0" distL="0" distR="0" wp14:anchorId="1A356ED5" wp14:editId="0EE9A6C4">
            <wp:extent cx="2987299" cy="206519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87299" cy="2065199"/>
                    </a:xfrm>
                    <a:prstGeom prst="rect">
                      <a:avLst/>
                    </a:prstGeom>
                  </pic:spPr>
                </pic:pic>
              </a:graphicData>
            </a:graphic>
          </wp:inline>
        </w:drawing>
      </w:r>
      <w:r>
        <w:rPr>
          <w:lang w:val="en-US"/>
        </w:rPr>
        <w:t xml:space="preserve">      </w:t>
      </w:r>
      <w:r w:rsidRPr="00533CF5">
        <w:rPr>
          <w:noProof/>
          <w:lang w:val="en-US"/>
        </w:rPr>
        <w:drawing>
          <wp:inline distT="0" distB="0" distL="0" distR="0" wp14:anchorId="2D51DCA7" wp14:editId="388ACD2F">
            <wp:extent cx="2690093" cy="1303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0093" cy="1303133"/>
                    </a:xfrm>
                    <a:prstGeom prst="rect">
                      <a:avLst/>
                    </a:prstGeom>
                  </pic:spPr>
                </pic:pic>
              </a:graphicData>
            </a:graphic>
          </wp:inline>
        </w:drawing>
      </w:r>
      <w:r>
        <w:rPr>
          <w:lang w:val="en-US"/>
        </w:rPr>
        <w:t xml:space="preserve">      </w:t>
      </w:r>
      <w:r w:rsidRPr="00533CF5">
        <w:rPr>
          <w:noProof/>
          <w:lang w:val="en-US"/>
        </w:rPr>
        <w:drawing>
          <wp:inline distT="0" distB="0" distL="0" distR="0" wp14:anchorId="1321906F" wp14:editId="09AEB337">
            <wp:extent cx="2720576" cy="131837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20576" cy="1318374"/>
                    </a:xfrm>
                    <a:prstGeom prst="rect">
                      <a:avLst/>
                    </a:prstGeom>
                  </pic:spPr>
                </pic:pic>
              </a:graphicData>
            </a:graphic>
          </wp:inline>
        </w:drawing>
      </w:r>
      <w:r w:rsidR="00D143C0">
        <w:rPr>
          <w:lang w:val="en-US"/>
        </w:rPr>
        <w:t>s</w:t>
      </w:r>
    </w:p>
    <w:sectPr w:rsidR="00533CF5" w:rsidRPr="00C9031D" w:rsidSect="00C9031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60BC0"/>
    <w:multiLevelType w:val="hybridMultilevel"/>
    <w:tmpl w:val="BFD83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160"/>
    <w:rsid w:val="000A4A6D"/>
    <w:rsid w:val="000D124D"/>
    <w:rsid w:val="001F20E3"/>
    <w:rsid w:val="002945C1"/>
    <w:rsid w:val="00482D90"/>
    <w:rsid w:val="004C67C2"/>
    <w:rsid w:val="00514160"/>
    <w:rsid w:val="00533CF5"/>
    <w:rsid w:val="007E065F"/>
    <w:rsid w:val="008A072B"/>
    <w:rsid w:val="00C9031D"/>
    <w:rsid w:val="00D143C0"/>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5652"/>
  <w15:chartTrackingRefBased/>
  <w15:docId w15:val="{B6975B29-12F9-4C99-ACF2-6307DD4E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IN" w:eastAsia="en-US" w:bidi="as-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3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639245">
      <w:bodyDiv w:val="1"/>
      <w:marLeft w:val="0"/>
      <w:marRight w:val="0"/>
      <w:marTop w:val="0"/>
      <w:marBottom w:val="0"/>
      <w:divBdr>
        <w:top w:val="none" w:sz="0" w:space="0" w:color="auto"/>
        <w:left w:val="none" w:sz="0" w:space="0" w:color="auto"/>
        <w:bottom w:val="none" w:sz="0" w:space="0" w:color="auto"/>
        <w:right w:val="none" w:sz="0" w:space="0" w:color="auto"/>
      </w:divBdr>
    </w:div>
    <w:div w:id="140136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Bombay</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Sreejesh</dc:creator>
  <cp:keywords/>
  <dc:description/>
  <cp:lastModifiedBy>Sreejesh</cp:lastModifiedBy>
  <cp:revision>9</cp:revision>
  <dcterms:created xsi:type="dcterms:W3CDTF">2026-10-07T12:07:00Z</dcterms:created>
  <dcterms:modified xsi:type="dcterms:W3CDTF">2026-10-07T12:46:00Z</dcterms:modified>
</cp:coreProperties>
</file>