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26EBF" w14:textId="10E81083" w:rsidR="00FF4AA8" w:rsidRDefault="00CD332A">
      <w:pPr>
        <w:rPr>
          <w:rFonts w:hint="eastAsia"/>
        </w:rPr>
      </w:pPr>
      <w:r w:rsidRPr="00CD332A">
        <w:rPr>
          <w:rFonts w:hint="eastAsia"/>
        </w:rPr>
        <w:t>基于</w:t>
      </w:r>
      <w:proofErr w:type="spellStart"/>
      <w:r w:rsidRPr="00CD332A">
        <w:rPr>
          <w:rFonts w:hint="eastAsia"/>
        </w:rPr>
        <w:t>Rootdata</w:t>
      </w:r>
      <w:proofErr w:type="spellEnd"/>
      <w:r w:rsidRPr="00CD332A">
        <w:rPr>
          <w:rFonts w:hint="eastAsia"/>
        </w:rPr>
        <w:t>构建的100个虚拟货币项目，通过Neo4j的Bloom工具进行了详细的可视化分析。系统中包含100个虚拟货币节点和15个标签节点，建立了约120条HAS_TAG关系。这些关系展示了虚拟货币与其标签之间的联系，形成了大约8个社区。例如，标签“Infra”连接了5个虚拟货币，而标签“Social”则涵盖了4个项目。能清晰地识别出不同虚拟货币的关系网络，深入了解虚拟货币在生态系统中的位置及其相互影响。比如，标签“Layer1”下的项目通常具有较高的交易速度和去中心化特性，而“Meme”标签下的项目则更注重社区文化和用户参与。</w:t>
      </w:r>
    </w:p>
    <w:sectPr w:rsidR="00FF4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77"/>
    <w:rsid w:val="000E6C77"/>
    <w:rsid w:val="00541264"/>
    <w:rsid w:val="0060547C"/>
    <w:rsid w:val="00C02285"/>
    <w:rsid w:val="00CD332A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06731-64DF-4F9D-ABA6-05584F6A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Bad</dc:creator>
  <cp:keywords/>
  <dc:description/>
  <cp:lastModifiedBy>Kai Bad</cp:lastModifiedBy>
  <cp:revision>3</cp:revision>
  <dcterms:created xsi:type="dcterms:W3CDTF">2024-11-01T14:00:00Z</dcterms:created>
  <dcterms:modified xsi:type="dcterms:W3CDTF">2024-11-01T14:00:00Z</dcterms:modified>
</cp:coreProperties>
</file>