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050"/>
        <w:gridCol w:w="1770"/>
        <w:gridCol w:w="4155"/>
        <w:tblGridChange w:id="0">
          <w:tblGrid>
            <w:gridCol w:w="2385"/>
            <w:gridCol w:w="1050"/>
            <w:gridCol w:w="1770"/>
            <w:gridCol w:w="4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Added Test Cases for Registering, Login,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QA</w:t>
        <w:tab/>
        <w:t xml:space="preserve"> • Quality Assurance through System Testing o Test case description • Environment • Steps • Precondition • Post condition o Basic tests o Alternate path tests o Exception tests o Exhaustive and Random testing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- Create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Create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Data (cse480user///12345678//jchi@oakland.edu)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email to verify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link to get verified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- Login Correctly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Login Fail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incorrect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1590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Remember Password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forget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email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jchi@oakland.edu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resetted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Duplicate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account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jchi@oakland.edu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15906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20.png"/><Relationship Id="rId12" Type="http://schemas.openxmlformats.org/officeDocument/2006/relationships/hyperlink" Target="mailto:jchi@oakland.edu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hyperlink" Target="mailto:jchi@oakland.edu" TargetMode="External"/><Relationship Id="rId14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image" Target="media/image02.png"/><Relationship Id="rId6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