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sz w:val="28"/>
          <w:szCs w:val="28"/>
        </w:rPr>
        <w:t xml:space="preserve">RÉPUBLIQUE DU SÉNÉGAL</w:t>
      </w:r>
    </w:p>
    <w:p>
      <w:pPr>
        <w:spacing w:after="600"/>
        <w:jc w:val="center"/>
      </w:pPr>
      <w:r>
        <w:rPr>
          <w:i/>
          <w:iCs/>
          <w:sz w:val="22"/>
          <w:szCs w:val="22"/>
        </w:rPr>
        <w:t xml:space="preserve">Un Peuple — Un But — Une Foi</w:t>
      </w:r>
    </w:p>
    <w:p>
      <w:pPr>
        <w:pStyle w:val="Title"/>
      </w:pPr>
      <w:r>
        <w:t xml:space="preserve">POLITIQUE DE CONFIDENTIALITÉ</w:t>
      </w:r>
    </w:p>
    <w:p>
      <w:pPr>
        <w:spacing w:after="200"/>
        <w:jc w:val="center"/>
      </w:pPr>
      <w:r>
        <w:rPr>
          <w:b/>
          <w:bCs/>
          <w:color w:val="1B4F72"/>
          <w:sz w:val="32"/>
          <w:szCs w:val="32"/>
        </w:rPr>
        <w:t xml:space="preserve">ET DE PROTECTION DES DONNÉES PERSONNELLES</w:t>
      </w:r>
    </w:p>
    <w:p>
      <w:pPr>
        <w:spacing w:before="400"/>
      </w:pPr>
    </w:p>
    <w:p>
      <w:pPr>
        <w:jc w:val="center"/>
      </w:pPr>
      <w:r>
        <w:rPr>
          <w:b/>
          <w:bCs/>
          <w:sz w:val="28"/>
          <w:szCs w:val="28"/>
        </w:rPr>
        <w:t xml:space="preserve">Application NDORTEL</w:t>
      </w:r>
    </w:p>
    <w:p>
      <w:pPr>
        <w:jc w:val="center"/>
      </w:pPr>
      <w:r>
        <w:rPr>
          <w:i/>
          <w:iCs/>
          <w:sz w:val="24"/>
          <w:szCs w:val="24"/>
        </w:rPr>
        <w:t xml:space="preserve">Système de Gestion de l'État Civil Numérique</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Pr>
          <w:p>
            <w:r>
              <w:rPr>
                <w:b/>
                <w:bCs/>
                <w:sz w:val="20"/>
                <w:szCs w:val="20"/>
              </w:rPr>
              <w:t xml:space="preserve">Version</w:t>
            </w:r>
          </w:p>
        </w:tc>
        <w:tc>
          <w:tcPr>
            <w:tcW w:type="dxa" w:w="6360"/>
            <w:tcBorders>
              <w:top w:val="single" w:color="CCCCCC" w:sz="1"/>
              <w:left w:val="single" w:color="CCCCCC" w:sz="1"/>
              <w:bottom w:val="single" w:color="CCCCCC" w:sz="1"/>
              <w:right w:val="single" w:color="CCCCCC" w:sz="1"/>
            </w:tcBorders>
          </w:tcPr>
          <w:p>
            <w:r>
              <w:rPr>
                <w:sz w:val="20"/>
                <w:szCs w:val="20"/>
              </w:rPr>
              <w:t xml:space="preserve">1.0</w:t>
            </w:r>
          </w:p>
        </w:tc>
      </w:tr>
      <w:tr>
        <w:tc>
          <w:tcPr>
            <w:tcW w:type="dxa" w:w="3000"/>
            <w:tcBorders>
              <w:top w:val="single" w:color="CCCCCC" w:sz="1"/>
              <w:left w:val="single" w:color="CCCCCC" w:sz="1"/>
              <w:bottom w:val="single" w:color="CCCCCC" w:sz="1"/>
              <w:right w:val="single" w:color="CCCCCC" w:sz="1"/>
            </w:tcBorders>
            <w:shd w:fill="E8E8E8" w:val="clear"/>
          </w:tcPr>
          <w:p>
            <w:r>
              <w:rPr>
                <w:b/>
                <w:bCs/>
                <w:sz w:val="20"/>
                <w:szCs w:val="20"/>
              </w:rPr>
              <w:t xml:space="preserve">Date d'effet</w:t>
            </w:r>
          </w:p>
        </w:tc>
        <w:tc>
          <w:tcPr>
            <w:tcW w:type="dxa" w:w="6360"/>
            <w:tcBorders>
              <w:top w:val="single" w:color="CCCCCC" w:sz="1"/>
              <w:left w:val="single" w:color="CCCCCC" w:sz="1"/>
              <w:bottom w:val="single" w:color="CCCCCC" w:sz="1"/>
              <w:right w:val="single" w:color="CCCCCC" w:sz="1"/>
            </w:tcBorders>
          </w:tcPr>
          <w:p>
            <w:r>
              <w:rPr>
                <w:sz w:val="20"/>
                <w:szCs w:val="20"/>
              </w:rPr>
              <w:t xml:space="preserve">27/12/2025</w:t>
            </w:r>
          </w:p>
        </w:tc>
      </w:tr>
      <w:tr>
        <w:tc>
          <w:tcPr>
            <w:tcW w:type="dxa" w:w="3000"/>
            <w:tcBorders>
              <w:top w:val="single" w:color="CCCCCC" w:sz="1"/>
              <w:left w:val="single" w:color="CCCCCC" w:sz="1"/>
              <w:bottom w:val="single" w:color="CCCCCC" w:sz="1"/>
              <w:right w:val="single" w:color="CCCCCC" w:sz="1"/>
            </w:tcBorders>
            <w:shd w:fill="E8E8E8" w:val="clear"/>
          </w:tcPr>
          <w:p>
            <w:r>
              <w:rPr>
                <w:b/>
                <w:bCs/>
                <w:sz w:val="20"/>
                <w:szCs w:val="20"/>
              </w:rPr>
              <w:t xml:space="preserve">Dernière révision</w:t>
            </w:r>
          </w:p>
        </w:tc>
        <w:tc>
          <w:tcPr>
            <w:tcW w:type="dxa" w:w="6360"/>
            <w:tcBorders>
              <w:top w:val="single" w:color="CCCCCC" w:sz="1"/>
              <w:left w:val="single" w:color="CCCCCC" w:sz="1"/>
              <w:bottom w:val="single" w:color="CCCCCC" w:sz="1"/>
              <w:right w:val="single" w:color="CCCCCC" w:sz="1"/>
            </w:tcBorders>
          </w:tcPr>
          <w:p>
            <w:r>
              <w:rPr>
                <w:sz w:val="20"/>
                <w:szCs w:val="20"/>
              </w:rPr>
              <w:t xml:space="preserve">27/12/2025</w:t>
            </w:r>
          </w:p>
        </w:tc>
      </w:tr>
    </w:tbl>
    <w:p>
      <w:r>
        <w:br w:type="page"/>
      </w:r>
    </w:p>
    <w:p>
      <w:pPr>
        <w:pStyle w:val="Heading1"/>
      </w:pPr>
      <w:r>
        <w:t xml:space="preserve">ARTICLE 1 — PRÉAMBULE</w:t>
      </w:r>
    </w:p>
    <w:p>
      <w:pPr>
        <w:spacing w:after="150"/>
      </w:pPr>
      <w:r>
        <w:rPr>
          <w:sz w:val="22"/>
          <w:szCs w:val="22"/>
        </w:rPr>
        <w:t xml:space="preserve">La présente Politique de Confidentialité a pour objet d'informer les personnes concernées sur les conditions dans lesquelles leurs données personnelles sont collectées et traitées dans le cadre de l'utilisation de l'application NDORTEL, système de gestion numérique de l'état civil.</w:t>
      </w:r>
    </w:p>
    <w:p>
      <w:pPr>
        <w:spacing w:after="150"/>
      </w:pPr>
      <w:r>
        <w:rPr>
          <w:sz w:val="22"/>
          <w:szCs w:val="22"/>
        </w:rPr>
        <w:t xml:space="preserve">Cette politique est établie conformément à :</w:t>
      </w:r>
    </w:p>
    <w:p>
      <w:pPr>
        <w:pStyle w:val="ListParagraph"/>
        <w:numPr>
          <w:ilvl w:val="0"/>
          <w:numId w:val="2"/>
        </w:numPr>
      </w:pPr>
      <w:r>
        <w:rPr>
          <w:sz w:val="22"/>
          <w:szCs w:val="22"/>
        </w:rPr>
        <w:t xml:space="preserve">La Loi n° 2008-12 du 25 janvier 2008 portant sur la Protection des Données à Caractère Personnel</w:t>
      </w:r>
    </w:p>
    <w:p>
      <w:pPr>
        <w:pStyle w:val="ListParagraph"/>
        <w:numPr>
          <w:ilvl w:val="0"/>
          <w:numId w:val="2"/>
        </w:numPr>
      </w:pPr>
      <w:r>
        <w:rPr>
          <w:sz w:val="22"/>
          <w:szCs w:val="22"/>
        </w:rPr>
        <w:t xml:space="preserve">Le Décret n° 2008-721 du 30 juin 2008 portant application de la loi sur la protection des données personnelles</w:t>
      </w:r>
    </w:p>
    <w:p>
      <w:pPr>
        <w:pStyle w:val="ListParagraph"/>
        <w:numPr>
          <w:ilvl w:val="0"/>
          <w:numId w:val="2"/>
        </w:numPr>
      </w:pPr>
      <w:r>
        <w:rPr>
          <w:sz w:val="22"/>
          <w:szCs w:val="22"/>
        </w:rPr>
        <w:t xml:space="preserve">La Loi n° 72-61 du 12 juin 1972 portant Code de la Famille du Sénégal</w:t>
      </w:r>
    </w:p>
    <w:p>
      <w:pPr>
        <w:pStyle w:val="ListParagraph"/>
        <w:numPr>
          <w:ilvl w:val="0"/>
          <w:numId w:val="2"/>
        </w:numPr>
      </w:pPr>
      <w:r>
        <w:rPr>
          <w:sz w:val="22"/>
          <w:szCs w:val="22"/>
        </w:rPr>
        <w:t xml:space="preserve">La Loi n° 2018-28 du 12 décembre 2018 portant Code des Communications Électroniques</w:t>
      </w:r>
    </w:p>
    <w:p>
      <w:pPr>
        <w:pStyle w:val="Heading1"/>
      </w:pPr>
      <w:r>
        <w:t xml:space="preserve">ARTICLE 2 — RESPONSABLE DE TRAITEMENT</w:t>
      </w:r>
    </w:p>
    <w:p>
      <w:pPr>
        <w:spacing w:after="150"/>
      </w:pPr>
      <w:r>
        <w:rPr>
          <w:sz w:val="22"/>
          <w:szCs w:val="22"/>
        </w:rPr>
        <w:t xml:space="preserve">Le responsable du traitement des données personnelles collectées via l'application NDORTEL est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Organisme</w:t>
            </w:r>
          </w:p>
        </w:tc>
        <w:tc>
          <w:tcPr>
            <w:tcW w:type="dxa" w:w="6360"/>
            <w:tcBorders>
              <w:top w:val="single" w:color="CCCCCC" w:sz="1"/>
              <w:left w:val="single" w:color="CCCCCC" w:sz="1"/>
              <w:bottom w:val="single" w:color="CCCCCC" w:sz="1"/>
              <w:right w:val="single" w:color="CCCCCC" w:sz="1"/>
            </w:tcBorders>
          </w:tcPr>
          <w:p>
            <w:r>
              <w:rPr>
                <w:sz w:val="20"/>
                <w:szCs w:val="20"/>
              </w:rPr>
              <w:t xml:space="preserve">[Nom de l'organisme]</w:t>
            </w:r>
          </w:p>
        </w:tc>
      </w:tr>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Adresse</w:t>
            </w:r>
          </w:p>
        </w:tc>
        <w:tc>
          <w:tcPr>
            <w:tcW w:type="dxa" w:w="6360"/>
            <w:tcBorders>
              <w:top w:val="single" w:color="CCCCCC" w:sz="1"/>
              <w:left w:val="single" w:color="CCCCCC" w:sz="1"/>
              <w:bottom w:val="single" w:color="CCCCCC" w:sz="1"/>
              <w:right w:val="single" w:color="CCCCCC" w:sz="1"/>
            </w:tcBorders>
          </w:tcPr>
          <w:p>
            <w:r>
              <w:rPr>
                <w:sz w:val="20"/>
                <w:szCs w:val="20"/>
              </w:rPr>
              <w:t xml:space="preserve">[Adresse complète], Dakar, Sénégal</w:t>
            </w:r>
          </w:p>
        </w:tc>
      </w:tr>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Email</w:t>
            </w:r>
          </w:p>
        </w:tc>
        <w:tc>
          <w:tcPr>
            <w:tcW w:type="dxa" w:w="6360"/>
            <w:tcBorders>
              <w:top w:val="single" w:color="CCCCCC" w:sz="1"/>
              <w:left w:val="single" w:color="CCCCCC" w:sz="1"/>
              <w:bottom w:val="single" w:color="CCCCCC" w:sz="1"/>
              <w:right w:val="single" w:color="CCCCCC" w:sz="1"/>
            </w:tcBorders>
          </w:tcPr>
          <w:p>
            <w:r>
              <w:rPr>
                <w:sz w:val="20"/>
                <w:szCs w:val="20"/>
              </w:rPr>
              <w:t xml:space="preserve">contact@ndortel.sn</w:t>
            </w:r>
          </w:p>
        </w:tc>
      </w:tr>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DPO</w:t>
            </w:r>
          </w:p>
        </w:tc>
        <w:tc>
          <w:tcPr>
            <w:tcW w:type="dxa" w:w="6360"/>
            <w:tcBorders>
              <w:top w:val="single" w:color="CCCCCC" w:sz="1"/>
              <w:left w:val="single" w:color="CCCCCC" w:sz="1"/>
              <w:bottom w:val="single" w:color="CCCCCC" w:sz="1"/>
              <w:right w:val="single" w:color="CCCCCC" w:sz="1"/>
            </w:tcBorders>
          </w:tcPr>
          <w:p>
            <w:r>
              <w:rPr>
                <w:sz w:val="20"/>
                <w:szCs w:val="20"/>
              </w:rPr>
              <w:t xml:space="preserve">dpo@ndortel.sn</w:t>
            </w:r>
          </w:p>
        </w:tc>
      </w:tr>
    </w:tbl>
    <w:p>
      <w:pPr>
        <w:pStyle w:val="Heading1"/>
      </w:pPr>
      <w:r>
        <w:t xml:space="preserve">ARTICLE 3 — DONNÉES COLLECTÉES</w:t>
      </w:r>
    </w:p>
    <w:p>
      <w:pPr>
        <w:pStyle w:val="Heading2"/>
      </w:pPr>
      <w:r>
        <w:t xml:space="preserve">3.1 Données relatives aux actes d'état civil</w:t>
      </w:r>
    </w:p>
    <w:p>
      <w:pPr>
        <w:pStyle w:val="ListParagraph"/>
        <w:numPr>
          <w:ilvl w:val="0"/>
          <w:numId w:val="2"/>
        </w:numPr>
      </w:pPr>
      <w:r>
        <w:rPr>
          <w:sz w:val="22"/>
          <w:szCs w:val="22"/>
        </w:rPr>
        <w:t xml:space="preserve">Données d'identité : nom, prénoms, date et lieu de naissance, sexe, nationalité</w:t>
      </w:r>
    </w:p>
    <w:p>
      <w:pPr>
        <w:pStyle w:val="ListParagraph"/>
        <w:numPr>
          <w:ilvl w:val="0"/>
          <w:numId w:val="2"/>
        </w:numPr>
      </w:pPr>
      <w:r>
        <w:rPr>
          <w:sz w:val="22"/>
          <w:szCs w:val="22"/>
        </w:rPr>
        <w:t xml:space="preserve">Données de filiation : identité des parents (nom, prénoms, profession, domicile)</w:t>
      </w:r>
    </w:p>
    <w:p>
      <w:pPr>
        <w:pStyle w:val="ListParagraph"/>
        <w:numPr>
          <w:ilvl w:val="0"/>
          <w:numId w:val="2"/>
        </w:numPr>
      </w:pPr>
      <w:r>
        <w:rPr>
          <w:sz w:val="22"/>
          <w:szCs w:val="22"/>
        </w:rPr>
        <w:t xml:space="preserve">Données des témoins : nom, prénoms, profession, domicile</w:t>
      </w:r>
    </w:p>
    <w:p>
      <w:pPr>
        <w:pStyle w:val="ListParagraph"/>
        <w:numPr>
          <w:ilvl w:val="0"/>
          <w:numId w:val="2"/>
        </w:numPr>
      </w:pPr>
      <w:r>
        <w:rPr>
          <w:sz w:val="22"/>
          <w:szCs w:val="22"/>
        </w:rPr>
        <w:t xml:space="preserve">Données du déclarant : identité, qualité, lien avec l'enfant</w:t>
      </w:r>
    </w:p>
    <w:p>
      <w:pPr>
        <w:pStyle w:val="Heading2"/>
      </w:pPr>
      <w:r>
        <w:t xml:space="preserve">3.2 Données des utilisateurs du système</w:t>
      </w:r>
    </w:p>
    <w:p>
      <w:pPr>
        <w:pStyle w:val="ListParagraph"/>
        <w:numPr>
          <w:ilvl w:val="0"/>
          <w:numId w:val="2"/>
        </w:numPr>
      </w:pPr>
      <w:r>
        <w:rPr>
          <w:sz w:val="22"/>
          <w:szCs w:val="22"/>
        </w:rPr>
        <w:t xml:space="preserve">Données d'identification professionnelle : nom, prénom, matricule, fonction</w:t>
      </w:r>
    </w:p>
    <w:p>
      <w:pPr>
        <w:pStyle w:val="ListParagraph"/>
        <w:numPr>
          <w:ilvl w:val="0"/>
          <w:numId w:val="2"/>
        </w:numPr>
      </w:pPr>
      <w:r>
        <w:rPr>
          <w:sz w:val="22"/>
          <w:szCs w:val="22"/>
        </w:rPr>
        <w:t xml:space="preserve">Données de connexion : email professionnel, mot de passe (haché)</w:t>
      </w:r>
    </w:p>
    <w:p>
      <w:pPr>
        <w:pStyle w:val="ListParagraph"/>
        <w:numPr>
          <w:ilvl w:val="0"/>
          <w:numId w:val="2"/>
        </w:numPr>
      </w:pPr>
      <w:r>
        <w:rPr>
          <w:sz w:val="22"/>
          <w:szCs w:val="22"/>
        </w:rPr>
        <w:t xml:space="preserve">Données de traçabilité : logs de connexion, actions effectuées, horodatage</w:t>
      </w:r>
    </w:p>
    <w:p>
      <w:pPr>
        <w:pStyle w:val="Heading2"/>
      </w:pPr>
      <w:r>
        <w:t xml:space="preserve">3.3 Documents numérisés</w:t>
      </w:r>
    </w:p>
    <w:p>
      <w:pPr>
        <w:pStyle w:val="ListParagraph"/>
        <w:numPr>
          <w:ilvl w:val="0"/>
          <w:numId w:val="2"/>
        </w:numPr>
      </w:pPr>
      <w:r>
        <w:rPr>
          <w:sz w:val="22"/>
          <w:szCs w:val="22"/>
        </w:rPr>
        <w:t xml:space="preserve">Photos d'identité des nouveau-nés (le cas échéant)</w:t>
      </w:r>
    </w:p>
    <w:p>
      <w:pPr>
        <w:pStyle w:val="ListParagraph"/>
        <w:numPr>
          <w:ilvl w:val="0"/>
          <w:numId w:val="2"/>
        </w:numPr>
      </w:pPr>
      <w:r>
        <w:rPr>
          <w:sz w:val="22"/>
          <w:szCs w:val="22"/>
        </w:rPr>
        <w:t xml:space="preserve">Copies de pièces d'identité (CNI, passeport)</w:t>
      </w:r>
    </w:p>
    <w:p>
      <w:pPr>
        <w:pStyle w:val="ListParagraph"/>
        <w:numPr>
          <w:ilvl w:val="0"/>
          <w:numId w:val="2"/>
        </w:numPr>
      </w:pPr>
      <w:r>
        <w:rPr>
          <w:sz w:val="22"/>
          <w:szCs w:val="22"/>
        </w:rPr>
        <w:t xml:space="preserve">Certificats médicaux de naissance</w:t>
      </w:r>
    </w:p>
    <w:p>
      <w:pPr>
        <w:pStyle w:val="ListParagraph"/>
        <w:numPr>
          <w:ilvl w:val="0"/>
          <w:numId w:val="2"/>
        </w:numPr>
      </w:pPr>
      <w:r>
        <w:rPr>
          <w:sz w:val="22"/>
          <w:szCs w:val="22"/>
        </w:rPr>
        <w:t xml:space="preserve">Autres pièces justificatives requises par la loi</w:t>
      </w:r>
    </w:p>
    <w:p>
      <w:pPr>
        <w:pStyle w:val="Heading1"/>
      </w:pPr>
      <w:r>
        <w:t xml:space="preserve">ARTICLE 4 — FINALITÉS DU TRAITEMENT</w:t>
      </w:r>
    </w:p>
    <w:p>
      <w:pPr>
        <w:spacing w:after="150"/>
      </w:pPr>
      <w:r>
        <w:rPr>
          <w:sz w:val="22"/>
          <w:szCs w:val="22"/>
        </w:rPr>
        <w:t xml:space="preserve">Les données personnelles sont collectées et traitées pour les finalités suivantes :</w:t>
      </w:r>
    </w:p>
    <w:p>
      <w:pPr>
        <w:pStyle w:val="ListParagraph"/>
        <w:numPr>
          <w:ilvl w:val="0"/>
          <w:numId w:val="3"/>
        </w:numPr>
      </w:pPr>
      <w:r>
        <w:rPr>
          <w:sz w:val="22"/>
          <w:szCs w:val="22"/>
        </w:rPr>
        <w:t xml:space="preserve">Enregistrement et gestion des actes d'état civil conformément au Code de la Famille</w:t>
      </w:r>
    </w:p>
    <w:p>
      <w:pPr>
        <w:pStyle w:val="ListParagraph"/>
        <w:numPr>
          <w:ilvl w:val="0"/>
          <w:numId w:val="3"/>
        </w:numPr>
      </w:pPr>
      <w:r>
        <w:rPr>
          <w:sz w:val="22"/>
          <w:szCs w:val="22"/>
        </w:rPr>
        <w:t xml:space="preserve">Délivrance de copies et extraits d'actes aux personnes autorisées</w:t>
      </w:r>
    </w:p>
    <w:p>
      <w:pPr>
        <w:pStyle w:val="ListParagraph"/>
        <w:numPr>
          <w:ilvl w:val="0"/>
          <w:numId w:val="3"/>
        </w:numPr>
      </w:pPr>
      <w:r>
        <w:rPr>
          <w:sz w:val="22"/>
          <w:szCs w:val="22"/>
        </w:rPr>
        <w:t xml:space="preserve">Gestion des utilisateurs et contrôle d'accès au système</w:t>
      </w:r>
    </w:p>
    <w:p>
      <w:pPr>
        <w:pStyle w:val="ListParagraph"/>
        <w:numPr>
          <w:ilvl w:val="0"/>
          <w:numId w:val="3"/>
        </w:numPr>
      </w:pPr>
      <w:r>
        <w:rPr>
          <w:sz w:val="22"/>
          <w:szCs w:val="22"/>
        </w:rPr>
        <w:t xml:space="preserve">Traçabilité et audit des opérations pour garantir l'intégrité des registres</w:t>
      </w:r>
    </w:p>
    <w:p>
      <w:pPr>
        <w:pStyle w:val="ListParagraph"/>
        <w:numPr>
          <w:ilvl w:val="0"/>
          <w:numId w:val="3"/>
        </w:numPr>
      </w:pPr>
      <w:r>
        <w:rPr>
          <w:sz w:val="22"/>
          <w:szCs w:val="22"/>
        </w:rPr>
        <w:t xml:space="preserve">Production de statistiques démographiques anonymisées</w:t>
      </w:r>
    </w:p>
    <w:p>
      <w:pPr>
        <w:pStyle w:val="ListParagraph"/>
        <w:numPr>
          <w:ilvl w:val="0"/>
          <w:numId w:val="3"/>
        </w:numPr>
      </w:pPr>
      <w:r>
        <w:rPr>
          <w:sz w:val="22"/>
          <w:szCs w:val="22"/>
        </w:rPr>
        <w:t xml:space="preserve">Signature électronique des actes pour garantir leur authenticité</w:t>
      </w:r>
    </w:p>
    <w:p>
      <w:pPr>
        <w:pStyle w:val="Heading1"/>
      </w:pPr>
      <w:r>
        <w:t xml:space="preserve">ARTICLE 5 — BASE JURIDIQUE DU TRAITEMENT</w:t>
      </w:r>
    </w:p>
    <w:p>
      <w:pPr>
        <w:spacing w:after="150"/>
      </w:pPr>
      <w:r>
        <w:rPr>
          <w:sz w:val="22"/>
          <w:szCs w:val="22"/>
        </w:rPr>
        <w:t xml:space="preserve">Les traitements de données personnelles sont fondés sur :</w:t>
      </w:r>
    </w:p>
    <w:p>
      <w:pPr>
        <w:pStyle w:val="ListParagraph"/>
        <w:numPr>
          <w:ilvl w:val="0"/>
          <w:numId w:val="2"/>
        </w:numPr>
      </w:pPr>
      <w:r>
        <w:rPr>
          <w:b/>
          <w:bCs/>
          <w:sz w:val="22"/>
          <w:szCs w:val="22"/>
        </w:rPr>
        <w:t xml:space="preserve">L'obligation légale : déclaration obligatoire des naissances (Code de la Famille)</w:t>
      </w:r>
    </w:p>
    <w:p>
      <w:pPr>
        <w:pStyle w:val="ListParagraph"/>
        <w:numPr>
          <w:ilvl w:val="0"/>
          <w:numId w:val="2"/>
        </w:numPr>
      </w:pPr>
      <w:r>
        <w:rPr>
          <w:b/>
          <w:bCs/>
          <w:sz w:val="22"/>
          <w:szCs w:val="22"/>
        </w:rPr>
        <w:t xml:space="preserve">La mission d'intérêt public : tenue des registres d'état civil</w:t>
      </w:r>
    </w:p>
    <w:p>
      <w:pPr>
        <w:pStyle w:val="ListParagraph"/>
        <w:numPr>
          <w:ilvl w:val="0"/>
          <w:numId w:val="2"/>
        </w:numPr>
      </w:pPr>
      <w:r>
        <w:rPr>
          <w:b/>
          <w:bCs/>
          <w:sz w:val="22"/>
          <w:szCs w:val="22"/>
        </w:rPr>
        <w:t xml:space="preserve">L'intérêt légitime : sécurité et intégrité du système</w:t>
      </w:r>
    </w:p>
    <w:p>
      <w:r>
        <w:br w:type="page"/>
      </w:r>
    </w:p>
    <w:p>
      <w:pPr>
        <w:pStyle w:val="Heading1"/>
      </w:pPr>
      <w:r>
        <w:t xml:space="preserve">ARTICLE 6 — DESTINATAIRES DES DONNÉES</w:t>
      </w:r>
    </w:p>
    <w:p>
      <w:pPr>
        <w:spacing w:after="150"/>
      </w:pPr>
      <w:r>
        <w:rPr>
          <w:sz w:val="22"/>
          <w:szCs w:val="22"/>
        </w:rPr>
        <w:t xml:space="preserve">Les données personnelles peuvent être communiquées aux destinataires suivants, dans le strict respect de leurs attributions :</w:t>
      </w:r>
    </w:p>
    <w:p>
      <w:pPr>
        <w:pStyle w:val="Heading2"/>
      </w:pPr>
      <w:r>
        <w:t xml:space="preserve">6.1 Destinataires internes</w:t>
      </w:r>
    </w:p>
    <w:p>
      <w:pPr>
        <w:pStyle w:val="ListParagraph"/>
        <w:numPr>
          <w:ilvl w:val="0"/>
          <w:numId w:val="2"/>
        </w:numPr>
      </w:pPr>
      <w:r>
        <w:rPr>
          <w:sz w:val="22"/>
          <w:szCs w:val="22"/>
        </w:rPr>
        <w:t xml:space="preserve">Officiers d'état civil habilités</w:t>
      </w:r>
    </w:p>
    <w:p>
      <w:pPr>
        <w:pStyle w:val="ListParagraph"/>
        <w:numPr>
          <w:ilvl w:val="0"/>
          <w:numId w:val="2"/>
        </w:numPr>
      </w:pPr>
      <w:r>
        <w:rPr>
          <w:sz w:val="22"/>
          <w:szCs w:val="22"/>
        </w:rPr>
        <w:t xml:space="preserve">Agents de saisie autorisés</w:t>
      </w:r>
    </w:p>
    <w:p>
      <w:pPr>
        <w:pStyle w:val="ListParagraph"/>
        <w:numPr>
          <w:ilvl w:val="0"/>
          <w:numId w:val="2"/>
        </w:numPr>
      </w:pPr>
      <w:r>
        <w:rPr>
          <w:sz w:val="22"/>
          <w:szCs w:val="22"/>
        </w:rPr>
        <w:t xml:space="preserve">Validateurs et responsables de centre</w:t>
      </w:r>
    </w:p>
    <w:p>
      <w:pPr>
        <w:pStyle w:val="ListParagraph"/>
        <w:numPr>
          <w:ilvl w:val="0"/>
          <w:numId w:val="2"/>
        </w:numPr>
      </w:pPr>
      <w:r>
        <w:rPr>
          <w:sz w:val="22"/>
          <w:szCs w:val="22"/>
        </w:rPr>
        <w:t xml:space="preserve">Administrateurs système (accès technique limité)</w:t>
      </w:r>
    </w:p>
    <w:p>
      <w:pPr>
        <w:pStyle w:val="Heading2"/>
      </w:pPr>
      <w:r>
        <w:t xml:space="preserve">6.2 Destinataires externes</w:t>
      </w:r>
    </w:p>
    <w:p>
      <w:pPr>
        <w:pStyle w:val="ListParagraph"/>
        <w:numPr>
          <w:ilvl w:val="0"/>
          <w:numId w:val="2"/>
        </w:numPr>
      </w:pPr>
      <w:r>
        <w:rPr>
          <w:sz w:val="22"/>
          <w:szCs w:val="22"/>
        </w:rPr>
        <w:t xml:space="preserve">Ministère de la Justice (supervision)</w:t>
      </w:r>
    </w:p>
    <w:p>
      <w:pPr>
        <w:pStyle w:val="ListParagraph"/>
        <w:numPr>
          <w:ilvl w:val="0"/>
          <w:numId w:val="2"/>
        </w:numPr>
      </w:pPr>
      <w:r>
        <w:rPr>
          <w:sz w:val="22"/>
          <w:szCs w:val="22"/>
        </w:rPr>
        <w:t xml:space="preserve">Agence Nationale de la Statistique et de la Démographie (données anonymisées)</w:t>
      </w:r>
    </w:p>
    <w:p>
      <w:pPr>
        <w:pStyle w:val="ListParagraph"/>
        <w:numPr>
          <w:ilvl w:val="0"/>
          <w:numId w:val="2"/>
        </w:numPr>
      </w:pPr>
      <w:r>
        <w:rPr>
          <w:sz w:val="22"/>
          <w:szCs w:val="22"/>
        </w:rPr>
        <w:t xml:space="preserve">Autorités judiciaires (sur réquisition)</w:t>
      </w:r>
    </w:p>
    <w:p>
      <w:pPr>
        <w:pStyle w:val="ListParagraph"/>
        <w:numPr>
          <w:ilvl w:val="0"/>
          <w:numId w:val="2"/>
        </w:numPr>
      </w:pPr>
      <w:r>
        <w:rPr>
          <w:sz w:val="22"/>
          <w:szCs w:val="22"/>
        </w:rPr>
        <w:t xml:space="preserve">Commission des Données Personnelles (contrôle)</w:t>
      </w:r>
    </w:p>
    <w:p>
      <w:pPr>
        <w:pStyle w:val="Heading1"/>
      </w:pPr>
      <w:r>
        <w:t xml:space="preserve">ARTICLE 7 — DURÉE DE CONSERVATION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Type de données</w:t>
            </w:r>
          </w:p>
        </w:tc>
        <w:tc>
          <w:tcPr>
            <w:tcW w:type="dxa" w:w="468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Durée de conservation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Actes d'état civil</w:t>
            </w:r>
          </w:p>
        </w:tc>
        <w:tc>
          <w:tcPr>
            <w:tcW w:type="dxa" w:w="4680"/>
            <w:tcBorders>
              <w:top w:val="single" w:color="CCCCCC" w:sz="1"/>
              <w:left w:val="single" w:color="CCCCCC" w:sz="1"/>
              <w:bottom w:val="single" w:color="CCCCCC" w:sz="1"/>
              <w:right w:val="single" w:color="CCCCCC" w:sz="1"/>
            </w:tcBorders>
          </w:tcPr>
          <w:p>
            <w:r>
              <w:rPr>
                <w:sz w:val="20"/>
                <w:szCs w:val="20"/>
              </w:rPr>
              <w:t xml:space="preserve">Conservation permanente (archives)</w:t>
            </w:r>
          </w:p>
        </w:tc>
      </w:tr>
      <w:tr>
        <w:tc>
          <w:tcPr>
            <w:tcW w:type="dxa" w:w="4680"/>
            <w:tcBorders>
              <w:top w:val="single" w:color="CCCCCC" w:sz="1"/>
              <w:left w:val="single" w:color="CCCCCC" w:sz="1"/>
              <w:bottom w:val="single" w:color="CCCCCC" w:sz="1"/>
              <w:right w:val="single" w:color="CCCCCC" w:sz="1"/>
            </w:tcBorders>
            <w:shd w:fill="F8F9FA" w:val="clear"/>
          </w:tcPr>
          <w:p>
            <w:r>
              <w:rPr>
                <w:sz w:val="20"/>
                <w:szCs w:val="20"/>
              </w:rPr>
              <w:t xml:space="preserve">Documents numérisés</w:t>
            </w:r>
          </w:p>
        </w:tc>
        <w:tc>
          <w:tcPr>
            <w:tcW w:type="dxa" w:w="4680"/>
            <w:tcBorders>
              <w:top w:val="single" w:color="CCCCCC" w:sz="1"/>
              <w:left w:val="single" w:color="CCCCCC" w:sz="1"/>
              <w:bottom w:val="single" w:color="CCCCCC" w:sz="1"/>
              <w:right w:val="single" w:color="CCCCCC" w:sz="1"/>
            </w:tcBorders>
            <w:shd w:fill="F8F9FA" w:val="clear"/>
          </w:tcPr>
          <w:p>
            <w:r>
              <w:rPr>
                <w:sz w:val="20"/>
                <w:szCs w:val="20"/>
              </w:rPr>
              <w:t xml:space="preserve">Conservation permanente (liés aux actes)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Comptes utilisateurs</w:t>
            </w:r>
          </w:p>
        </w:tc>
        <w:tc>
          <w:tcPr>
            <w:tcW w:type="dxa" w:w="4680"/>
            <w:tcBorders>
              <w:top w:val="single" w:color="CCCCCC" w:sz="1"/>
              <w:left w:val="single" w:color="CCCCCC" w:sz="1"/>
              <w:bottom w:val="single" w:color="CCCCCC" w:sz="1"/>
              <w:right w:val="single" w:color="CCCCCC" w:sz="1"/>
            </w:tcBorders>
          </w:tcPr>
          <w:p>
            <w:r>
              <w:rPr>
                <w:sz w:val="20"/>
                <w:szCs w:val="20"/>
              </w:rPr>
              <w:t xml:space="preserve">Durée de la fonction + 5 ans</w:t>
            </w:r>
          </w:p>
        </w:tc>
      </w:tr>
      <w:tr>
        <w:tc>
          <w:tcPr>
            <w:tcW w:type="dxa" w:w="4680"/>
            <w:tcBorders>
              <w:top w:val="single" w:color="CCCCCC" w:sz="1"/>
              <w:left w:val="single" w:color="CCCCCC" w:sz="1"/>
              <w:bottom w:val="single" w:color="CCCCCC" w:sz="1"/>
              <w:right w:val="single" w:color="CCCCCC" w:sz="1"/>
            </w:tcBorders>
            <w:shd w:fill="F8F9FA" w:val="clear"/>
          </w:tcPr>
          <w:p>
            <w:r>
              <w:rPr>
                <w:sz w:val="20"/>
                <w:szCs w:val="20"/>
              </w:rPr>
              <w:t xml:space="preserve">Logs de connexion</w:t>
            </w:r>
          </w:p>
        </w:tc>
        <w:tc>
          <w:tcPr>
            <w:tcW w:type="dxa" w:w="4680"/>
            <w:tcBorders>
              <w:top w:val="single" w:color="CCCCCC" w:sz="1"/>
              <w:left w:val="single" w:color="CCCCCC" w:sz="1"/>
              <w:bottom w:val="single" w:color="CCCCCC" w:sz="1"/>
              <w:right w:val="single" w:color="CCCCCC" w:sz="1"/>
            </w:tcBorders>
            <w:shd w:fill="F8F9FA" w:val="clear"/>
          </w:tcPr>
          <w:p>
            <w:r>
              <w:rPr>
                <w:sz w:val="20"/>
                <w:szCs w:val="20"/>
              </w:rPr>
              <w:t xml:space="preserve">1 an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Logs d'audit</w:t>
            </w:r>
          </w:p>
        </w:tc>
        <w:tc>
          <w:tcPr>
            <w:tcW w:type="dxa" w:w="4680"/>
            <w:tcBorders>
              <w:top w:val="single" w:color="CCCCCC" w:sz="1"/>
              <w:left w:val="single" w:color="CCCCCC" w:sz="1"/>
              <w:bottom w:val="single" w:color="CCCCCC" w:sz="1"/>
              <w:right w:val="single" w:color="CCCCCC" w:sz="1"/>
            </w:tcBorders>
          </w:tcPr>
          <w:p>
            <w:r>
              <w:rPr>
                <w:sz w:val="20"/>
                <w:szCs w:val="20"/>
              </w:rPr>
              <w:t xml:space="preserve">5 ans</w:t>
            </w:r>
          </w:p>
        </w:tc>
      </w:tr>
    </w:tbl>
    <w:p>
      <w:pPr>
        <w:pStyle w:val="Heading1"/>
      </w:pPr>
      <w:r>
        <w:t xml:space="preserve">ARTICLE 8 — SÉCURITÉ DES DONNÉES</w:t>
      </w:r>
    </w:p>
    <w:p>
      <w:pPr>
        <w:spacing w:after="150"/>
      </w:pPr>
      <w:r>
        <w:rPr>
          <w:sz w:val="22"/>
          <w:szCs w:val="22"/>
        </w:rPr>
        <w:t xml:space="preserve">Des mesures techniques et organisationnelles appropriées sont mises en œuvre pour protéger les données personnelles :</w:t>
      </w:r>
    </w:p>
    <w:p>
      <w:pPr>
        <w:pStyle w:val="Heading2"/>
      </w:pPr>
      <w:r>
        <w:t xml:space="preserve">8.1 Mesures techniques</w:t>
      </w:r>
    </w:p>
    <w:p>
      <w:pPr>
        <w:pStyle w:val="ListParagraph"/>
        <w:numPr>
          <w:ilvl w:val="0"/>
          <w:numId w:val="2"/>
        </w:numPr>
      </w:pPr>
      <w:r>
        <w:rPr>
          <w:sz w:val="22"/>
          <w:szCs w:val="22"/>
        </w:rPr>
        <w:t xml:space="preserve">Chiffrement des données au repos (AES-256-GCM)</w:t>
      </w:r>
    </w:p>
    <w:p>
      <w:pPr>
        <w:pStyle w:val="ListParagraph"/>
        <w:numPr>
          <w:ilvl w:val="0"/>
          <w:numId w:val="2"/>
        </w:numPr>
      </w:pPr>
      <w:r>
        <w:rPr>
          <w:sz w:val="22"/>
          <w:szCs w:val="22"/>
        </w:rPr>
        <w:t xml:space="preserve">Chiffrement des communications (TLS 1.3)</w:t>
      </w:r>
    </w:p>
    <w:p>
      <w:pPr>
        <w:pStyle w:val="ListParagraph"/>
        <w:numPr>
          <w:ilvl w:val="0"/>
          <w:numId w:val="2"/>
        </w:numPr>
      </w:pPr>
      <w:r>
        <w:rPr>
          <w:sz w:val="22"/>
          <w:szCs w:val="22"/>
        </w:rPr>
        <w:t xml:space="preserve">Authentification forte (JWT, hachage bcrypt)</w:t>
      </w:r>
    </w:p>
    <w:p>
      <w:pPr>
        <w:pStyle w:val="ListParagraph"/>
        <w:numPr>
          <w:ilvl w:val="0"/>
          <w:numId w:val="2"/>
        </w:numPr>
      </w:pPr>
      <w:r>
        <w:rPr>
          <w:sz w:val="22"/>
          <w:szCs w:val="22"/>
        </w:rPr>
        <w:t xml:space="preserve">Contrôle d'accès basé sur les rôles (RBAC)</w:t>
      </w:r>
    </w:p>
    <w:p>
      <w:pPr>
        <w:pStyle w:val="ListParagraph"/>
        <w:numPr>
          <w:ilvl w:val="0"/>
          <w:numId w:val="2"/>
        </w:numPr>
      </w:pPr>
      <w:r>
        <w:rPr>
          <w:sz w:val="22"/>
          <w:szCs w:val="22"/>
        </w:rPr>
        <w:t xml:space="preserve">Journalisation complète des accès et modifications</w:t>
      </w:r>
    </w:p>
    <w:p>
      <w:pPr>
        <w:pStyle w:val="ListParagraph"/>
        <w:numPr>
          <w:ilvl w:val="0"/>
          <w:numId w:val="2"/>
        </w:numPr>
      </w:pPr>
      <w:r>
        <w:rPr>
          <w:sz w:val="22"/>
          <w:szCs w:val="22"/>
        </w:rPr>
        <w:t xml:space="preserve">Protection contre les attaques (rate limiting, validation des entrées)</w:t>
      </w:r>
    </w:p>
    <w:p>
      <w:pPr>
        <w:pStyle w:val="Heading2"/>
      </w:pPr>
      <w:r>
        <w:t xml:space="preserve">8.2 Mesures organisationnelles</w:t>
      </w:r>
    </w:p>
    <w:p>
      <w:pPr>
        <w:pStyle w:val="ListParagraph"/>
        <w:numPr>
          <w:ilvl w:val="0"/>
          <w:numId w:val="2"/>
        </w:numPr>
      </w:pPr>
      <w:r>
        <w:rPr>
          <w:sz w:val="22"/>
          <w:szCs w:val="22"/>
        </w:rPr>
        <w:t xml:space="preserve">Politique de mots de passe robuste</w:t>
      </w:r>
    </w:p>
    <w:p>
      <w:pPr>
        <w:pStyle w:val="ListParagraph"/>
        <w:numPr>
          <w:ilvl w:val="0"/>
          <w:numId w:val="2"/>
        </w:numPr>
      </w:pPr>
      <w:r>
        <w:rPr>
          <w:sz w:val="22"/>
          <w:szCs w:val="22"/>
        </w:rPr>
        <w:t xml:space="preserve">Formation des utilisateurs à la protection des données</w:t>
      </w:r>
    </w:p>
    <w:p>
      <w:pPr>
        <w:pStyle w:val="ListParagraph"/>
        <w:numPr>
          <w:ilvl w:val="0"/>
          <w:numId w:val="2"/>
        </w:numPr>
      </w:pPr>
      <w:r>
        <w:rPr>
          <w:sz w:val="22"/>
          <w:szCs w:val="22"/>
        </w:rPr>
        <w:t xml:space="preserve">Procédures de gestion des incidents</w:t>
      </w:r>
    </w:p>
    <w:p>
      <w:pPr>
        <w:pStyle w:val="ListParagraph"/>
        <w:numPr>
          <w:ilvl w:val="0"/>
          <w:numId w:val="2"/>
        </w:numPr>
      </w:pPr>
      <w:r>
        <w:rPr>
          <w:sz w:val="22"/>
          <w:szCs w:val="22"/>
        </w:rPr>
        <w:t xml:space="preserve">Audits de sécurité réguliers</w:t>
      </w:r>
    </w:p>
    <w:p>
      <w:r>
        <w:br w:type="page"/>
      </w:r>
    </w:p>
    <w:p>
      <w:pPr>
        <w:pStyle w:val="Heading1"/>
      </w:pPr>
      <w:r>
        <w:t xml:space="preserve">ARTICLE 9 — DROITS DES PERSONNES CONCERNÉES</w:t>
      </w:r>
    </w:p>
    <w:p>
      <w:pPr>
        <w:spacing w:after="150"/>
      </w:pPr>
      <w:r>
        <w:rPr>
          <w:sz w:val="22"/>
          <w:szCs w:val="22"/>
        </w:rPr>
        <w:t xml:space="preserve">Conformément à la Loi n° 2008-12, les personnes concernées disposent des droits suivants :</w:t>
      </w:r>
    </w:p>
    <w:p>
      <w:pPr>
        <w:pStyle w:val="Heading2"/>
      </w:pPr>
      <w:r>
        <w:t xml:space="preserve">9.1 Droit d'accès (Article 62)</w:t>
      </w:r>
    </w:p>
    <w:p>
      <w:pPr>
        <w:spacing w:after="150"/>
      </w:pPr>
      <w:r>
        <w:rPr>
          <w:sz w:val="22"/>
          <w:szCs w:val="22"/>
        </w:rPr>
        <w:t xml:space="preserve">Toute personne peut obtenir confirmation que des données la concernant sont ou ne sont pas traitées, ainsi que la communication de ces données.</w:t>
      </w:r>
    </w:p>
    <w:p>
      <w:pPr>
        <w:pStyle w:val="Heading2"/>
      </w:pPr>
      <w:r>
        <w:t xml:space="preserve">9.2 Droit de rectification (Article 68)</w:t>
      </w:r>
    </w:p>
    <w:p>
      <w:pPr>
        <w:spacing w:after="150"/>
      </w:pPr>
      <w:r>
        <w:rPr>
          <w:sz w:val="22"/>
          <w:szCs w:val="22"/>
        </w:rPr>
        <w:t xml:space="preserve">Toute personne peut exiger la rectification des données inexactes la concernant.</w:t>
      </w:r>
    </w:p>
    <w:p>
      <w:pPr>
        <w:pStyle w:val="Heading2"/>
      </w:pPr>
      <w:r>
        <w:t xml:space="preserve">9.3 Droit d'opposition (Article 69)</w:t>
      </w:r>
    </w:p>
    <w:p>
      <w:pPr>
        <w:spacing w:after="150"/>
      </w:pPr>
      <w:r>
        <w:rPr>
          <w:sz w:val="22"/>
          <w:szCs w:val="22"/>
        </w:rPr>
        <w:t xml:space="preserve">Toute personne peut s'opposer, pour des motifs légitimes, au traitement de données la concernant, sauf lorsque le traitement répond à une obligation légale.</w:t>
      </w:r>
    </w:p>
    <w:p>
      <w:pPr>
        <w:spacing w:after="150"/>
      </w:pPr>
      <w:r>
        <w:rPr>
          <w:b/>
          <w:bCs/>
          <w:sz w:val="22"/>
          <w:szCs w:val="22"/>
        </w:rPr>
        <w:t xml:space="preserve">Note importante : </w:t>
      </w:r>
      <w:r>
        <w:rPr>
          <w:sz w:val="22"/>
          <w:szCs w:val="22"/>
        </w:rPr>
        <w:t xml:space="preserve">Les données relatives aux actes d'état civil étant soumises à une obligation légale de conservation permanente, le droit à l'effacement ne s'applique pas à ces données.</w:t>
      </w:r>
    </w:p>
    <w:p>
      <w:pPr>
        <w:pStyle w:val="Heading1"/>
      </w:pPr>
      <w:r>
        <w:t xml:space="preserve">ARTICLE 10 — EXERCICE DES DROITS</w:t>
      </w:r>
    </w:p>
    <w:p>
      <w:pPr>
        <w:spacing w:after="150"/>
      </w:pPr>
      <w:r>
        <w:rPr>
          <w:sz w:val="22"/>
          <w:szCs w:val="22"/>
        </w:rPr>
        <w:t xml:space="preserve">Pour exercer vos droits, vous pouvez contacter notre Délégué à la Protection des Données :</w:t>
      </w:r>
    </w:p>
    <w:p>
      <w:pPr>
        <w:pStyle w:val="ListParagraph"/>
        <w:numPr>
          <w:ilvl w:val="0"/>
          <w:numId w:val="2"/>
        </w:numPr>
      </w:pPr>
      <w:r>
        <w:rPr>
          <w:sz w:val="22"/>
          <w:szCs w:val="22"/>
        </w:rPr>
        <w:t xml:space="preserve">Par email : dpo@ndortel.sn</w:t>
      </w:r>
    </w:p>
    <w:p>
      <w:pPr>
        <w:pStyle w:val="ListParagraph"/>
        <w:numPr>
          <w:ilvl w:val="0"/>
          <w:numId w:val="2"/>
        </w:numPr>
      </w:pPr>
      <w:r>
        <w:rPr>
          <w:sz w:val="22"/>
          <w:szCs w:val="22"/>
        </w:rPr>
        <w:t xml:space="preserve">Par courrier : [Adresse du DPO], Dakar, Sénégal</w:t>
      </w:r>
    </w:p>
    <w:p>
      <w:pPr>
        <w:spacing w:before="150" w:after="150"/>
      </w:pPr>
      <w:r>
        <w:rPr>
          <w:sz w:val="22"/>
          <w:szCs w:val="22"/>
        </w:rPr>
        <w:t xml:space="preserve">Toute demande doit être accompagnée d'une copie d'une pièce d'identité. Une réponse sera apportée dans un délai d'un mois.</w:t>
      </w:r>
    </w:p>
    <w:p>
      <w:pPr>
        <w:pStyle w:val="Heading1"/>
      </w:pPr>
      <w:r>
        <w:t xml:space="preserve">ARTICLE 11 — RÉCLAMATION</w:t>
      </w:r>
    </w:p>
    <w:p>
      <w:pPr>
        <w:spacing w:after="150"/>
      </w:pPr>
      <w:r>
        <w:rPr>
          <w:sz w:val="22"/>
          <w:szCs w:val="22"/>
        </w:rPr>
        <w:t xml:space="preserve">En cas de difficulté dans l'exercice de vos droits, vous pouvez introduire une réclamation auprès de la Commission des Données Personnelles (CDP)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Organisme</w:t>
            </w:r>
          </w:p>
        </w:tc>
        <w:tc>
          <w:tcPr>
            <w:tcW w:type="dxa" w:w="6360"/>
            <w:tcBorders>
              <w:top w:val="single" w:color="CCCCCC" w:sz="1"/>
              <w:left w:val="single" w:color="CCCCCC" w:sz="1"/>
              <w:bottom w:val="single" w:color="CCCCCC" w:sz="1"/>
              <w:right w:val="single" w:color="CCCCCC" w:sz="1"/>
            </w:tcBorders>
          </w:tcPr>
          <w:p>
            <w:r>
              <w:rPr>
                <w:sz w:val="20"/>
                <w:szCs w:val="20"/>
              </w:rPr>
              <w:t xml:space="preserve">Commission des Données Personnelles (CDP)</w:t>
            </w:r>
          </w:p>
        </w:tc>
      </w:tr>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Adresse</w:t>
            </w:r>
          </w:p>
        </w:tc>
        <w:tc>
          <w:tcPr>
            <w:tcW w:type="dxa" w:w="6360"/>
            <w:tcBorders>
              <w:top w:val="single" w:color="CCCCCC" w:sz="1"/>
              <w:left w:val="single" w:color="CCCCCC" w:sz="1"/>
              <w:bottom w:val="single" w:color="CCCCCC" w:sz="1"/>
              <w:right w:val="single" w:color="CCCCCC" w:sz="1"/>
            </w:tcBorders>
          </w:tcPr>
          <w:p>
            <w:r>
              <w:rPr>
                <w:sz w:val="20"/>
                <w:szCs w:val="20"/>
              </w:rPr>
              <w:t xml:space="preserve">Immeuble Tamaro, 8ème étage, Avenue Carde x Wagane Diouf, Dakar</w:t>
            </w:r>
          </w:p>
        </w:tc>
      </w:tr>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Téléphone</w:t>
            </w:r>
          </w:p>
        </w:tc>
        <w:tc>
          <w:tcPr>
            <w:tcW w:type="dxa" w:w="6360"/>
            <w:tcBorders>
              <w:top w:val="single" w:color="CCCCCC" w:sz="1"/>
              <w:left w:val="single" w:color="CCCCCC" w:sz="1"/>
              <w:bottom w:val="single" w:color="CCCCCC" w:sz="1"/>
              <w:right w:val="single" w:color="CCCCCC" w:sz="1"/>
            </w:tcBorders>
          </w:tcPr>
          <w:p>
            <w:r>
              <w:rPr>
                <w:sz w:val="20"/>
                <w:szCs w:val="20"/>
              </w:rPr>
              <w:t xml:space="preserve">+221 33 869 03 69</w:t>
            </w:r>
          </w:p>
        </w:tc>
      </w:tr>
      <w:tr>
        <w:tc>
          <w:tcPr>
            <w:tcW w:type="dxa" w:w="3000"/>
            <w:tcBorders>
              <w:top w:val="single" w:color="CCCCCC" w:sz="1"/>
              <w:left w:val="single" w:color="CCCCCC" w:sz="1"/>
              <w:bottom w:val="single" w:color="CCCCCC" w:sz="1"/>
              <w:right w:val="single" w:color="CCCCCC" w:sz="1"/>
            </w:tcBorders>
            <w:shd w:fill="F0F0F0" w:val="clear"/>
          </w:tcPr>
          <w:p>
            <w:r>
              <w:rPr>
                <w:b/>
                <w:bCs/>
                <w:sz w:val="20"/>
                <w:szCs w:val="20"/>
              </w:rPr>
              <w:t xml:space="preserve">Site web</w:t>
            </w:r>
          </w:p>
        </w:tc>
        <w:tc>
          <w:tcPr>
            <w:tcW w:type="dxa" w:w="6360"/>
            <w:tcBorders>
              <w:top w:val="single" w:color="CCCCCC" w:sz="1"/>
              <w:left w:val="single" w:color="CCCCCC" w:sz="1"/>
              <w:bottom w:val="single" w:color="CCCCCC" w:sz="1"/>
              <w:right w:val="single" w:color="CCCCCC" w:sz="1"/>
            </w:tcBorders>
          </w:tcPr>
          <w:p>
            <w:r>
              <w:rPr>
                <w:sz w:val="20"/>
                <w:szCs w:val="20"/>
              </w:rPr>
              <w:t xml:space="preserve">www.cdp.sn</w:t>
            </w:r>
          </w:p>
        </w:tc>
      </w:tr>
    </w:tbl>
    <w:p>
      <w:pPr>
        <w:pStyle w:val="Heading1"/>
      </w:pPr>
      <w:r>
        <w:t xml:space="preserve">ARTICLE 12 — MODIFICATION DE LA POLITIQUE</w:t>
      </w:r>
    </w:p>
    <w:p>
      <w:pPr>
        <w:spacing w:after="150"/>
      </w:pPr>
      <w:r>
        <w:rPr>
          <w:sz w:val="22"/>
          <w:szCs w:val="22"/>
        </w:rPr>
        <w:t xml:space="preserve">La présente politique peut être modifiée à tout moment pour tenir compte des évolutions légales, réglementaires ou techniques. Toute modification substantielle sera portée à la connaissance des utilisateurs.</w:t>
      </w:r>
    </w:p>
    <w:p>
      <w:pPr>
        <w:pStyle w:val="Heading1"/>
      </w:pPr>
      <w:r>
        <w:t xml:space="preserve">ARTICLE 13 — ENTRÉE EN VIGUEUR</w:t>
      </w:r>
    </w:p>
    <w:p>
      <w:pPr>
        <w:spacing w:after="300"/>
      </w:pPr>
      <w:r>
        <w:rPr>
          <w:sz w:val="22"/>
          <w:szCs w:val="22"/>
        </w:rPr>
        <w:t xml:space="preserve">La présente Politique de Confidentialité entre en vigueur à compter du 27/12/2025.</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Pr>
          <w:p>
            <w:pPr>
              <w:jc w:val="center"/>
            </w:pPr>
            <w:r>
              <w:rPr>
                <w:b/>
                <w:bCs/>
                <w:sz w:val="20"/>
                <w:szCs w:val="20"/>
              </w:rPr>
              <w:t xml:space="preserve">Le Responsable de Traitement</w:t>
            </w:r>
          </w:p>
          <w:p>
            <w:pPr>
              <w:spacing w:before="600"/>
            </w:pPr>
          </w:p>
          <w:p>
            <w:pPr>
              <w:jc w:val="center"/>
            </w:pPr>
            <w:r>
              <w:rPr>
                <w:sz w:val="20"/>
                <w:szCs w:val="20"/>
              </w:rPr>
              <w:t xml:space="preserve">Date : _________________________</w:t>
            </w:r>
          </w:p>
          <w:p>
            <w:pPr>
              <w:spacing w:before="200"/>
              <w:jc w:val="center"/>
            </w:pPr>
            <w:r>
              <w:rPr>
                <w:sz w:val="20"/>
                <w:szCs w:val="20"/>
              </w:rPr>
              <w:t xml:space="preserve">Signature :</w:t>
            </w:r>
          </w:p>
          <w:p>
            <w:pPr>
              <w:spacing w:before="500"/>
            </w:pPr>
          </w:p>
        </w:tc>
        <w:tc>
          <w:tcPr>
            <w:tcW w:type="dxa" w:w="4680"/>
            <w:tcBorders>
              <w:top w:val="single" w:color="CCCCCC" w:sz="1"/>
              <w:left w:val="single" w:color="CCCCCC" w:sz="1"/>
              <w:bottom w:val="single" w:color="CCCCCC" w:sz="1"/>
              <w:right w:val="single" w:color="CCCCCC" w:sz="1"/>
            </w:tcBorders>
          </w:tcPr>
          <w:p>
            <w:pPr>
              <w:jc w:val="center"/>
            </w:pPr>
            <w:r>
              <w:rPr>
                <w:b/>
                <w:bCs/>
                <w:sz w:val="20"/>
                <w:szCs w:val="20"/>
              </w:rPr>
              <w:t xml:space="preserve">Le Délégué à la Protection des Données</w:t>
            </w:r>
          </w:p>
          <w:p>
            <w:pPr>
              <w:spacing w:before="600"/>
            </w:pPr>
          </w:p>
          <w:p>
            <w:pPr>
              <w:jc w:val="center"/>
            </w:pPr>
            <w:r>
              <w:rPr>
                <w:sz w:val="20"/>
                <w:szCs w:val="20"/>
              </w:rPr>
              <w:t xml:space="preserve">Date : _________________________</w:t>
            </w:r>
          </w:p>
          <w:p>
            <w:pPr>
              <w:spacing w:before="200"/>
              <w:jc w:val="center"/>
            </w:pPr>
            <w:r>
              <w:rPr>
                <w:sz w:val="20"/>
                <w:szCs w:val="20"/>
              </w:rPr>
              <w:t xml:space="preserve">Signature :</w:t>
            </w:r>
          </w:p>
          <w:p>
            <w:pPr>
              <w:spacing w:before="50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NDORTEL — Politique de Confidentialité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b/>
      <w:bCs/>
      <w:color w:val="1B4F72"/>
      <w:sz w:val="48"/>
      <w:szCs w:val="48"/>
    </w:rPr>
  </w:style>
  <w:style w:type="paragraph" w:styleId="Heading1">
    <w:name w:val="Heading 1"/>
    <w:basedOn w:val="Normal"/>
    <w:next w:val="Normal"/>
    <w:qFormat/>
    <w:pPr>
      <w:spacing w:before="400" w:after="150"/>
      <w:outlineLvl w:val="0"/>
    </w:pPr>
    <w:rPr>
      <w:b/>
      <w:bCs/>
      <w:color w:val="1B4F72"/>
      <w:sz w:val="28"/>
      <w:szCs w:val="28"/>
    </w:rPr>
  </w:style>
  <w:style w:type="paragraph" w:styleId="Heading2">
    <w:name w:val="Heading 2"/>
    <w:basedOn w:val="Normal"/>
    <w:next w:val="Normal"/>
    <w:qFormat/>
    <w:pPr>
      <w:spacing w:before="300" w:after="100"/>
      <w:outlineLvl w:val="1"/>
    </w:pPr>
    <w:rPr>
      <w:b/>
      <w:bCs/>
      <w:color w:val="2874A6"/>
      <w:sz w:val="24"/>
      <w:szCs w:val="24"/>
    </w:rPr>
  </w:style>
  <w:style w:type="paragraph" w:styleId="Heading3">
    <w:name w:val="Heading 3"/>
    <w:basedOn w:val="Normal"/>
    <w:next w:val="Normal"/>
    <w:qFormat/>
    <w:pPr>
      <w:spacing w:before="200" w:after="80"/>
      <w:outlineLvl w:val="2"/>
    </w:pPr>
    <w:rPr>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2025-12-27T14:16:18.477Z</dcterms:created>
  <dcterms:modified xsi:type="dcterms:W3CDTF">2025-12-27T14:16:18.477Z</dcterms:modified>
</cp:coreProperties>
</file>

<file path=docProps/custom.xml><?xml version="1.0" encoding="utf-8"?>
<Properties xmlns="http://schemas.openxmlformats.org/officeDocument/2006/custom-properties" xmlns:vt="http://schemas.openxmlformats.org/officeDocument/2006/docPropsVTypes"/>
</file>