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Financial Services Operations &amp; Accounting Framework</w:t>
      </w:r>
    </w:p>
    <w:p>
      <w:pPr>
        <w:pStyle w:val="Heading1"/>
      </w:pPr>
      <w:r>
        <w:t>Company Information</w:t>
      </w:r>
    </w:p>
    <w:p>
      <w:r>
        <w:t>Company Name: Nordic Finance Corp</w:t>
      </w:r>
    </w:p>
    <w:p>
      <w:r>
        <w:t>Establishment Year: 2010</w:t>
      </w:r>
    </w:p>
    <w:p>
      <w:r>
        <w:t>Number of Employees: 64</w:t>
      </w:r>
    </w:p>
    <w:p>
      <w:r>
        <w:t>Industry: Financial Advisory &amp; Investment Services</w:t>
      </w:r>
    </w:p>
    <w:p>
      <w:r>
        <w:t>Regulatory Status: Licensed under Norwegian Financial Supervisory Authority (Finanstilsynet)</w:t>
      </w:r>
    </w:p>
    <w:p>
      <w:r>
        <w:t>Principal Office: Oslo, Norway</w:t>
      </w:r>
    </w:p>
    <w:p>
      <w:pPr>
        <w:pStyle w:val="Heading2"/>
      </w:pPr>
      <w:r>
        <w:t>Business Operations</w:t>
      </w:r>
    </w:p>
    <w:p>
      <w:r>
        <w:t>Nordic Finance Corp provides comprehensive financial advisory services, investment management, and corporate financial planning to institutional and high-net-worth individual clients. The company manages client portfolios, provides tax planning advice, and offers financial risk consulting. All operations are conducted under strict regulatory oversight and Norwegian financial services regulations.</w:t>
      </w:r>
    </w:p>
    <w:p>
      <w:pPr>
        <w:pStyle w:val="Heading2"/>
      </w:pPr>
      <w:r>
        <w:t>Organizational Structure</w:t>
      </w:r>
    </w:p>
    <w:p>
      <w:pPr>
        <w:pStyle w:val="Heading3"/>
      </w:pPr>
      <w:r>
        <w:t>Department &amp; Personnel Composition</w:t>
      </w:r>
    </w:p>
    <w:p>
      <w:r>
        <w:t>Financial Advisory Team: 28 investment advisors and senior advisors</w:t>
        <w:br/>
        <w:t>- Bachelor minimum in finance, business, or related field</w:t>
        <w:br/>
        <w:t>- Most hold industry certifications (CFA, CFP)</w:t>
        <w:br/>
        <w:t>- Average client portfolio: 15-20 accounts per advisor</w:t>
        <w:br/>
        <w:br/>
        <w:t>Operations &amp; Compliance: 18 employees</w:t>
        <w:br/>
        <w:t>- Compliance officers (4 dedicated)</w:t>
        <w:br/>
        <w:t>- Operations managers</w:t>
        <w:br/>
        <w:t>- Administrative support</w:t>
        <w:br/>
        <w:br/>
        <w:t>Finance &amp; Accounting: 12 staff</w:t>
        <w:br/>
        <w:t>- Chief Financial Officer</w:t>
        <w:br/>
        <w:t>- Senior accountants (2)</w:t>
        <w:br/>
        <w:t>- Bookkeepers and accounting clerks (3)</w:t>
        <w:br/>
        <w:br/>
        <w:t>Management &amp; Executive: 6 senior members</w:t>
        <w:br/>
        <w:t>- Chief Executive Officer</w:t>
        <w:br/>
        <w:t>- Chief Compliance Officer</w:t>
        <w:br/>
        <w:t>- Chief Risk Officer</w:t>
        <w:br/>
        <w:t>- Senior Management</w:t>
      </w:r>
    </w:p>
    <w:p>
      <w:pPr>
        <w:pStyle w:val="Heading2"/>
      </w:pPr>
      <w:r>
        <w:t>Financial Reporting Requirements</w:t>
      </w:r>
    </w:p>
    <w:p>
      <w:pPr>
        <w:pStyle w:val="Heading3"/>
      </w:pPr>
      <w:r>
        <w:t>Accounting Standards &amp; Framework</w:t>
      </w:r>
    </w:p>
    <w:p>
      <w:r>
        <w:t>Accounting standard: Norwegian Accounting Act (Regnskapsloven) with IFRS adaptation</w:t>
        <w:br/>
        <w:t>Chart of accounts: Structured according to Norwegian accounting classifications</w:t>
        <w:br/>
        <w:t>Currency: Primary currency NOK (Norwegian Krone)</w:t>
        <w:br/>
        <w:t>Fiscal year: Calendar year (January 1 - December 31)</w:t>
        <w:br/>
        <w:t>Reporting entity: Consolidated financial statements required</w:t>
        <w:br/>
        <w:t>Internal controls: COSO framework integrated into all financial processes</w:t>
      </w:r>
    </w:p>
    <w:p>
      <w:pPr>
        <w:pStyle w:val="Heading3"/>
      </w:pPr>
      <w:r>
        <w:t>Monthly Financial Procedures</w:t>
      </w:r>
    </w:p>
    <w:p>
      <w:r>
        <w:t>1. Transaction Recording: All transactions recorded within 2 business days in accounting system</w:t>
        <w:br/>
        <w:t>2. Bank reconciliation: Performed by day 5 of following month</w:t>
        <w:br/>
        <w:t>3. Account verification: All subsidiary ledgers reconciled to general ledger</w:t>
        <w:br/>
        <w:t>4. Client account statements: Generated and sent to clients by 10th of month</w:t>
        <w:br/>
        <w:t>5. Management reporting: Internal P&amp;L and balance sheet prepared by 15th</w:t>
        <w:br/>
        <w:t>6. Compliance review: transactions reviewed for regulatory compliance</w:t>
      </w:r>
    </w:p>
    <w:p>
      <w:pPr>
        <w:pStyle w:val="Heading3"/>
      </w:pPr>
      <w:r>
        <w:t>Annual Financial Reporting</w:t>
      </w:r>
    </w:p>
    <w:p>
      <w:r>
        <w:t>Preparation timeline: Financial year close completed within 45 days</w:t>
        <w:br/>
        <w:t>Components:</w:t>
        <w:br/>
        <w:t>- Balance sheet (assets, liabilities, equity)</w:t>
        <w:br/>
        <w:t>- Income statement (revenues, expenses, profit)</w:t>
        <w:br/>
        <w:t>- Cash flow statement (operations, investing, financing)</w:t>
        <w:br/>
        <w:t>- Notes to financial statements (detailed disclosures)</w:t>
        <w:br/>
        <w:t>- Management commentary (business review and forward-looking statements)</w:t>
        <w:br/>
        <w:br/>
        <w:t>Audit: Mandatory external audit by registered auditor within 90 days of year-end</w:t>
        <w:br/>
        <w:t>Filing: Submitted to Brønnøysund Registry within statutory deadline (1 month after AGM)</w:t>
        <w:br/>
        <w:t>Public availability: Filed reports are public documents available through registry</w:t>
      </w:r>
    </w:p>
    <w:p>
      <w:pPr>
        <w:pStyle w:val="Heading2"/>
      </w:pPr>
      <w:r>
        <w:t>Internal Controls &amp; Audit Procedures</w:t>
      </w:r>
    </w:p>
    <w:p>
      <w:pPr>
        <w:pStyle w:val="Heading3"/>
      </w:pPr>
      <w:r>
        <w:t>Control Environment</w:t>
      </w:r>
    </w:p>
    <w:p>
      <w:r>
        <w:t>Chief Risk Officer: Responsible for internal control system design and operation</w:t>
        <w:br/>
        <w:t>Risk committee: Senior management reviews risks quarterly</w:t>
        <w:br/>
        <w:t>Segregation of duties: Separation of transaction approval, recording, and reconciliation</w:t>
        <w:br/>
        <w:t>Authorization limits: Documented approval thresholds based on transaction size and type</w:t>
        <w:br/>
        <w:t>Exception handling: All deviations from standard procedures documented and reviewed</w:t>
      </w:r>
    </w:p>
    <w:p>
      <w:pPr>
        <w:pStyle w:val="Heading3"/>
      </w:pPr>
      <w:r>
        <w:t>Compliance Monitoring</w:t>
      </w:r>
    </w:p>
    <w:p>
      <w:r>
        <w:t>Regulatory requirements monitoring: Continuous review of updated regulations</w:t>
        <w:br/>
        <w:t>Client suitability: Quarterly review of all client portfolios for appropriateness</w:t>
        <w:br/>
        <w:t>Anti-money laundering: Enhanced due diligence for high-risk clients</w:t>
        <w:br/>
        <w:t>Conflict of interest: Disclosure and management of all related-party transactions</w:t>
        <w:br/>
        <w:t>Complaints handling: Customer complaints logged and investigation process documented</w:t>
        <w:br/>
        <w:t>Reporting to authorities: Suspicious activity reports filed as required</w:t>
      </w:r>
    </w:p>
    <w:p>
      <w:pPr>
        <w:pStyle w:val="Heading3"/>
      </w:pPr>
      <w:r>
        <w:t>Internal Audit Function</w:t>
      </w:r>
    </w:p>
    <w:p>
      <w:r>
        <w:t>Annual audit plan: Developed by audit committee based on risk assessment</w:t>
        <w:br/>
        <w:t>Audit scope: Covers all material financial and operational processes</w:t>
        <w:br/>
        <w:t>Audit frequency:</w:t>
        <w:br/>
        <w:t>- High-risk areas: Quarterly reviews</w:t>
        <w:br/>
        <w:t>- Medium-risk areas: Semi-annual reviews</w:t>
        <w:br/>
        <w:t>- Low-risk areas: Annual reviews</w:t>
        <w:br/>
        <w:br/>
        <w:t>Report generation: Audit reports prepared with findings and recommendations</w:t>
        <w:br/>
        <w:t>Management response: Corrective actions documented with implementation timelines</w:t>
        <w:br/>
        <w:t>Follow-up: Verification that recommended actions completed</w:t>
      </w:r>
    </w:p>
    <w:p>
      <w:pPr>
        <w:pStyle w:val="Heading2"/>
      </w:pPr>
      <w:r>
        <w:t>Record Retention &amp; Documentation</w:t>
      </w:r>
    </w:p>
    <w:p>
      <w:r>
        <w:t>Financial records: Retained for minimum 5 years</w:t>
        <w:br/>
        <w:t>Client communications: All correspondence archived for 7 years (regulatory requirement)</w:t>
        <w:br/>
        <w:t>Audit documentation: Working papers retained for 3 years minimum</w:t>
        <w:br/>
        <w:t>Transaction records: Complete transaction history maintained with audit trail</w:t>
        <w:br/>
        <w:t>System backups: Daily backups stored securely with geographic redundancy</w:t>
        <w:br/>
        <w:t>Privacy compliance: All records stored securely with access logging</w:t>
      </w:r>
    </w:p>
    <w:p>
      <w:pPr>
        <w:pStyle w:val="Heading2"/>
      </w:pPr>
      <w:r>
        <w:t>External Audit Coordination</w:t>
      </w:r>
    </w:p>
    <w:p>
      <w:r>
        <w:t>Auditor selection: Conducted through formal tender process annually</w:t>
        <w:br/>
        <w:t>Audit planning meeting: Held in December to discuss scope and timeline</w:t>
        <w:br/>
        <w:t>Information access: Complete access provided to auditors for testing</w:t>
        <w:br/>
        <w:t>Management letter: Auditor recommendations reviewed and implemented</w:t>
        <w:br/>
        <w:t>Reporting to board: Annual audit results presented to board/audit committee</w:t>
        <w:br/>
        <w:t>Fee transparency: Audit fees clearly disclosed in financial statements</w:t>
      </w:r>
    </w:p>
    <w:p>
      <w:pPr>
        <w:pStyle w:val="Heading2"/>
      </w:pPr>
      <w:r>
        <w:t>Reporting to Regulatory Authorities</w:t>
      </w:r>
    </w:p>
    <w:p>
      <w:r>
        <w:t>Annual regulatory filing: Submitted to Finanstilsynet by deadline</w:t>
        <w:br/>
        <w:t>Quarterly statistics: Business data reported quarterly to regulatory body</w:t>
        <w:br/>
        <w:t>Capital adequacy: Minimum capital requirements verified and reported</w:t>
        <w:br/>
        <w:t>Personnel changes: Changes in key management reported to authorities</w:t>
        <w:br/>
        <w:t>Material events: Material business changes notified within statutory timeframe</w:t>
      </w:r>
    </w:p>
    <w:p>
      <w:r>
        <w:br/>
        <w:t>--- End of Document ---</w:t>
        <w:br/>
        <w:t>Document prepared: 2024</w:t>
        <w:br/>
        <w:t>Last reviewed: April 2024</w:t>
        <w:br/>
        <w:t>Next review date: October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