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2CA9D" w14:textId="77777777" w:rsidR="00376952" w:rsidRDefault="0037695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41C8E935" w14:textId="4983BE61" w:rsidR="00376952" w:rsidRDefault="00376952" w:rsidP="00376952">
      <w:pPr>
        <w:spacing w:after="120" w:line="240" w:lineRule="auto"/>
        <w:rPr>
          <w:rFonts w:asciiTheme="majorHAnsi" w:eastAsiaTheme="majorEastAsia" w:hAnsiTheme="majorHAnsi" w:cstheme="majorBidi"/>
          <w:b/>
          <w:color w:val="1A1A1A"/>
          <w:spacing w:val="-10"/>
          <w:kern w:val="28"/>
          <w:sz w:val="32"/>
          <w:szCs w:val="56"/>
        </w:rPr>
      </w:pPr>
      <w:r w:rsidRPr="00376952">
        <w:rPr>
          <w:rFonts w:asciiTheme="majorHAnsi" w:eastAsiaTheme="majorEastAsia" w:hAnsiTheme="majorHAnsi" w:cstheme="majorBidi"/>
          <w:b/>
          <w:color w:val="1A1A1A"/>
          <w:spacing w:val="-10"/>
          <w:kern w:val="28"/>
          <w:sz w:val="32"/>
          <w:szCs w:val="56"/>
        </w:rPr>
        <w:t>Prepared by: Impetus Strategy</w:t>
      </w:r>
    </w:p>
    <w:p w14:paraId="41C71D4F" w14:textId="77777777" w:rsidR="00376952" w:rsidRDefault="00376952" w:rsidP="00376952">
      <w:pPr>
        <w:spacing w:after="120" w:line="240" w:lineRule="auto"/>
        <w:rPr>
          <w:b/>
          <w:color w:val="1A1A1A"/>
          <w:sz w:val="32"/>
        </w:rPr>
      </w:pPr>
    </w:p>
    <w:p w14:paraId="4D8A06DA" w14:textId="4335C265"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1) Executive Summary</w:t>
      </w:r>
    </w:p>
    <w:p w14:paraId="26A09A28" w14:textId="4F8890F7" w:rsidR="00376952" w:rsidRDefault="00376952" w:rsidP="00376952">
      <w:pPr>
        <w:spacing w:after="120" w:line="240" w:lineRule="auto"/>
        <w:rPr>
          <w:color w:val="4A4A4A"/>
          <w:sz w:val="22"/>
        </w:rPr>
      </w:pPr>
      <w:r w:rsidRPr="00376952">
        <w:rPr>
          <w:color w:val="4A4A4A"/>
          <w:sz w:val="22"/>
        </w:rPr>
        <w:t>This proposal outlines Impetus Strategy's approach to developing job standards and qualifications for Hajj and Umrah service providers. The initiative aims to enhance service delivery and ensure that providers meet the evolving needs of pilgrims. Our methodology is rooted in a deep understanding of the Hajj and Umrah landscape, informed by our extensive experience in social development and public sector consulting. We will employ a phased approach that emphasizes stakeholder engagement, comprehensive needs assessment, and the establishment of clear, actionable standards. Our commitment to quality and impact aligns with the national objectives of improving service quality in the religious tourism sector, particularly as Saudi Arabia continues to enhance its offerings in line with Vision 2030. This proposal is structured to address all RFP requirements, ensuring compliance and alignment with the expectations set forth by the Expenditure Efficiency &amp; Projects Authority.</w:t>
      </w:r>
    </w:p>
    <w:p w14:paraId="31719732" w14:textId="6DC22537"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2) Company Introduction</w:t>
      </w:r>
    </w:p>
    <w:p w14:paraId="6FF76166" w14:textId="1DF313EE" w:rsidR="00376952" w:rsidRDefault="00376952" w:rsidP="00376952">
      <w:pPr>
        <w:spacing w:after="120" w:line="240" w:lineRule="auto"/>
        <w:rPr>
          <w:color w:val="4A4A4A"/>
          <w:sz w:val="22"/>
        </w:rPr>
      </w:pPr>
      <w:r w:rsidRPr="00376952">
        <w:rPr>
          <w:color w:val="4A4A4A"/>
          <w:sz w:val="22"/>
        </w:rPr>
        <w:t>Impetus Strategy is a leading consulting firm based in Riyadh, Saudi Arabia, dedicated to creating impactful solutions across various sectors, including public sector development, economic growth, and social innovation. Founded on the principles of analytical thinking and collaboration, our mission is to prioritize impact beyond profitability, ensuring that our projects contribute positively to society. We have a robust track record of successful projects, including comprehensive assessments and strategic frameworks for key national initiatives. Our team comprises local and international experts with extensive experience in the Hajj and Umrah sectors, enabling us to deliver tailored solutions that meet the unique challenges of this field. Our partnerships with renowned organizations further enhance our capabilities, positioning us as a trusted partner for the Expenditure Efficiency &amp; Projects Authority.</w:t>
      </w:r>
    </w:p>
    <w:p w14:paraId="13B9D386" w14:textId="5AF48076"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3) Understanding of the RFP and Objectives</w:t>
      </w:r>
    </w:p>
    <w:p w14:paraId="6EBE7CAA" w14:textId="3B777308" w:rsidR="00376952" w:rsidRDefault="00376952" w:rsidP="00376952">
      <w:pPr>
        <w:spacing w:after="120" w:line="240" w:lineRule="auto"/>
        <w:rPr>
          <w:color w:val="4A4A4A"/>
          <w:sz w:val="22"/>
        </w:rPr>
      </w:pPr>
      <w:r w:rsidRPr="00376952">
        <w:rPr>
          <w:color w:val="4A4A4A"/>
          <w:sz w:val="22"/>
        </w:rPr>
        <w:t>The RFP issued by the Expenditure Efficiency &amp; Projects Authority outlines the need for developing job standards and qualifications for Hajj and Umrah service providers. The objective is to create a framework that enhances service delivery, ensures compliance with best practices, and aligns with the overarching goals of Vision 2030. We understand that the project requires a comprehensive approach that includes stakeholder engagement, needs assessment, and the establishment of clear standards that can be effectively communicated and implemented. Our methodology will involve a thorough analysis of current practices, identification of gaps, and the development of actionable recommendations that can be adopted by service providers. We recognize the importance of this initiative not only for improving service quality but also for enhancing the overall experience of pilgrims, which is vital for the continued success of the Hajj and Umrah sectors.</w:t>
      </w:r>
    </w:p>
    <w:p w14:paraId="75B6C204" w14:textId="7F3DF96D"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4) Technical Approach and Methodology</w:t>
      </w:r>
    </w:p>
    <w:p w14:paraId="669739CC" w14:textId="793520EA" w:rsidR="00376952" w:rsidRDefault="00376952" w:rsidP="00376952">
      <w:pPr>
        <w:spacing w:after="120" w:line="240" w:lineRule="auto"/>
        <w:rPr>
          <w:color w:val="4A4A4A"/>
          <w:sz w:val="22"/>
        </w:rPr>
      </w:pPr>
      <w:r w:rsidRPr="00376952">
        <w:rPr>
          <w:color w:val="4A4A4A"/>
          <w:sz w:val="22"/>
        </w:rPr>
        <w:t>Our technical approach to developing job standards and qualifications for Hajj and Umrah service providers is structured into three key components: framework overview, phased methodology, and methodological pillars. The framework will be designed to ensure that standards are practical, measurable, and aligned with the unique challenges of the Hajj and Umrah sectors. The phased methodology will involve initial stakeholder engagement to gather insights, followed by a detailed analysis of current practices and the development of standards. Methodological pillars will include evidence-based policies, stakeholder engagement, and continuous improvement mechanisms. This approach ensures that the standards developed are not only relevant but also sustainable, allowing for ongoing evaluation and adaptation as needed.</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6952" w14:paraId="50BAA801" w14:textId="77777777" w:rsidTr="00376952">
        <w:tblPrEx>
          <w:tblCellMar>
            <w:top w:w="0" w:type="dxa"/>
            <w:bottom w:w="0" w:type="dxa"/>
          </w:tblCellMar>
        </w:tblPrEx>
        <w:tc>
          <w:tcPr>
            <w:tcW w:w="1666" w:type="pct"/>
          </w:tcPr>
          <w:p w14:paraId="08704F4D" w14:textId="04A62368" w:rsidR="00376952" w:rsidRPr="00376952" w:rsidRDefault="00376952" w:rsidP="00376952">
            <w:pPr>
              <w:spacing w:after="120" w:line="240" w:lineRule="auto"/>
              <w:jc w:val="center"/>
              <w:rPr>
                <w:b/>
                <w:color w:val="000000"/>
                <w:sz w:val="20"/>
              </w:rPr>
            </w:pPr>
            <w:r w:rsidRPr="00376952">
              <w:rPr>
                <w:b/>
                <w:color w:val="000000"/>
                <w:sz w:val="20"/>
              </w:rPr>
              <w:t>Phase</w:t>
            </w:r>
          </w:p>
        </w:tc>
        <w:tc>
          <w:tcPr>
            <w:tcW w:w="1667" w:type="pct"/>
          </w:tcPr>
          <w:p w14:paraId="579F0102" w14:textId="74A90A12" w:rsidR="00376952" w:rsidRPr="00376952" w:rsidRDefault="00376952" w:rsidP="00376952">
            <w:pPr>
              <w:spacing w:after="120" w:line="240" w:lineRule="auto"/>
              <w:jc w:val="center"/>
              <w:rPr>
                <w:b/>
                <w:color w:val="000000"/>
                <w:sz w:val="20"/>
              </w:rPr>
            </w:pPr>
            <w:r w:rsidRPr="00376952">
              <w:rPr>
                <w:b/>
                <w:color w:val="000000"/>
                <w:sz w:val="20"/>
              </w:rPr>
              <w:t>Activities</w:t>
            </w:r>
          </w:p>
        </w:tc>
        <w:tc>
          <w:tcPr>
            <w:tcW w:w="1667" w:type="pct"/>
          </w:tcPr>
          <w:p w14:paraId="09F680DF" w14:textId="13F444B6" w:rsidR="00376952" w:rsidRPr="00376952" w:rsidRDefault="00376952" w:rsidP="00376952">
            <w:pPr>
              <w:spacing w:after="120" w:line="240" w:lineRule="auto"/>
              <w:jc w:val="center"/>
              <w:rPr>
                <w:b/>
                <w:color w:val="000000"/>
                <w:sz w:val="20"/>
              </w:rPr>
            </w:pPr>
            <w:r w:rsidRPr="00376952">
              <w:rPr>
                <w:b/>
                <w:color w:val="000000"/>
                <w:sz w:val="20"/>
              </w:rPr>
              <w:t>Duration</w:t>
            </w:r>
          </w:p>
        </w:tc>
      </w:tr>
      <w:tr w:rsidR="00376952" w14:paraId="2E5ED59D" w14:textId="77777777" w:rsidTr="00376952">
        <w:tblPrEx>
          <w:tblCellMar>
            <w:top w:w="0" w:type="dxa"/>
            <w:bottom w:w="0" w:type="dxa"/>
          </w:tblCellMar>
        </w:tblPrEx>
        <w:tc>
          <w:tcPr>
            <w:tcW w:w="1666" w:type="pct"/>
          </w:tcPr>
          <w:p w14:paraId="23CC02A9" w14:textId="1CFCAA73" w:rsidR="00376952" w:rsidRPr="00376952" w:rsidRDefault="00376952" w:rsidP="00376952">
            <w:pPr>
              <w:spacing w:after="120" w:line="240" w:lineRule="auto"/>
              <w:jc w:val="right"/>
              <w:rPr>
                <w:color w:val="000000"/>
                <w:sz w:val="20"/>
              </w:rPr>
            </w:pPr>
            <w:r w:rsidRPr="00376952">
              <w:rPr>
                <w:color w:val="000000"/>
                <w:sz w:val="20"/>
              </w:rPr>
              <w:t>Phase 1: Stakeholder Engagement</w:t>
            </w:r>
          </w:p>
        </w:tc>
        <w:tc>
          <w:tcPr>
            <w:tcW w:w="1667" w:type="pct"/>
          </w:tcPr>
          <w:p w14:paraId="648ECE21" w14:textId="2423B753" w:rsidR="00376952" w:rsidRPr="00376952" w:rsidRDefault="00376952" w:rsidP="00376952">
            <w:pPr>
              <w:spacing w:after="120" w:line="240" w:lineRule="auto"/>
              <w:jc w:val="right"/>
              <w:rPr>
                <w:color w:val="000000"/>
                <w:sz w:val="20"/>
              </w:rPr>
            </w:pPr>
            <w:r w:rsidRPr="00376952">
              <w:rPr>
                <w:color w:val="000000"/>
                <w:sz w:val="20"/>
              </w:rPr>
              <w:t>Conduct workshops and interviews with key stakeholders.</w:t>
            </w:r>
          </w:p>
        </w:tc>
        <w:tc>
          <w:tcPr>
            <w:tcW w:w="1667" w:type="pct"/>
          </w:tcPr>
          <w:p w14:paraId="5586C5CB" w14:textId="093CB1D0" w:rsidR="00376952" w:rsidRPr="00376952" w:rsidRDefault="00376952" w:rsidP="00376952">
            <w:pPr>
              <w:spacing w:after="120" w:line="240" w:lineRule="auto"/>
              <w:jc w:val="right"/>
              <w:rPr>
                <w:color w:val="000000"/>
                <w:sz w:val="20"/>
              </w:rPr>
            </w:pPr>
            <w:r w:rsidRPr="00376952">
              <w:rPr>
                <w:color w:val="000000"/>
                <w:sz w:val="20"/>
              </w:rPr>
              <w:t>Month 1-2</w:t>
            </w:r>
          </w:p>
        </w:tc>
      </w:tr>
      <w:tr w:rsidR="00376952" w14:paraId="7BACE95C" w14:textId="77777777" w:rsidTr="00376952">
        <w:tblPrEx>
          <w:tblCellMar>
            <w:top w:w="0" w:type="dxa"/>
            <w:bottom w:w="0" w:type="dxa"/>
          </w:tblCellMar>
        </w:tblPrEx>
        <w:tc>
          <w:tcPr>
            <w:tcW w:w="1666" w:type="pct"/>
          </w:tcPr>
          <w:p w14:paraId="0735ABD9" w14:textId="787E370D" w:rsidR="00376952" w:rsidRPr="00376952" w:rsidRDefault="00376952" w:rsidP="00376952">
            <w:pPr>
              <w:spacing w:after="120" w:line="240" w:lineRule="auto"/>
              <w:jc w:val="right"/>
              <w:rPr>
                <w:color w:val="000000"/>
                <w:sz w:val="20"/>
              </w:rPr>
            </w:pPr>
            <w:r w:rsidRPr="00376952">
              <w:rPr>
                <w:color w:val="000000"/>
                <w:sz w:val="20"/>
              </w:rPr>
              <w:t>Phase 2: Needs Assessment</w:t>
            </w:r>
          </w:p>
        </w:tc>
        <w:tc>
          <w:tcPr>
            <w:tcW w:w="1667" w:type="pct"/>
          </w:tcPr>
          <w:p w14:paraId="310E6612" w14:textId="1D12DA4C" w:rsidR="00376952" w:rsidRPr="00376952" w:rsidRDefault="00376952" w:rsidP="00376952">
            <w:pPr>
              <w:spacing w:after="120" w:line="240" w:lineRule="auto"/>
              <w:jc w:val="right"/>
              <w:rPr>
                <w:color w:val="000000"/>
                <w:sz w:val="20"/>
              </w:rPr>
            </w:pPr>
            <w:r w:rsidRPr="00376952">
              <w:rPr>
                <w:color w:val="000000"/>
                <w:sz w:val="20"/>
              </w:rPr>
              <w:t>Analyze current practices and identify gaps.</w:t>
            </w:r>
          </w:p>
        </w:tc>
        <w:tc>
          <w:tcPr>
            <w:tcW w:w="1667" w:type="pct"/>
          </w:tcPr>
          <w:p w14:paraId="106E89E6" w14:textId="774D50BA" w:rsidR="00376952" w:rsidRPr="00376952" w:rsidRDefault="00376952" w:rsidP="00376952">
            <w:pPr>
              <w:spacing w:after="120" w:line="240" w:lineRule="auto"/>
              <w:jc w:val="right"/>
              <w:rPr>
                <w:color w:val="000000"/>
                <w:sz w:val="20"/>
              </w:rPr>
            </w:pPr>
            <w:r w:rsidRPr="00376952">
              <w:rPr>
                <w:color w:val="000000"/>
                <w:sz w:val="20"/>
              </w:rPr>
              <w:t>Month 3-4</w:t>
            </w:r>
          </w:p>
        </w:tc>
      </w:tr>
      <w:tr w:rsidR="00376952" w14:paraId="12730748" w14:textId="77777777" w:rsidTr="00376952">
        <w:tblPrEx>
          <w:tblCellMar>
            <w:top w:w="0" w:type="dxa"/>
            <w:bottom w:w="0" w:type="dxa"/>
          </w:tblCellMar>
        </w:tblPrEx>
        <w:tc>
          <w:tcPr>
            <w:tcW w:w="1666" w:type="pct"/>
          </w:tcPr>
          <w:p w14:paraId="33816017" w14:textId="6C1ED578" w:rsidR="00376952" w:rsidRPr="00376952" w:rsidRDefault="00376952" w:rsidP="00376952">
            <w:pPr>
              <w:spacing w:after="120" w:line="240" w:lineRule="auto"/>
              <w:jc w:val="right"/>
              <w:rPr>
                <w:color w:val="000000"/>
                <w:sz w:val="20"/>
              </w:rPr>
            </w:pPr>
            <w:r w:rsidRPr="00376952">
              <w:rPr>
                <w:color w:val="000000"/>
                <w:sz w:val="20"/>
              </w:rPr>
              <w:t>Phase 3: Standard Development</w:t>
            </w:r>
          </w:p>
        </w:tc>
        <w:tc>
          <w:tcPr>
            <w:tcW w:w="1667" w:type="pct"/>
          </w:tcPr>
          <w:p w14:paraId="05501AF7" w14:textId="75F05DFE" w:rsidR="00376952" w:rsidRPr="00376952" w:rsidRDefault="00376952" w:rsidP="00376952">
            <w:pPr>
              <w:spacing w:after="120" w:line="240" w:lineRule="auto"/>
              <w:jc w:val="right"/>
              <w:rPr>
                <w:color w:val="000000"/>
                <w:sz w:val="20"/>
              </w:rPr>
            </w:pPr>
            <w:r w:rsidRPr="00376952">
              <w:rPr>
                <w:color w:val="000000"/>
                <w:sz w:val="20"/>
              </w:rPr>
              <w:t>Develop and validate job standards and qualifications.</w:t>
            </w:r>
          </w:p>
        </w:tc>
        <w:tc>
          <w:tcPr>
            <w:tcW w:w="1667" w:type="pct"/>
          </w:tcPr>
          <w:p w14:paraId="6D272994" w14:textId="2152CDCA" w:rsidR="00376952" w:rsidRPr="00376952" w:rsidRDefault="00376952" w:rsidP="00376952">
            <w:pPr>
              <w:spacing w:after="120" w:line="240" w:lineRule="auto"/>
              <w:jc w:val="right"/>
              <w:rPr>
                <w:color w:val="000000"/>
                <w:sz w:val="20"/>
              </w:rPr>
            </w:pPr>
            <w:r w:rsidRPr="00376952">
              <w:rPr>
                <w:color w:val="000000"/>
                <w:sz w:val="20"/>
              </w:rPr>
              <w:t>Month 5-8</w:t>
            </w:r>
          </w:p>
        </w:tc>
      </w:tr>
      <w:tr w:rsidR="00376952" w14:paraId="1131A5CF" w14:textId="77777777" w:rsidTr="00376952">
        <w:tblPrEx>
          <w:tblCellMar>
            <w:top w:w="0" w:type="dxa"/>
            <w:bottom w:w="0" w:type="dxa"/>
          </w:tblCellMar>
        </w:tblPrEx>
        <w:tc>
          <w:tcPr>
            <w:tcW w:w="1666" w:type="pct"/>
          </w:tcPr>
          <w:p w14:paraId="61EB1A03" w14:textId="00AD833F" w:rsidR="00376952" w:rsidRPr="00376952" w:rsidRDefault="00376952" w:rsidP="00376952">
            <w:pPr>
              <w:spacing w:after="120" w:line="240" w:lineRule="auto"/>
              <w:jc w:val="right"/>
              <w:rPr>
                <w:color w:val="000000"/>
                <w:sz w:val="20"/>
              </w:rPr>
            </w:pPr>
            <w:r w:rsidRPr="00376952">
              <w:rPr>
                <w:color w:val="000000"/>
                <w:sz w:val="20"/>
              </w:rPr>
              <w:t>Phase 4: Implementation Planning</w:t>
            </w:r>
          </w:p>
        </w:tc>
        <w:tc>
          <w:tcPr>
            <w:tcW w:w="1667" w:type="pct"/>
          </w:tcPr>
          <w:p w14:paraId="1351E286" w14:textId="1B90B898" w:rsidR="00376952" w:rsidRPr="00376952" w:rsidRDefault="00376952" w:rsidP="00376952">
            <w:pPr>
              <w:spacing w:after="120" w:line="240" w:lineRule="auto"/>
              <w:jc w:val="right"/>
              <w:rPr>
                <w:color w:val="000000"/>
                <w:sz w:val="20"/>
              </w:rPr>
            </w:pPr>
            <w:r w:rsidRPr="00376952">
              <w:rPr>
                <w:color w:val="000000"/>
                <w:sz w:val="20"/>
              </w:rPr>
              <w:t>Create a roadmap for implementation and training.</w:t>
            </w:r>
          </w:p>
        </w:tc>
        <w:tc>
          <w:tcPr>
            <w:tcW w:w="1667" w:type="pct"/>
          </w:tcPr>
          <w:p w14:paraId="476BE4B4" w14:textId="1A06553F" w:rsidR="00376952" w:rsidRPr="00376952" w:rsidRDefault="00376952" w:rsidP="00376952">
            <w:pPr>
              <w:spacing w:after="120" w:line="240" w:lineRule="auto"/>
              <w:jc w:val="right"/>
              <w:rPr>
                <w:color w:val="000000"/>
                <w:sz w:val="20"/>
              </w:rPr>
            </w:pPr>
            <w:r w:rsidRPr="00376952">
              <w:rPr>
                <w:color w:val="000000"/>
                <w:sz w:val="20"/>
              </w:rPr>
              <w:t>Month 9-10</w:t>
            </w:r>
          </w:p>
        </w:tc>
      </w:tr>
      <w:tr w:rsidR="00376952" w14:paraId="331696DB" w14:textId="77777777" w:rsidTr="00376952">
        <w:tblPrEx>
          <w:tblCellMar>
            <w:top w:w="0" w:type="dxa"/>
            <w:bottom w:w="0" w:type="dxa"/>
          </w:tblCellMar>
        </w:tblPrEx>
        <w:tc>
          <w:tcPr>
            <w:tcW w:w="1666" w:type="pct"/>
          </w:tcPr>
          <w:p w14:paraId="38B2B690" w14:textId="00010F72" w:rsidR="00376952" w:rsidRPr="00376952" w:rsidRDefault="00376952" w:rsidP="00376952">
            <w:pPr>
              <w:spacing w:after="120" w:line="240" w:lineRule="auto"/>
              <w:jc w:val="right"/>
              <w:rPr>
                <w:color w:val="000000"/>
                <w:sz w:val="20"/>
              </w:rPr>
            </w:pPr>
            <w:r w:rsidRPr="00376952">
              <w:rPr>
                <w:color w:val="000000"/>
                <w:sz w:val="20"/>
              </w:rPr>
              <w:t>Phase 5: Monitoring and Evaluation</w:t>
            </w:r>
          </w:p>
        </w:tc>
        <w:tc>
          <w:tcPr>
            <w:tcW w:w="1667" w:type="pct"/>
          </w:tcPr>
          <w:p w14:paraId="3B128D47" w14:textId="43BA3110" w:rsidR="00376952" w:rsidRPr="00376952" w:rsidRDefault="00376952" w:rsidP="00376952">
            <w:pPr>
              <w:spacing w:after="120" w:line="240" w:lineRule="auto"/>
              <w:jc w:val="right"/>
              <w:rPr>
                <w:color w:val="000000"/>
                <w:sz w:val="20"/>
              </w:rPr>
            </w:pPr>
            <w:r w:rsidRPr="00376952">
              <w:rPr>
                <w:color w:val="000000"/>
                <w:sz w:val="20"/>
              </w:rPr>
              <w:t>Establish metrics for success and feedback mechanisms.</w:t>
            </w:r>
          </w:p>
        </w:tc>
        <w:tc>
          <w:tcPr>
            <w:tcW w:w="1667" w:type="pct"/>
          </w:tcPr>
          <w:p w14:paraId="51C2A3E6" w14:textId="58F90E30" w:rsidR="00376952" w:rsidRPr="00376952" w:rsidRDefault="00376952" w:rsidP="00376952">
            <w:pPr>
              <w:spacing w:after="120" w:line="240" w:lineRule="auto"/>
              <w:jc w:val="right"/>
              <w:rPr>
                <w:color w:val="000000"/>
                <w:sz w:val="20"/>
              </w:rPr>
            </w:pPr>
            <w:r w:rsidRPr="00376952">
              <w:rPr>
                <w:color w:val="000000"/>
                <w:sz w:val="20"/>
              </w:rPr>
              <w:t>Month 11-12</w:t>
            </w:r>
          </w:p>
        </w:tc>
      </w:tr>
    </w:tbl>
    <w:p w14:paraId="782527AA" w14:textId="77777777" w:rsidR="00376952" w:rsidRDefault="00376952" w:rsidP="00376952">
      <w:pPr>
        <w:spacing w:after="120" w:line="240" w:lineRule="auto"/>
        <w:jc w:val="right"/>
        <w:rPr>
          <w:color w:val="4A4A4A"/>
          <w:sz w:val="22"/>
        </w:rPr>
      </w:pPr>
    </w:p>
    <w:p w14:paraId="307FE084" w14:textId="34D4E2C6"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5) Project Architecture</w:t>
      </w:r>
    </w:p>
    <w:p w14:paraId="64B727AA" w14:textId="3327DCFF" w:rsidR="00376952" w:rsidRDefault="00376952" w:rsidP="00376952">
      <w:pPr>
        <w:spacing w:after="120" w:line="240" w:lineRule="auto"/>
        <w:rPr>
          <w:color w:val="4A4A4A"/>
          <w:sz w:val="22"/>
        </w:rPr>
      </w:pPr>
      <w:r w:rsidRPr="00376952">
        <w:rPr>
          <w:color w:val="4A4A4A"/>
          <w:sz w:val="22"/>
        </w:rPr>
        <w:t>The project architecture will encompass the system components necessary for developing and implementing job standards for Hajj and Umrah service providers. This includes a centralized database for storing standards, training materials, and compliance documentation. Data flow will involve collecting insights from stakeholders, analyzing current service delivery practices, and disseminating standards to service providers. Integration with existing systems used by service providers will be essential to ensure seamless adoption. The technology stack will include cloud-based solutions for data storage, analytical tools for data processing, and communication platforms for stakeholder engagement. This architecture will facilitate efficient data management and enable real-time updates to standards as needed, ensuring that service providers remain compliant with evolving requirements.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6952" w14:paraId="24E21371" w14:textId="77777777" w:rsidTr="00376952">
        <w:tblPrEx>
          <w:tblCellMar>
            <w:top w:w="0" w:type="dxa"/>
            <w:bottom w:w="0" w:type="dxa"/>
          </w:tblCellMar>
        </w:tblPrEx>
        <w:tc>
          <w:tcPr>
            <w:tcW w:w="1666" w:type="pct"/>
          </w:tcPr>
          <w:p w14:paraId="38A30D19" w14:textId="3D6B864D" w:rsidR="00376952" w:rsidRPr="00376952" w:rsidRDefault="00376952" w:rsidP="00376952">
            <w:pPr>
              <w:spacing w:after="120" w:line="240" w:lineRule="auto"/>
              <w:jc w:val="center"/>
              <w:rPr>
                <w:b/>
                <w:color w:val="000000"/>
                <w:sz w:val="20"/>
              </w:rPr>
            </w:pPr>
            <w:r w:rsidRPr="00376952">
              <w:rPr>
                <w:b/>
                <w:color w:val="000000"/>
                <w:sz w:val="20"/>
              </w:rPr>
              <w:t>Component</w:t>
            </w:r>
          </w:p>
        </w:tc>
        <w:tc>
          <w:tcPr>
            <w:tcW w:w="1667" w:type="pct"/>
          </w:tcPr>
          <w:p w14:paraId="623A5A2A" w14:textId="610C07C5" w:rsidR="00376952" w:rsidRPr="00376952" w:rsidRDefault="00376952" w:rsidP="00376952">
            <w:pPr>
              <w:spacing w:after="120" w:line="240" w:lineRule="auto"/>
              <w:jc w:val="center"/>
              <w:rPr>
                <w:b/>
                <w:color w:val="000000"/>
                <w:sz w:val="20"/>
              </w:rPr>
            </w:pPr>
            <w:r w:rsidRPr="00376952">
              <w:rPr>
                <w:b/>
                <w:color w:val="000000"/>
                <w:sz w:val="20"/>
              </w:rPr>
              <w:t>Description</w:t>
            </w:r>
          </w:p>
        </w:tc>
        <w:tc>
          <w:tcPr>
            <w:tcW w:w="1667" w:type="pct"/>
          </w:tcPr>
          <w:p w14:paraId="73A1E52E" w14:textId="2592FB91" w:rsidR="00376952" w:rsidRPr="00376952" w:rsidRDefault="00376952" w:rsidP="00376952">
            <w:pPr>
              <w:spacing w:after="120" w:line="240" w:lineRule="auto"/>
              <w:jc w:val="center"/>
              <w:rPr>
                <w:b/>
                <w:color w:val="000000"/>
                <w:sz w:val="20"/>
              </w:rPr>
            </w:pPr>
            <w:r w:rsidRPr="00376952">
              <w:rPr>
                <w:b/>
                <w:color w:val="000000"/>
                <w:sz w:val="20"/>
              </w:rPr>
              <w:t>Technology</w:t>
            </w:r>
          </w:p>
        </w:tc>
      </w:tr>
      <w:tr w:rsidR="00376952" w14:paraId="01D635F8" w14:textId="77777777" w:rsidTr="00376952">
        <w:tblPrEx>
          <w:tblCellMar>
            <w:top w:w="0" w:type="dxa"/>
            <w:bottom w:w="0" w:type="dxa"/>
          </w:tblCellMar>
        </w:tblPrEx>
        <w:tc>
          <w:tcPr>
            <w:tcW w:w="1666" w:type="pct"/>
          </w:tcPr>
          <w:p w14:paraId="1010A81A" w14:textId="12C9ABD7" w:rsidR="00376952" w:rsidRPr="00376952" w:rsidRDefault="00376952" w:rsidP="00376952">
            <w:pPr>
              <w:spacing w:after="120" w:line="240" w:lineRule="auto"/>
              <w:jc w:val="right"/>
              <w:rPr>
                <w:color w:val="000000"/>
                <w:sz w:val="20"/>
              </w:rPr>
            </w:pPr>
            <w:r w:rsidRPr="00376952">
              <w:rPr>
                <w:color w:val="000000"/>
                <w:sz w:val="20"/>
              </w:rPr>
              <w:t>Centralized Database</w:t>
            </w:r>
          </w:p>
        </w:tc>
        <w:tc>
          <w:tcPr>
            <w:tcW w:w="1667" w:type="pct"/>
          </w:tcPr>
          <w:p w14:paraId="6A0D9CF3" w14:textId="5DD2197E" w:rsidR="00376952" w:rsidRPr="00376952" w:rsidRDefault="00376952" w:rsidP="00376952">
            <w:pPr>
              <w:spacing w:after="120" w:line="240" w:lineRule="auto"/>
              <w:jc w:val="right"/>
              <w:rPr>
                <w:color w:val="000000"/>
                <w:sz w:val="20"/>
              </w:rPr>
            </w:pPr>
            <w:r w:rsidRPr="00376952">
              <w:rPr>
                <w:color w:val="000000"/>
                <w:sz w:val="20"/>
              </w:rPr>
              <w:t>Stores standards and compliance documentation.</w:t>
            </w:r>
          </w:p>
        </w:tc>
        <w:tc>
          <w:tcPr>
            <w:tcW w:w="1667" w:type="pct"/>
          </w:tcPr>
          <w:p w14:paraId="274AF643" w14:textId="6028CE10" w:rsidR="00376952" w:rsidRPr="00376952" w:rsidRDefault="00376952" w:rsidP="00376952">
            <w:pPr>
              <w:spacing w:after="120" w:line="240" w:lineRule="auto"/>
              <w:jc w:val="right"/>
              <w:rPr>
                <w:color w:val="000000"/>
                <w:sz w:val="20"/>
              </w:rPr>
            </w:pPr>
            <w:r w:rsidRPr="00376952">
              <w:rPr>
                <w:color w:val="000000"/>
                <w:sz w:val="20"/>
              </w:rPr>
              <w:t>Cloud-based storage solution</w:t>
            </w:r>
          </w:p>
        </w:tc>
      </w:tr>
      <w:tr w:rsidR="00376952" w14:paraId="4CAA2F67" w14:textId="77777777" w:rsidTr="00376952">
        <w:tblPrEx>
          <w:tblCellMar>
            <w:top w:w="0" w:type="dxa"/>
            <w:bottom w:w="0" w:type="dxa"/>
          </w:tblCellMar>
        </w:tblPrEx>
        <w:tc>
          <w:tcPr>
            <w:tcW w:w="1666" w:type="pct"/>
          </w:tcPr>
          <w:p w14:paraId="11E12577" w14:textId="18762D1B" w:rsidR="00376952" w:rsidRPr="00376952" w:rsidRDefault="00376952" w:rsidP="00376952">
            <w:pPr>
              <w:spacing w:after="120" w:line="240" w:lineRule="auto"/>
              <w:jc w:val="right"/>
              <w:rPr>
                <w:color w:val="000000"/>
                <w:sz w:val="20"/>
              </w:rPr>
            </w:pPr>
            <w:r w:rsidRPr="00376952">
              <w:rPr>
                <w:color w:val="000000"/>
                <w:sz w:val="20"/>
              </w:rPr>
              <w:t>Data Analytics Tools</w:t>
            </w:r>
          </w:p>
        </w:tc>
        <w:tc>
          <w:tcPr>
            <w:tcW w:w="1667" w:type="pct"/>
          </w:tcPr>
          <w:p w14:paraId="05670CD2" w14:textId="08AD30DD" w:rsidR="00376952" w:rsidRPr="00376952" w:rsidRDefault="00376952" w:rsidP="00376952">
            <w:pPr>
              <w:spacing w:after="120" w:line="240" w:lineRule="auto"/>
              <w:jc w:val="right"/>
              <w:rPr>
                <w:color w:val="000000"/>
                <w:sz w:val="20"/>
              </w:rPr>
            </w:pPr>
            <w:r w:rsidRPr="00376952">
              <w:rPr>
                <w:color w:val="000000"/>
                <w:sz w:val="20"/>
              </w:rPr>
              <w:t>Processes insights and identifies trends.</w:t>
            </w:r>
          </w:p>
        </w:tc>
        <w:tc>
          <w:tcPr>
            <w:tcW w:w="1667" w:type="pct"/>
          </w:tcPr>
          <w:p w14:paraId="5D637C73" w14:textId="77384FC5" w:rsidR="00376952" w:rsidRPr="00376952" w:rsidRDefault="00376952" w:rsidP="00376952">
            <w:pPr>
              <w:spacing w:after="120" w:line="240" w:lineRule="auto"/>
              <w:jc w:val="right"/>
              <w:rPr>
                <w:color w:val="000000"/>
                <w:sz w:val="20"/>
              </w:rPr>
            </w:pPr>
            <w:r w:rsidRPr="00376952">
              <w:rPr>
                <w:color w:val="000000"/>
                <w:sz w:val="20"/>
              </w:rPr>
              <w:t>Data visualization software</w:t>
            </w:r>
          </w:p>
        </w:tc>
      </w:tr>
      <w:tr w:rsidR="00376952" w14:paraId="411B1E96" w14:textId="77777777" w:rsidTr="00376952">
        <w:tblPrEx>
          <w:tblCellMar>
            <w:top w:w="0" w:type="dxa"/>
            <w:bottom w:w="0" w:type="dxa"/>
          </w:tblCellMar>
        </w:tblPrEx>
        <w:tc>
          <w:tcPr>
            <w:tcW w:w="1666" w:type="pct"/>
          </w:tcPr>
          <w:p w14:paraId="37E96446" w14:textId="46592F54" w:rsidR="00376952" w:rsidRPr="00376952" w:rsidRDefault="00376952" w:rsidP="00376952">
            <w:pPr>
              <w:spacing w:after="120" w:line="240" w:lineRule="auto"/>
              <w:jc w:val="right"/>
              <w:rPr>
                <w:color w:val="000000"/>
                <w:sz w:val="20"/>
              </w:rPr>
            </w:pPr>
            <w:r w:rsidRPr="00376952">
              <w:rPr>
                <w:color w:val="000000"/>
                <w:sz w:val="20"/>
              </w:rPr>
              <w:t>Communication Platform</w:t>
            </w:r>
          </w:p>
        </w:tc>
        <w:tc>
          <w:tcPr>
            <w:tcW w:w="1667" w:type="pct"/>
          </w:tcPr>
          <w:p w14:paraId="0FB8B3D0" w14:textId="66797F9B" w:rsidR="00376952" w:rsidRPr="00376952" w:rsidRDefault="00376952" w:rsidP="00376952">
            <w:pPr>
              <w:spacing w:after="120" w:line="240" w:lineRule="auto"/>
              <w:jc w:val="right"/>
              <w:rPr>
                <w:color w:val="000000"/>
                <w:sz w:val="20"/>
              </w:rPr>
            </w:pPr>
            <w:r w:rsidRPr="00376952">
              <w:rPr>
                <w:color w:val="000000"/>
                <w:sz w:val="20"/>
              </w:rPr>
              <w:t>Facilitates stakeholder engagement and feedback.</w:t>
            </w:r>
          </w:p>
        </w:tc>
        <w:tc>
          <w:tcPr>
            <w:tcW w:w="1667" w:type="pct"/>
          </w:tcPr>
          <w:p w14:paraId="3BD6F8FF" w14:textId="5E215232" w:rsidR="00376952" w:rsidRPr="00376952" w:rsidRDefault="00376952" w:rsidP="00376952">
            <w:pPr>
              <w:spacing w:after="120" w:line="240" w:lineRule="auto"/>
              <w:jc w:val="right"/>
              <w:rPr>
                <w:color w:val="000000"/>
                <w:sz w:val="20"/>
              </w:rPr>
            </w:pPr>
            <w:r w:rsidRPr="00376952">
              <w:rPr>
                <w:color w:val="000000"/>
                <w:sz w:val="20"/>
              </w:rPr>
              <w:t>Collaboration tools</w:t>
            </w:r>
          </w:p>
        </w:tc>
      </w:tr>
      <w:tr w:rsidR="00376952" w14:paraId="061A6399" w14:textId="77777777" w:rsidTr="00376952">
        <w:tblPrEx>
          <w:tblCellMar>
            <w:top w:w="0" w:type="dxa"/>
            <w:bottom w:w="0" w:type="dxa"/>
          </w:tblCellMar>
        </w:tblPrEx>
        <w:tc>
          <w:tcPr>
            <w:tcW w:w="1666" w:type="pct"/>
          </w:tcPr>
          <w:p w14:paraId="48713310" w14:textId="3F5B2FCA" w:rsidR="00376952" w:rsidRPr="00376952" w:rsidRDefault="00376952" w:rsidP="00376952">
            <w:pPr>
              <w:spacing w:after="120" w:line="240" w:lineRule="auto"/>
              <w:jc w:val="right"/>
              <w:rPr>
                <w:color w:val="000000"/>
                <w:sz w:val="20"/>
              </w:rPr>
            </w:pPr>
            <w:r w:rsidRPr="00376952">
              <w:rPr>
                <w:color w:val="000000"/>
                <w:sz w:val="20"/>
              </w:rPr>
              <w:t>Integration Framework</w:t>
            </w:r>
          </w:p>
        </w:tc>
        <w:tc>
          <w:tcPr>
            <w:tcW w:w="1667" w:type="pct"/>
          </w:tcPr>
          <w:p w14:paraId="39C0CD19" w14:textId="28453A3E" w:rsidR="00376952" w:rsidRPr="00376952" w:rsidRDefault="00376952" w:rsidP="00376952">
            <w:pPr>
              <w:spacing w:after="120" w:line="240" w:lineRule="auto"/>
              <w:jc w:val="right"/>
              <w:rPr>
                <w:color w:val="000000"/>
                <w:sz w:val="20"/>
              </w:rPr>
            </w:pPr>
            <w:r w:rsidRPr="00376952">
              <w:rPr>
                <w:color w:val="000000"/>
                <w:sz w:val="20"/>
              </w:rPr>
              <w:t>Ensures compatibility with service provider systems.</w:t>
            </w:r>
          </w:p>
        </w:tc>
        <w:tc>
          <w:tcPr>
            <w:tcW w:w="1667" w:type="pct"/>
          </w:tcPr>
          <w:p w14:paraId="3488FB38" w14:textId="02D8188C" w:rsidR="00376952" w:rsidRPr="00376952" w:rsidRDefault="00376952" w:rsidP="00376952">
            <w:pPr>
              <w:spacing w:after="120" w:line="240" w:lineRule="auto"/>
              <w:jc w:val="right"/>
              <w:rPr>
                <w:color w:val="000000"/>
                <w:sz w:val="20"/>
              </w:rPr>
            </w:pPr>
            <w:r w:rsidRPr="00376952">
              <w:rPr>
                <w:color w:val="000000"/>
                <w:sz w:val="20"/>
              </w:rPr>
              <w:t>API-based architecture</w:t>
            </w:r>
          </w:p>
        </w:tc>
      </w:tr>
    </w:tbl>
    <w:p w14:paraId="3A9820CE" w14:textId="77777777" w:rsidR="00376952" w:rsidRDefault="00376952" w:rsidP="00376952">
      <w:pPr>
        <w:spacing w:after="120" w:line="240" w:lineRule="auto"/>
        <w:jc w:val="right"/>
        <w:rPr>
          <w:color w:val="4A4A4A"/>
          <w:sz w:val="22"/>
        </w:rPr>
      </w:pPr>
    </w:p>
    <w:p w14:paraId="583BBF0F" w14:textId="071D8CC7"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6) Relevant Experience and Case Evidence</w:t>
      </w:r>
    </w:p>
    <w:p w14:paraId="1CE1A24B" w14:textId="6403DA7C" w:rsidR="00376952" w:rsidRDefault="00376952" w:rsidP="00376952">
      <w:pPr>
        <w:spacing w:after="120" w:line="240" w:lineRule="auto"/>
        <w:rPr>
          <w:color w:val="4A4A4A"/>
          <w:sz w:val="22"/>
        </w:rPr>
      </w:pPr>
      <w:r w:rsidRPr="00376952">
        <w:rPr>
          <w:color w:val="4A4A4A"/>
          <w:sz w:val="22"/>
        </w:rPr>
        <w:t>Impetus Strategy has extensive experience in conducting assessments and developing frameworks for service providers in various sectors, including Hajj and Umrah. Our project titled 'Community Needs Assessment for Rural Villages' for the National Center for Non-Profit Sector involved a comprehensive analysis of rural communities to identify needs and challenges. This project resulted in actionable recommendations that were implemented by local stakeholders. Additionally, our collaboration with the Royal Commission for Makkah City and Holy Sites on the 'Social and Economic Surveys of Priority Areas' provided us with valuable insights into the socio-economic realities of the region, which will inform our approach to developing job standards. Our proven methodologies and commitment to quality ensure that we are well-equipped to deliver on this project.</w:t>
      </w:r>
    </w:p>
    <w:p w14:paraId="102820E7" w14:textId="6E82F3F0"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7) Project Team and Roles</w:t>
      </w:r>
    </w:p>
    <w:p w14:paraId="40D79FDA" w14:textId="1FA02760" w:rsidR="00376952" w:rsidRDefault="00376952" w:rsidP="00376952">
      <w:pPr>
        <w:spacing w:after="120" w:line="240" w:lineRule="auto"/>
        <w:rPr>
          <w:color w:val="4A4A4A"/>
          <w:sz w:val="22"/>
        </w:rPr>
      </w:pPr>
      <w:r w:rsidRPr="00376952">
        <w:rPr>
          <w:color w:val="4A4A4A"/>
          <w:sz w:val="22"/>
        </w:rPr>
        <w:t>The project team for developing job standards and qualifications will consist of a multidisciplinary group of experts with extensive experience in Hajj and Umrah service delivery, social development, and project management. The team will be led by a Project Manager who will oversee all aspects of the project, ensuring that timelines and deliverables are met. Supporting roles will include subject matter experts in Hajj and Umrah services, data analysts who will process stakeholder insights, and training specialists who will develop and deliver training materials. Each team member will have clearly defined roles and responsibilities, ensuring effective collaboration and accountability throughout the project.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6952" w14:paraId="7B41417E" w14:textId="77777777" w:rsidTr="00376952">
        <w:tblPrEx>
          <w:tblCellMar>
            <w:top w:w="0" w:type="dxa"/>
            <w:bottom w:w="0" w:type="dxa"/>
          </w:tblCellMar>
        </w:tblPrEx>
        <w:tc>
          <w:tcPr>
            <w:tcW w:w="1666" w:type="pct"/>
          </w:tcPr>
          <w:p w14:paraId="2E42F5DB" w14:textId="3B9AB150" w:rsidR="00376952" w:rsidRPr="00376952" w:rsidRDefault="00376952" w:rsidP="00376952">
            <w:pPr>
              <w:spacing w:after="120" w:line="240" w:lineRule="auto"/>
              <w:jc w:val="center"/>
              <w:rPr>
                <w:b/>
                <w:color w:val="000000"/>
                <w:sz w:val="20"/>
              </w:rPr>
            </w:pPr>
            <w:r w:rsidRPr="00376952">
              <w:rPr>
                <w:b/>
                <w:color w:val="000000"/>
                <w:sz w:val="20"/>
              </w:rPr>
              <w:t>Role</w:t>
            </w:r>
          </w:p>
        </w:tc>
        <w:tc>
          <w:tcPr>
            <w:tcW w:w="1667" w:type="pct"/>
          </w:tcPr>
          <w:p w14:paraId="59DE98D7" w14:textId="38910EB3" w:rsidR="00376952" w:rsidRPr="00376952" w:rsidRDefault="00376952" w:rsidP="00376952">
            <w:pPr>
              <w:spacing w:after="120" w:line="240" w:lineRule="auto"/>
              <w:jc w:val="center"/>
              <w:rPr>
                <w:b/>
                <w:color w:val="000000"/>
                <w:sz w:val="20"/>
              </w:rPr>
            </w:pPr>
            <w:r w:rsidRPr="00376952">
              <w:rPr>
                <w:b/>
                <w:color w:val="000000"/>
                <w:sz w:val="20"/>
              </w:rPr>
              <w:t>Responsibilities</w:t>
            </w:r>
          </w:p>
        </w:tc>
        <w:tc>
          <w:tcPr>
            <w:tcW w:w="1667" w:type="pct"/>
          </w:tcPr>
          <w:p w14:paraId="4B9A587B" w14:textId="2FEDAB31" w:rsidR="00376952" w:rsidRPr="00376952" w:rsidRDefault="00376952" w:rsidP="00376952">
            <w:pPr>
              <w:spacing w:after="120" w:line="240" w:lineRule="auto"/>
              <w:jc w:val="center"/>
              <w:rPr>
                <w:b/>
                <w:color w:val="000000"/>
                <w:sz w:val="20"/>
              </w:rPr>
            </w:pPr>
            <w:r w:rsidRPr="00376952">
              <w:rPr>
                <w:b/>
                <w:color w:val="000000"/>
                <w:sz w:val="20"/>
              </w:rPr>
              <w:t>Expertise</w:t>
            </w:r>
          </w:p>
        </w:tc>
      </w:tr>
      <w:tr w:rsidR="00376952" w14:paraId="29C13FC9" w14:textId="77777777" w:rsidTr="00376952">
        <w:tblPrEx>
          <w:tblCellMar>
            <w:top w:w="0" w:type="dxa"/>
            <w:bottom w:w="0" w:type="dxa"/>
          </w:tblCellMar>
        </w:tblPrEx>
        <w:tc>
          <w:tcPr>
            <w:tcW w:w="1666" w:type="pct"/>
          </w:tcPr>
          <w:p w14:paraId="117A84AC" w14:textId="4BCD3930" w:rsidR="00376952" w:rsidRPr="00376952" w:rsidRDefault="00376952" w:rsidP="00376952">
            <w:pPr>
              <w:spacing w:after="120" w:line="240" w:lineRule="auto"/>
              <w:jc w:val="right"/>
              <w:rPr>
                <w:color w:val="000000"/>
                <w:sz w:val="20"/>
              </w:rPr>
            </w:pPr>
            <w:r w:rsidRPr="00376952">
              <w:rPr>
                <w:color w:val="000000"/>
                <w:sz w:val="20"/>
              </w:rPr>
              <w:t>Project Manager</w:t>
            </w:r>
          </w:p>
        </w:tc>
        <w:tc>
          <w:tcPr>
            <w:tcW w:w="1667" w:type="pct"/>
          </w:tcPr>
          <w:p w14:paraId="244084BE" w14:textId="1B17BDBB" w:rsidR="00376952" w:rsidRPr="00376952" w:rsidRDefault="00376952" w:rsidP="00376952">
            <w:pPr>
              <w:spacing w:after="120" w:line="240" w:lineRule="auto"/>
              <w:jc w:val="right"/>
              <w:rPr>
                <w:color w:val="000000"/>
                <w:sz w:val="20"/>
              </w:rPr>
            </w:pPr>
            <w:r w:rsidRPr="00376952">
              <w:rPr>
                <w:color w:val="000000"/>
                <w:sz w:val="20"/>
              </w:rPr>
              <w:t>Oversees project execution and management.</w:t>
            </w:r>
          </w:p>
        </w:tc>
        <w:tc>
          <w:tcPr>
            <w:tcW w:w="1667" w:type="pct"/>
          </w:tcPr>
          <w:p w14:paraId="5A3120B9" w14:textId="78D679DC" w:rsidR="00376952" w:rsidRPr="00376952" w:rsidRDefault="00376952" w:rsidP="00376952">
            <w:pPr>
              <w:spacing w:after="120" w:line="240" w:lineRule="auto"/>
              <w:jc w:val="right"/>
              <w:rPr>
                <w:color w:val="000000"/>
                <w:sz w:val="20"/>
              </w:rPr>
            </w:pPr>
            <w:r w:rsidRPr="00376952">
              <w:rPr>
                <w:color w:val="000000"/>
                <w:sz w:val="20"/>
              </w:rPr>
              <w:t>Project management and Hajj expertise</w:t>
            </w:r>
          </w:p>
        </w:tc>
      </w:tr>
      <w:tr w:rsidR="00376952" w14:paraId="60EAB418" w14:textId="77777777" w:rsidTr="00376952">
        <w:tblPrEx>
          <w:tblCellMar>
            <w:top w:w="0" w:type="dxa"/>
            <w:bottom w:w="0" w:type="dxa"/>
          </w:tblCellMar>
        </w:tblPrEx>
        <w:tc>
          <w:tcPr>
            <w:tcW w:w="1666" w:type="pct"/>
          </w:tcPr>
          <w:p w14:paraId="75B8CF0B" w14:textId="570DDF56" w:rsidR="00376952" w:rsidRPr="00376952" w:rsidRDefault="00376952" w:rsidP="00376952">
            <w:pPr>
              <w:spacing w:after="120" w:line="240" w:lineRule="auto"/>
              <w:jc w:val="right"/>
              <w:rPr>
                <w:color w:val="000000"/>
                <w:sz w:val="20"/>
              </w:rPr>
            </w:pPr>
            <w:r w:rsidRPr="00376952">
              <w:rPr>
                <w:color w:val="000000"/>
                <w:sz w:val="20"/>
              </w:rPr>
              <w:t>Subject Matter Expert</w:t>
            </w:r>
          </w:p>
        </w:tc>
        <w:tc>
          <w:tcPr>
            <w:tcW w:w="1667" w:type="pct"/>
          </w:tcPr>
          <w:p w14:paraId="4DEBCEB5" w14:textId="4A3DCE2B" w:rsidR="00376952" w:rsidRPr="00376952" w:rsidRDefault="00376952" w:rsidP="00376952">
            <w:pPr>
              <w:spacing w:after="120" w:line="240" w:lineRule="auto"/>
              <w:jc w:val="right"/>
              <w:rPr>
                <w:color w:val="000000"/>
                <w:sz w:val="20"/>
              </w:rPr>
            </w:pPr>
            <w:r w:rsidRPr="00376952">
              <w:rPr>
                <w:color w:val="000000"/>
                <w:sz w:val="20"/>
              </w:rPr>
              <w:t>Provides insights on service delivery standards.</w:t>
            </w:r>
          </w:p>
        </w:tc>
        <w:tc>
          <w:tcPr>
            <w:tcW w:w="1667" w:type="pct"/>
          </w:tcPr>
          <w:p w14:paraId="6A65DD61" w14:textId="401B1EFD" w:rsidR="00376952" w:rsidRPr="00376952" w:rsidRDefault="00376952" w:rsidP="00376952">
            <w:pPr>
              <w:spacing w:after="120" w:line="240" w:lineRule="auto"/>
              <w:jc w:val="right"/>
              <w:rPr>
                <w:color w:val="000000"/>
                <w:sz w:val="20"/>
              </w:rPr>
            </w:pPr>
            <w:r w:rsidRPr="00376952">
              <w:rPr>
                <w:color w:val="000000"/>
                <w:sz w:val="20"/>
              </w:rPr>
              <w:t>Hajj and Umrah sector knowledge</w:t>
            </w:r>
          </w:p>
        </w:tc>
      </w:tr>
      <w:tr w:rsidR="00376952" w14:paraId="5CE0DB82" w14:textId="77777777" w:rsidTr="00376952">
        <w:tblPrEx>
          <w:tblCellMar>
            <w:top w:w="0" w:type="dxa"/>
            <w:bottom w:w="0" w:type="dxa"/>
          </w:tblCellMar>
        </w:tblPrEx>
        <w:tc>
          <w:tcPr>
            <w:tcW w:w="1666" w:type="pct"/>
          </w:tcPr>
          <w:p w14:paraId="270BDF1A" w14:textId="6B80A1CE" w:rsidR="00376952" w:rsidRPr="00376952" w:rsidRDefault="00376952" w:rsidP="00376952">
            <w:pPr>
              <w:spacing w:after="120" w:line="240" w:lineRule="auto"/>
              <w:jc w:val="right"/>
              <w:rPr>
                <w:color w:val="000000"/>
                <w:sz w:val="20"/>
              </w:rPr>
            </w:pPr>
            <w:r w:rsidRPr="00376952">
              <w:rPr>
                <w:color w:val="000000"/>
                <w:sz w:val="20"/>
              </w:rPr>
              <w:t>Data Analyst</w:t>
            </w:r>
          </w:p>
        </w:tc>
        <w:tc>
          <w:tcPr>
            <w:tcW w:w="1667" w:type="pct"/>
          </w:tcPr>
          <w:p w14:paraId="0D7AAEE2" w14:textId="40CC4A21" w:rsidR="00376952" w:rsidRPr="00376952" w:rsidRDefault="00376952" w:rsidP="00376952">
            <w:pPr>
              <w:spacing w:after="120" w:line="240" w:lineRule="auto"/>
              <w:jc w:val="right"/>
              <w:rPr>
                <w:color w:val="000000"/>
                <w:sz w:val="20"/>
              </w:rPr>
            </w:pPr>
            <w:r w:rsidRPr="00376952">
              <w:rPr>
                <w:color w:val="000000"/>
                <w:sz w:val="20"/>
              </w:rPr>
              <w:t>Processes and analyzes stakeholder insights.</w:t>
            </w:r>
          </w:p>
        </w:tc>
        <w:tc>
          <w:tcPr>
            <w:tcW w:w="1667" w:type="pct"/>
          </w:tcPr>
          <w:p w14:paraId="3693BDB0" w14:textId="7844BC36" w:rsidR="00376952" w:rsidRPr="00376952" w:rsidRDefault="00376952" w:rsidP="00376952">
            <w:pPr>
              <w:spacing w:after="120" w:line="240" w:lineRule="auto"/>
              <w:jc w:val="right"/>
              <w:rPr>
                <w:color w:val="000000"/>
                <w:sz w:val="20"/>
              </w:rPr>
            </w:pPr>
            <w:r w:rsidRPr="00376952">
              <w:rPr>
                <w:color w:val="000000"/>
                <w:sz w:val="20"/>
              </w:rPr>
              <w:t>Data analysis and reporting</w:t>
            </w:r>
          </w:p>
        </w:tc>
      </w:tr>
      <w:tr w:rsidR="00376952" w14:paraId="5099E95F" w14:textId="77777777" w:rsidTr="00376952">
        <w:tblPrEx>
          <w:tblCellMar>
            <w:top w:w="0" w:type="dxa"/>
            <w:bottom w:w="0" w:type="dxa"/>
          </w:tblCellMar>
        </w:tblPrEx>
        <w:tc>
          <w:tcPr>
            <w:tcW w:w="1666" w:type="pct"/>
          </w:tcPr>
          <w:p w14:paraId="3951EA83" w14:textId="7FF556DA" w:rsidR="00376952" w:rsidRPr="00376952" w:rsidRDefault="00376952" w:rsidP="00376952">
            <w:pPr>
              <w:spacing w:after="120" w:line="240" w:lineRule="auto"/>
              <w:jc w:val="right"/>
              <w:rPr>
                <w:color w:val="000000"/>
                <w:sz w:val="20"/>
              </w:rPr>
            </w:pPr>
            <w:r w:rsidRPr="00376952">
              <w:rPr>
                <w:color w:val="000000"/>
                <w:sz w:val="20"/>
              </w:rPr>
              <w:t>Training Specialist</w:t>
            </w:r>
          </w:p>
        </w:tc>
        <w:tc>
          <w:tcPr>
            <w:tcW w:w="1667" w:type="pct"/>
          </w:tcPr>
          <w:p w14:paraId="169E66BA" w14:textId="0211F77D" w:rsidR="00376952" w:rsidRPr="00376952" w:rsidRDefault="00376952" w:rsidP="00376952">
            <w:pPr>
              <w:spacing w:after="120" w:line="240" w:lineRule="auto"/>
              <w:jc w:val="right"/>
              <w:rPr>
                <w:color w:val="000000"/>
                <w:sz w:val="20"/>
              </w:rPr>
            </w:pPr>
            <w:r w:rsidRPr="00376952">
              <w:rPr>
                <w:color w:val="000000"/>
                <w:sz w:val="20"/>
              </w:rPr>
              <w:t>Develops training materials and conducts sessions.</w:t>
            </w:r>
          </w:p>
        </w:tc>
        <w:tc>
          <w:tcPr>
            <w:tcW w:w="1667" w:type="pct"/>
          </w:tcPr>
          <w:p w14:paraId="55D7BDD1" w14:textId="0650277E" w:rsidR="00376952" w:rsidRPr="00376952" w:rsidRDefault="00376952" w:rsidP="00376952">
            <w:pPr>
              <w:spacing w:after="120" w:line="240" w:lineRule="auto"/>
              <w:jc w:val="right"/>
              <w:rPr>
                <w:color w:val="000000"/>
                <w:sz w:val="20"/>
              </w:rPr>
            </w:pPr>
            <w:r w:rsidRPr="00376952">
              <w:rPr>
                <w:color w:val="000000"/>
                <w:sz w:val="20"/>
              </w:rPr>
              <w:t>Training and capacity building</w:t>
            </w:r>
          </w:p>
        </w:tc>
      </w:tr>
    </w:tbl>
    <w:p w14:paraId="01639CF1" w14:textId="77777777" w:rsidR="00376952" w:rsidRDefault="00376952" w:rsidP="00376952">
      <w:pPr>
        <w:spacing w:after="120" w:line="240" w:lineRule="auto"/>
        <w:jc w:val="right"/>
        <w:rPr>
          <w:color w:val="4A4A4A"/>
          <w:sz w:val="22"/>
        </w:rPr>
      </w:pPr>
    </w:p>
    <w:p w14:paraId="5B0D0575" w14:textId="1D974FAB"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8) Work Plan, Timeline, and Milestones</w:t>
      </w:r>
    </w:p>
    <w:p w14:paraId="3EEBA306" w14:textId="0954E0A3" w:rsidR="00376952" w:rsidRDefault="00376952" w:rsidP="00376952">
      <w:pPr>
        <w:spacing w:after="120" w:line="240" w:lineRule="auto"/>
        <w:rPr>
          <w:color w:val="4A4A4A"/>
          <w:sz w:val="22"/>
        </w:rPr>
      </w:pPr>
      <w:r w:rsidRPr="00376952">
        <w:rPr>
          <w:color w:val="4A4A4A"/>
          <w:sz w:val="22"/>
        </w:rPr>
        <w:t>The work plan for developing job standards and qualifications is structured into five key phases, each with specific milestones. The timeline spans 12 months, with each phase designed to build upon the previous one. Key milestones include the completion of stakeholder engagement workshops, the submission of the needs assessment report, the development of draft standards, and the finalization of training materials. Regular progress reviews will be conducted to ensure that the project remains on track and that any issues are addressed promptly. This structured approach will facilitate effective project management and ensure that all deliverables are met within the specified timeframe.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6952" w14:paraId="26DD3925" w14:textId="77777777" w:rsidTr="00376952">
        <w:tblPrEx>
          <w:tblCellMar>
            <w:top w:w="0" w:type="dxa"/>
            <w:bottom w:w="0" w:type="dxa"/>
          </w:tblCellMar>
        </w:tblPrEx>
        <w:tc>
          <w:tcPr>
            <w:tcW w:w="1666" w:type="pct"/>
          </w:tcPr>
          <w:p w14:paraId="22442747" w14:textId="45CB94C6" w:rsidR="00376952" w:rsidRPr="00376952" w:rsidRDefault="00376952" w:rsidP="00376952">
            <w:pPr>
              <w:spacing w:after="120" w:line="240" w:lineRule="auto"/>
              <w:jc w:val="center"/>
              <w:rPr>
                <w:b/>
                <w:color w:val="000000"/>
                <w:sz w:val="20"/>
              </w:rPr>
            </w:pPr>
            <w:r w:rsidRPr="00376952">
              <w:rPr>
                <w:b/>
                <w:color w:val="000000"/>
                <w:sz w:val="20"/>
              </w:rPr>
              <w:t>Phase</w:t>
            </w:r>
          </w:p>
        </w:tc>
        <w:tc>
          <w:tcPr>
            <w:tcW w:w="1667" w:type="pct"/>
          </w:tcPr>
          <w:p w14:paraId="2BA3A26A" w14:textId="2E175156" w:rsidR="00376952" w:rsidRPr="00376952" w:rsidRDefault="00376952" w:rsidP="00376952">
            <w:pPr>
              <w:spacing w:after="120" w:line="240" w:lineRule="auto"/>
              <w:jc w:val="center"/>
              <w:rPr>
                <w:b/>
                <w:color w:val="000000"/>
                <w:sz w:val="20"/>
              </w:rPr>
            </w:pPr>
            <w:r w:rsidRPr="00376952">
              <w:rPr>
                <w:b/>
                <w:color w:val="000000"/>
                <w:sz w:val="20"/>
              </w:rPr>
              <w:t>Milestone</w:t>
            </w:r>
          </w:p>
        </w:tc>
        <w:tc>
          <w:tcPr>
            <w:tcW w:w="1667" w:type="pct"/>
          </w:tcPr>
          <w:p w14:paraId="3F9A8B42" w14:textId="4F982F2D" w:rsidR="00376952" w:rsidRPr="00376952" w:rsidRDefault="00376952" w:rsidP="00376952">
            <w:pPr>
              <w:spacing w:after="120" w:line="240" w:lineRule="auto"/>
              <w:jc w:val="center"/>
              <w:rPr>
                <w:b/>
                <w:color w:val="000000"/>
                <w:sz w:val="20"/>
              </w:rPr>
            </w:pPr>
            <w:r w:rsidRPr="00376952">
              <w:rPr>
                <w:b/>
                <w:color w:val="000000"/>
                <w:sz w:val="20"/>
              </w:rPr>
              <w:t>Completion Date</w:t>
            </w:r>
          </w:p>
        </w:tc>
      </w:tr>
      <w:tr w:rsidR="00376952" w14:paraId="3441D33F" w14:textId="77777777" w:rsidTr="00376952">
        <w:tblPrEx>
          <w:tblCellMar>
            <w:top w:w="0" w:type="dxa"/>
            <w:bottom w:w="0" w:type="dxa"/>
          </w:tblCellMar>
        </w:tblPrEx>
        <w:tc>
          <w:tcPr>
            <w:tcW w:w="1666" w:type="pct"/>
          </w:tcPr>
          <w:p w14:paraId="0FE615F0" w14:textId="1C56B082" w:rsidR="00376952" w:rsidRPr="00376952" w:rsidRDefault="00376952" w:rsidP="00376952">
            <w:pPr>
              <w:spacing w:after="120" w:line="240" w:lineRule="auto"/>
              <w:jc w:val="right"/>
              <w:rPr>
                <w:color w:val="000000"/>
                <w:sz w:val="20"/>
              </w:rPr>
            </w:pPr>
            <w:r w:rsidRPr="00376952">
              <w:rPr>
                <w:color w:val="000000"/>
                <w:sz w:val="20"/>
              </w:rPr>
              <w:t>Phase 1</w:t>
            </w:r>
          </w:p>
        </w:tc>
        <w:tc>
          <w:tcPr>
            <w:tcW w:w="1667" w:type="pct"/>
          </w:tcPr>
          <w:p w14:paraId="08E45555" w14:textId="44BE38ED" w:rsidR="00376952" w:rsidRPr="00376952" w:rsidRDefault="00376952" w:rsidP="00376952">
            <w:pPr>
              <w:spacing w:after="120" w:line="240" w:lineRule="auto"/>
              <w:jc w:val="right"/>
              <w:rPr>
                <w:color w:val="000000"/>
                <w:sz w:val="20"/>
              </w:rPr>
            </w:pPr>
            <w:r w:rsidRPr="00376952">
              <w:rPr>
                <w:color w:val="000000"/>
                <w:sz w:val="20"/>
              </w:rPr>
              <w:t>Stakeholder Engagement Completed</w:t>
            </w:r>
          </w:p>
        </w:tc>
        <w:tc>
          <w:tcPr>
            <w:tcW w:w="1667" w:type="pct"/>
          </w:tcPr>
          <w:p w14:paraId="3AAA59BF" w14:textId="509AC3CC" w:rsidR="00376952" w:rsidRPr="00376952" w:rsidRDefault="00376952" w:rsidP="00376952">
            <w:pPr>
              <w:spacing w:after="120" w:line="240" w:lineRule="auto"/>
              <w:jc w:val="right"/>
              <w:rPr>
                <w:color w:val="000000"/>
                <w:sz w:val="20"/>
              </w:rPr>
            </w:pPr>
            <w:r w:rsidRPr="00376952">
              <w:rPr>
                <w:color w:val="000000"/>
                <w:sz w:val="20"/>
              </w:rPr>
              <w:t>Month 2</w:t>
            </w:r>
          </w:p>
        </w:tc>
      </w:tr>
      <w:tr w:rsidR="00376952" w14:paraId="545F5FC5" w14:textId="77777777" w:rsidTr="00376952">
        <w:tblPrEx>
          <w:tblCellMar>
            <w:top w:w="0" w:type="dxa"/>
            <w:bottom w:w="0" w:type="dxa"/>
          </w:tblCellMar>
        </w:tblPrEx>
        <w:tc>
          <w:tcPr>
            <w:tcW w:w="1666" w:type="pct"/>
          </w:tcPr>
          <w:p w14:paraId="5C51F013" w14:textId="5C5651EF" w:rsidR="00376952" w:rsidRPr="00376952" w:rsidRDefault="00376952" w:rsidP="00376952">
            <w:pPr>
              <w:spacing w:after="120" w:line="240" w:lineRule="auto"/>
              <w:jc w:val="right"/>
              <w:rPr>
                <w:color w:val="000000"/>
                <w:sz w:val="20"/>
              </w:rPr>
            </w:pPr>
            <w:r w:rsidRPr="00376952">
              <w:rPr>
                <w:color w:val="000000"/>
                <w:sz w:val="20"/>
              </w:rPr>
              <w:t>Phase 2</w:t>
            </w:r>
          </w:p>
        </w:tc>
        <w:tc>
          <w:tcPr>
            <w:tcW w:w="1667" w:type="pct"/>
          </w:tcPr>
          <w:p w14:paraId="4E740116" w14:textId="76921C15" w:rsidR="00376952" w:rsidRPr="00376952" w:rsidRDefault="00376952" w:rsidP="00376952">
            <w:pPr>
              <w:spacing w:after="120" w:line="240" w:lineRule="auto"/>
              <w:jc w:val="right"/>
              <w:rPr>
                <w:color w:val="000000"/>
                <w:sz w:val="20"/>
              </w:rPr>
            </w:pPr>
            <w:r w:rsidRPr="00376952">
              <w:rPr>
                <w:color w:val="000000"/>
                <w:sz w:val="20"/>
              </w:rPr>
              <w:t>Needs Assessment Report Submitted</w:t>
            </w:r>
          </w:p>
        </w:tc>
        <w:tc>
          <w:tcPr>
            <w:tcW w:w="1667" w:type="pct"/>
          </w:tcPr>
          <w:p w14:paraId="535A9051" w14:textId="5E4C3ECC" w:rsidR="00376952" w:rsidRPr="00376952" w:rsidRDefault="00376952" w:rsidP="00376952">
            <w:pPr>
              <w:spacing w:after="120" w:line="240" w:lineRule="auto"/>
              <w:jc w:val="right"/>
              <w:rPr>
                <w:color w:val="000000"/>
                <w:sz w:val="20"/>
              </w:rPr>
            </w:pPr>
            <w:r w:rsidRPr="00376952">
              <w:rPr>
                <w:color w:val="000000"/>
                <w:sz w:val="20"/>
              </w:rPr>
              <w:t>Month 4</w:t>
            </w:r>
          </w:p>
        </w:tc>
      </w:tr>
      <w:tr w:rsidR="00376952" w14:paraId="69E88B5A" w14:textId="77777777" w:rsidTr="00376952">
        <w:tblPrEx>
          <w:tblCellMar>
            <w:top w:w="0" w:type="dxa"/>
            <w:bottom w:w="0" w:type="dxa"/>
          </w:tblCellMar>
        </w:tblPrEx>
        <w:tc>
          <w:tcPr>
            <w:tcW w:w="1666" w:type="pct"/>
          </w:tcPr>
          <w:p w14:paraId="69E9FB6E" w14:textId="2E120AFA" w:rsidR="00376952" w:rsidRPr="00376952" w:rsidRDefault="00376952" w:rsidP="00376952">
            <w:pPr>
              <w:spacing w:after="120" w:line="240" w:lineRule="auto"/>
              <w:jc w:val="right"/>
              <w:rPr>
                <w:color w:val="000000"/>
                <w:sz w:val="20"/>
              </w:rPr>
            </w:pPr>
            <w:r w:rsidRPr="00376952">
              <w:rPr>
                <w:color w:val="000000"/>
                <w:sz w:val="20"/>
              </w:rPr>
              <w:t>Phase 3</w:t>
            </w:r>
          </w:p>
        </w:tc>
        <w:tc>
          <w:tcPr>
            <w:tcW w:w="1667" w:type="pct"/>
          </w:tcPr>
          <w:p w14:paraId="505F9642" w14:textId="053BDDC2" w:rsidR="00376952" w:rsidRPr="00376952" w:rsidRDefault="00376952" w:rsidP="00376952">
            <w:pPr>
              <w:spacing w:after="120" w:line="240" w:lineRule="auto"/>
              <w:jc w:val="right"/>
              <w:rPr>
                <w:color w:val="000000"/>
                <w:sz w:val="20"/>
              </w:rPr>
            </w:pPr>
            <w:r w:rsidRPr="00376952">
              <w:rPr>
                <w:color w:val="000000"/>
                <w:sz w:val="20"/>
              </w:rPr>
              <w:t>Draft Standards Developed</w:t>
            </w:r>
          </w:p>
        </w:tc>
        <w:tc>
          <w:tcPr>
            <w:tcW w:w="1667" w:type="pct"/>
          </w:tcPr>
          <w:p w14:paraId="7E144002" w14:textId="64B71325" w:rsidR="00376952" w:rsidRPr="00376952" w:rsidRDefault="00376952" w:rsidP="00376952">
            <w:pPr>
              <w:spacing w:after="120" w:line="240" w:lineRule="auto"/>
              <w:jc w:val="right"/>
              <w:rPr>
                <w:color w:val="000000"/>
                <w:sz w:val="20"/>
              </w:rPr>
            </w:pPr>
            <w:r w:rsidRPr="00376952">
              <w:rPr>
                <w:color w:val="000000"/>
                <w:sz w:val="20"/>
              </w:rPr>
              <w:t>Month 8</w:t>
            </w:r>
          </w:p>
        </w:tc>
      </w:tr>
      <w:tr w:rsidR="00376952" w14:paraId="080A14BD" w14:textId="77777777" w:rsidTr="00376952">
        <w:tblPrEx>
          <w:tblCellMar>
            <w:top w:w="0" w:type="dxa"/>
            <w:bottom w:w="0" w:type="dxa"/>
          </w:tblCellMar>
        </w:tblPrEx>
        <w:tc>
          <w:tcPr>
            <w:tcW w:w="1666" w:type="pct"/>
          </w:tcPr>
          <w:p w14:paraId="1936FB00" w14:textId="5E667112" w:rsidR="00376952" w:rsidRPr="00376952" w:rsidRDefault="00376952" w:rsidP="00376952">
            <w:pPr>
              <w:spacing w:after="120" w:line="240" w:lineRule="auto"/>
              <w:jc w:val="right"/>
              <w:rPr>
                <w:color w:val="000000"/>
                <w:sz w:val="20"/>
              </w:rPr>
            </w:pPr>
            <w:r w:rsidRPr="00376952">
              <w:rPr>
                <w:color w:val="000000"/>
                <w:sz w:val="20"/>
              </w:rPr>
              <w:t>Phase 4</w:t>
            </w:r>
          </w:p>
        </w:tc>
        <w:tc>
          <w:tcPr>
            <w:tcW w:w="1667" w:type="pct"/>
          </w:tcPr>
          <w:p w14:paraId="6D47F9C7" w14:textId="1B0C9855" w:rsidR="00376952" w:rsidRPr="00376952" w:rsidRDefault="00376952" w:rsidP="00376952">
            <w:pPr>
              <w:spacing w:after="120" w:line="240" w:lineRule="auto"/>
              <w:jc w:val="right"/>
              <w:rPr>
                <w:color w:val="000000"/>
                <w:sz w:val="20"/>
              </w:rPr>
            </w:pPr>
            <w:r w:rsidRPr="00376952">
              <w:rPr>
                <w:color w:val="000000"/>
                <w:sz w:val="20"/>
              </w:rPr>
              <w:t>Training Materials Finalized</w:t>
            </w:r>
          </w:p>
        </w:tc>
        <w:tc>
          <w:tcPr>
            <w:tcW w:w="1667" w:type="pct"/>
          </w:tcPr>
          <w:p w14:paraId="7D462BC5" w14:textId="4D3CB1B8" w:rsidR="00376952" w:rsidRPr="00376952" w:rsidRDefault="00376952" w:rsidP="00376952">
            <w:pPr>
              <w:spacing w:after="120" w:line="240" w:lineRule="auto"/>
              <w:jc w:val="right"/>
              <w:rPr>
                <w:color w:val="000000"/>
                <w:sz w:val="20"/>
              </w:rPr>
            </w:pPr>
            <w:r w:rsidRPr="00376952">
              <w:rPr>
                <w:color w:val="000000"/>
                <w:sz w:val="20"/>
              </w:rPr>
              <w:t>Month 10</w:t>
            </w:r>
          </w:p>
        </w:tc>
      </w:tr>
      <w:tr w:rsidR="00376952" w14:paraId="315FDDC5" w14:textId="77777777" w:rsidTr="00376952">
        <w:tblPrEx>
          <w:tblCellMar>
            <w:top w:w="0" w:type="dxa"/>
            <w:bottom w:w="0" w:type="dxa"/>
          </w:tblCellMar>
        </w:tblPrEx>
        <w:tc>
          <w:tcPr>
            <w:tcW w:w="1666" w:type="pct"/>
          </w:tcPr>
          <w:p w14:paraId="05CA46FE" w14:textId="2C7ACC91" w:rsidR="00376952" w:rsidRPr="00376952" w:rsidRDefault="00376952" w:rsidP="00376952">
            <w:pPr>
              <w:spacing w:after="120" w:line="240" w:lineRule="auto"/>
              <w:jc w:val="right"/>
              <w:rPr>
                <w:color w:val="000000"/>
                <w:sz w:val="20"/>
              </w:rPr>
            </w:pPr>
            <w:r w:rsidRPr="00376952">
              <w:rPr>
                <w:color w:val="000000"/>
                <w:sz w:val="20"/>
              </w:rPr>
              <w:t>Phase 5</w:t>
            </w:r>
          </w:p>
        </w:tc>
        <w:tc>
          <w:tcPr>
            <w:tcW w:w="1667" w:type="pct"/>
          </w:tcPr>
          <w:p w14:paraId="3C1237D2" w14:textId="7E069FA7" w:rsidR="00376952" w:rsidRPr="00376952" w:rsidRDefault="00376952" w:rsidP="00376952">
            <w:pPr>
              <w:spacing w:after="120" w:line="240" w:lineRule="auto"/>
              <w:jc w:val="right"/>
              <w:rPr>
                <w:color w:val="000000"/>
                <w:sz w:val="20"/>
              </w:rPr>
            </w:pPr>
            <w:r w:rsidRPr="00376952">
              <w:rPr>
                <w:color w:val="000000"/>
                <w:sz w:val="20"/>
              </w:rPr>
              <w:t>Project Evaluation and Reporting</w:t>
            </w:r>
          </w:p>
        </w:tc>
        <w:tc>
          <w:tcPr>
            <w:tcW w:w="1667" w:type="pct"/>
          </w:tcPr>
          <w:p w14:paraId="21F439F3" w14:textId="5F27C6B9" w:rsidR="00376952" w:rsidRPr="00376952" w:rsidRDefault="00376952" w:rsidP="00376952">
            <w:pPr>
              <w:spacing w:after="120" w:line="240" w:lineRule="auto"/>
              <w:jc w:val="right"/>
              <w:rPr>
                <w:color w:val="000000"/>
                <w:sz w:val="20"/>
              </w:rPr>
            </w:pPr>
            <w:r w:rsidRPr="00376952">
              <w:rPr>
                <w:color w:val="000000"/>
                <w:sz w:val="20"/>
              </w:rPr>
              <w:t>Month 12</w:t>
            </w:r>
          </w:p>
        </w:tc>
      </w:tr>
    </w:tbl>
    <w:p w14:paraId="78350091" w14:textId="77777777" w:rsidR="00376952" w:rsidRDefault="00376952" w:rsidP="00376952">
      <w:pPr>
        <w:spacing w:after="120" w:line="240" w:lineRule="auto"/>
        <w:jc w:val="right"/>
        <w:rPr>
          <w:color w:val="4A4A4A"/>
          <w:sz w:val="22"/>
        </w:rPr>
      </w:pPr>
    </w:p>
    <w:p w14:paraId="5251D176" w14:textId="27DD79C2"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9) Quality Assurance and Risk Management</w:t>
      </w:r>
    </w:p>
    <w:p w14:paraId="2A149663" w14:textId="4A604842" w:rsidR="00376952" w:rsidRDefault="00376952" w:rsidP="00376952">
      <w:pPr>
        <w:spacing w:after="120" w:line="240" w:lineRule="auto"/>
        <w:rPr>
          <w:color w:val="4A4A4A"/>
          <w:sz w:val="22"/>
        </w:rPr>
      </w:pPr>
      <w:r w:rsidRPr="00376952">
        <w:rPr>
          <w:color w:val="4A4A4A"/>
          <w:sz w:val="22"/>
        </w:rPr>
        <w:t>Quality assurance will be integrated throughout the project lifecycle to ensure that all deliverables meet the required standards. This will involve regular reviews of project outputs, stakeholder feedback sessions, and adherence to established methodologies. A risk management plan will be developed to identify potential risks and outline mitigation strategies. Key risks may include stakeholder disengagement, delays in data collection, and challenges in standard implementation. By proactively addressing these risks and ensuring continuous quality monitoring, we can enhance the likelihood of project success and ensure that the standards developed are effective and sustainable.</w:t>
      </w:r>
    </w:p>
    <w:p w14:paraId="1AC22521" w14:textId="2517114C"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10) KPIs and Service Levels</w:t>
      </w:r>
    </w:p>
    <w:p w14:paraId="1B3D85DB" w14:textId="0CA61180" w:rsidR="00376952" w:rsidRDefault="00376952" w:rsidP="00376952">
      <w:pPr>
        <w:spacing w:after="120" w:line="240" w:lineRule="auto"/>
        <w:rPr>
          <w:color w:val="4A4A4A"/>
          <w:sz w:val="22"/>
        </w:rPr>
      </w:pPr>
      <w:r w:rsidRPr="00376952">
        <w:rPr>
          <w:color w:val="4A4A4A"/>
          <w:sz w:val="22"/>
        </w:rPr>
        <w:t>Key Performance Indicators (KPIs) will be established to measure the effectiveness of the job standards and qualifications developed for Hajj and Umrah service providers. These KPIs will include metrics such as the percentage of service providers compliant with the new standards, stakeholder satisfaction ratings, and the number of training sessions conducted. Service levels will be defined to ensure that the standards are effectively communicated and implemented across the sector. Regular monitoring and reporting on these KPIs will enable us to assess the impact of the standards and make necessary adjustments to improve service delivery continuously.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6952" w14:paraId="306C9452" w14:textId="77777777" w:rsidTr="00376952">
        <w:tblPrEx>
          <w:tblCellMar>
            <w:top w:w="0" w:type="dxa"/>
            <w:bottom w:w="0" w:type="dxa"/>
          </w:tblCellMar>
        </w:tblPrEx>
        <w:tc>
          <w:tcPr>
            <w:tcW w:w="1666" w:type="pct"/>
          </w:tcPr>
          <w:p w14:paraId="24032DE8" w14:textId="66C43179" w:rsidR="00376952" w:rsidRPr="00376952" w:rsidRDefault="00376952" w:rsidP="00376952">
            <w:pPr>
              <w:spacing w:after="120" w:line="240" w:lineRule="auto"/>
              <w:jc w:val="center"/>
              <w:rPr>
                <w:b/>
                <w:color w:val="000000"/>
                <w:sz w:val="20"/>
              </w:rPr>
            </w:pPr>
            <w:r w:rsidRPr="00376952">
              <w:rPr>
                <w:b/>
                <w:color w:val="000000"/>
                <w:sz w:val="20"/>
              </w:rPr>
              <w:t>KPI</w:t>
            </w:r>
          </w:p>
        </w:tc>
        <w:tc>
          <w:tcPr>
            <w:tcW w:w="1667" w:type="pct"/>
          </w:tcPr>
          <w:p w14:paraId="2904F240" w14:textId="0FAADD2E" w:rsidR="00376952" w:rsidRPr="00376952" w:rsidRDefault="00376952" w:rsidP="00376952">
            <w:pPr>
              <w:spacing w:after="120" w:line="240" w:lineRule="auto"/>
              <w:jc w:val="center"/>
              <w:rPr>
                <w:b/>
                <w:color w:val="000000"/>
                <w:sz w:val="20"/>
              </w:rPr>
            </w:pPr>
            <w:r w:rsidRPr="00376952">
              <w:rPr>
                <w:b/>
                <w:color w:val="000000"/>
                <w:sz w:val="20"/>
              </w:rPr>
              <w:t>Description</w:t>
            </w:r>
          </w:p>
        </w:tc>
        <w:tc>
          <w:tcPr>
            <w:tcW w:w="1667" w:type="pct"/>
          </w:tcPr>
          <w:p w14:paraId="3DCE5A57" w14:textId="28F3E89B" w:rsidR="00376952" w:rsidRPr="00376952" w:rsidRDefault="00376952" w:rsidP="00376952">
            <w:pPr>
              <w:spacing w:after="120" w:line="240" w:lineRule="auto"/>
              <w:jc w:val="center"/>
              <w:rPr>
                <w:b/>
                <w:color w:val="000000"/>
                <w:sz w:val="20"/>
              </w:rPr>
            </w:pPr>
            <w:r w:rsidRPr="00376952">
              <w:rPr>
                <w:b/>
                <w:color w:val="000000"/>
                <w:sz w:val="20"/>
              </w:rPr>
              <w:t>Target</w:t>
            </w:r>
          </w:p>
        </w:tc>
      </w:tr>
      <w:tr w:rsidR="00376952" w14:paraId="0CEE903D" w14:textId="77777777" w:rsidTr="00376952">
        <w:tblPrEx>
          <w:tblCellMar>
            <w:top w:w="0" w:type="dxa"/>
            <w:bottom w:w="0" w:type="dxa"/>
          </w:tblCellMar>
        </w:tblPrEx>
        <w:tc>
          <w:tcPr>
            <w:tcW w:w="1666" w:type="pct"/>
          </w:tcPr>
          <w:p w14:paraId="5082EA06" w14:textId="302F534F" w:rsidR="00376952" w:rsidRPr="00376952" w:rsidRDefault="00376952" w:rsidP="00376952">
            <w:pPr>
              <w:spacing w:after="120" w:line="240" w:lineRule="auto"/>
              <w:jc w:val="right"/>
              <w:rPr>
                <w:color w:val="000000"/>
                <w:sz w:val="20"/>
              </w:rPr>
            </w:pPr>
            <w:r w:rsidRPr="00376952">
              <w:rPr>
                <w:color w:val="000000"/>
                <w:sz w:val="20"/>
              </w:rPr>
              <w:t>Compliance Rate</w:t>
            </w:r>
          </w:p>
        </w:tc>
        <w:tc>
          <w:tcPr>
            <w:tcW w:w="1667" w:type="pct"/>
          </w:tcPr>
          <w:p w14:paraId="4958D905" w14:textId="229BBEBD" w:rsidR="00376952" w:rsidRPr="00376952" w:rsidRDefault="00376952" w:rsidP="00376952">
            <w:pPr>
              <w:spacing w:after="120" w:line="240" w:lineRule="auto"/>
              <w:jc w:val="right"/>
              <w:rPr>
                <w:color w:val="000000"/>
                <w:sz w:val="20"/>
              </w:rPr>
            </w:pPr>
            <w:r w:rsidRPr="00376952">
              <w:rPr>
                <w:color w:val="000000"/>
                <w:sz w:val="20"/>
              </w:rPr>
              <w:t>Percentage of providers meeting standards.</w:t>
            </w:r>
          </w:p>
        </w:tc>
        <w:tc>
          <w:tcPr>
            <w:tcW w:w="1667" w:type="pct"/>
          </w:tcPr>
          <w:p w14:paraId="708A83C8" w14:textId="4BF1259C" w:rsidR="00376952" w:rsidRPr="00376952" w:rsidRDefault="00376952" w:rsidP="00376952">
            <w:pPr>
              <w:spacing w:after="120" w:line="240" w:lineRule="auto"/>
              <w:jc w:val="right"/>
              <w:rPr>
                <w:color w:val="000000"/>
                <w:sz w:val="20"/>
              </w:rPr>
            </w:pPr>
            <w:r w:rsidRPr="00376952">
              <w:rPr>
                <w:color w:val="000000"/>
                <w:sz w:val="20"/>
              </w:rPr>
              <w:t>80% compliance within 6 months</w:t>
            </w:r>
          </w:p>
        </w:tc>
      </w:tr>
      <w:tr w:rsidR="00376952" w14:paraId="559D7A27" w14:textId="77777777" w:rsidTr="00376952">
        <w:tblPrEx>
          <w:tblCellMar>
            <w:top w:w="0" w:type="dxa"/>
            <w:bottom w:w="0" w:type="dxa"/>
          </w:tblCellMar>
        </w:tblPrEx>
        <w:tc>
          <w:tcPr>
            <w:tcW w:w="1666" w:type="pct"/>
          </w:tcPr>
          <w:p w14:paraId="37201BF3" w14:textId="7D3CC06A" w:rsidR="00376952" w:rsidRPr="00376952" w:rsidRDefault="00376952" w:rsidP="00376952">
            <w:pPr>
              <w:spacing w:after="120" w:line="240" w:lineRule="auto"/>
              <w:jc w:val="right"/>
              <w:rPr>
                <w:color w:val="000000"/>
                <w:sz w:val="20"/>
              </w:rPr>
            </w:pPr>
            <w:r w:rsidRPr="00376952">
              <w:rPr>
                <w:color w:val="000000"/>
                <w:sz w:val="20"/>
              </w:rPr>
              <w:t>Stakeholder Satisfaction</w:t>
            </w:r>
          </w:p>
        </w:tc>
        <w:tc>
          <w:tcPr>
            <w:tcW w:w="1667" w:type="pct"/>
          </w:tcPr>
          <w:p w14:paraId="65DCFE0F" w14:textId="1EAE8E2F" w:rsidR="00376952" w:rsidRPr="00376952" w:rsidRDefault="00376952" w:rsidP="00376952">
            <w:pPr>
              <w:spacing w:after="120" w:line="240" w:lineRule="auto"/>
              <w:jc w:val="right"/>
              <w:rPr>
                <w:color w:val="000000"/>
                <w:sz w:val="20"/>
              </w:rPr>
            </w:pPr>
            <w:r w:rsidRPr="00376952">
              <w:rPr>
                <w:color w:val="000000"/>
                <w:sz w:val="20"/>
              </w:rPr>
              <w:t>Ratings from service providers and pilgrims.</w:t>
            </w:r>
          </w:p>
        </w:tc>
        <w:tc>
          <w:tcPr>
            <w:tcW w:w="1667" w:type="pct"/>
          </w:tcPr>
          <w:p w14:paraId="6A0B7BE9" w14:textId="2991554D" w:rsidR="00376952" w:rsidRPr="00376952" w:rsidRDefault="00376952" w:rsidP="00376952">
            <w:pPr>
              <w:spacing w:after="120" w:line="240" w:lineRule="auto"/>
              <w:jc w:val="right"/>
              <w:rPr>
                <w:color w:val="000000"/>
                <w:sz w:val="20"/>
              </w:rPr>
            </w:pPr>
            <w:r w:rsidRPr="00376952">
              <w:rPr>
                <w:color w:val="000000"/>
                <w:sz w:val="20"/>
              </w:rPr>
              <w:t>Average rating of 4 out of 5</w:t>
            </w:r>
          </w:p>
        </w:tc>
      </w:tr>
      <w:tr w:rsidR="00376952" w14:paraId="7AC15AC5" w14:textId="77777777" w:rsidTr="00376952">
        <w:tblPrEx>
          <w:tblCellMar>
            <w:top w:w="0" w:type="dxa"/>
            <w:bottom w:w="0" w:type="dxa"/>
          </w:tblCellMar>
        </w:tblPrEx>
        <w:tc>
          <w:tcPr>
            <w:tcW w:w="1666" w:type="pct"/>
          </w:tcPr>
          <w:p w14:paraId="15640236" w14:textId="4782359A" w:rsidR="00376952" w:rsidRPr="00376952" w:rsidRDefault="00376952" w:rsidP="00376952">
            <w:pPr>
              <w:spacing w:after="120" w:line="240" w:lineRule="auto"/>
              <w:jc w:val="right"/>
              <w:rPr>
                <w:color w:val="000000"/>
                <w:sz w:val="20"/>
              </w:rPr>
            </w:pPr>
            <w:r w:rsidRPr="00376952">
              <w:rPr>
                <w:color w:val="000000"/>
                <w:sz w:val="20"/>
              </w:rPr>
              <w:t>Training Sessions Conducted</w:t>
            </w:r>
          </w:p>
        </w:tc>
        <w:tc>
          <w:tcPr>
            <w:tcW w:w="1667" w:type="pct"/>
          </w:tcPr>
          <w:p w14:paraId="38B59581" w14:textId="694F2B7C" w:rsidR="00376952" w:rsidRPr="00376952" w:rsidRDefault="00376952" w:rsidP="00376952">
            <w:pPr>
              <w:spacing w:after="120" w:line="240" w:lineRule="auto"/>
              <w:jc w:val="right"/>
              <w:rPr>
                <w:color w:val="000000"/>
                <w:sz w:val="20"/>
              </w:rPr>
            </w:pPr>
            <w:r w:rsidRPr="00376952">
              <w:rPr>
                <w:color w:val="000000"/>
                <w:sz w:val="20"/>
              </w:rPr>
              <w:t>Number of sessions delivered to providers.</w:t>
            </w:r>
          </w:p>
        </w:tc>
        <w:tc>
          <w:tcPr>
            <w:tcW w:w="1667" w:type="pct"/>
          </w:tcPr>
          <w:p w14:paraId="29353F12" w14:textId="1D442C62" w:rsidR="00376952" w:rsidRPr="00376952" w:rsidRDefault="00376952" w:rsidP="00376952">
            <w:pPr>
              <w:spacing w:after="120" w:line="240" w:lineRule="auto"/>
              <w:jc w:val="right"/>
              <w:rPr>
                <w:color w:val="000000"/>
                <w:sz w:val="20"/>
              </w:rPr>
            </w:pPr>
            <w:r w:rsidRPr="00376952">
              <w:rPr>
                <w:color w:val="000000"/>
                <w:sz w:val="20"/>
              </w:rPr>
              <w:t>10 sessions in the first year</w:t>
            </w:r>
          </w:p>
        </w:tc>
      </w:tr>
    </w:tbl>
    <w:p w14:paraId="7E78A5E4" w14:textId="77777777" w:rsidR="00376952" w:rsidRDefault="00376952" w:rsidP="00376952">
      <w:pPr>
        <w:spacing w:after="120" w:line="240" w:lineRule="auto"/>
        <w:jc w:val="right"/>
        <w:rPr>
          <w:color w:val="4A4A4A"/>
          <w:sz w:val="22"/>
        </w:rPr>
      </w:pPr>
    </w:p>
    <w:p w14:paraId="66106134" w14:textId="1D6DE315"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11) Data Privacy, Security, and IP</w:t>
      </w:r>
    </w:p>
    <w:p w14:paraId="710AFA01" w14:textId="44368F5D" w:rsidR="00376952" w:rsidRDefault="00376952" w:rsidP="00376952">
      <w:pPr>
        <w:spacing w:after="120" w:line="240" w:lineRule="auto"/>
        <w:rPr>
          <w:color w:val="4A4A4A"/>
          <w:sz w:val="22"/>
        </w:rPr>
      </w:pPr>
      <w:r w:rsidRPr="00376952">
        <w:rPr>
          <w:color w:val="4A4A4A"/>
          <w:sz w:val="22"/>
        </w:rPr>
        <w:t>Data privacy and security will be prioritized throughout the project, ensuring that all stakeholder information is handled in compliance with relevant regulations. This will involve implementing secure data storage solutions, access controls, and regular audits to protect sensitive information. Intellectual Property (IP) generated during the project, including the developed standards and training materials, will be owned by the Expenditure Efficiency &amp; Projects Authority. We will ensure that all project outputs are delivered in a format that facilitates easy access and use by authorized personnel, while also safeguarding proprietary information.</w:t>
      </w:r>
    </w:p>
    <w:p w14:paraId="079BDC2B" w14:textId="015A0E54"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12) Compliance with RFP Requirements</w:t>
      </w:r>
    </w:p>
    <w:p w14:paraId="0BD8DE8B" w14:textId="7297DC20" w:rsidR="00376952" w:rsidRDefault="00376952" w:rsidP="00376952">
      <w:pPr>
        <w:spacing w:after="120" w:line="240" w:lineRule="auto"/>
        <w:rPr>
          <w:color w:val="4A4A4A"/>
          <w:sz w:val="22"/>
        </w:rPr>
      </w:pPr>
      <w:r w:rsidRPr="00376952">
        <w:rPr>
          <w:color w:val="4A4A4A"/>
          <w:sz w:val="22"/>
        </w:rPr>
        <w:t>Our proposal is fully compliant with the requirements outlined in the RFP issued by the Expenditure Efficiency &amp; Projects Authority. We have addressed each requirement in detail, ensuring that our approach aligns with the objectives of enhancing job standards and qualifications for Hajj and Umrah service providers. Our methodology, timeline, and deliverables are structured to meet the expectations set forth in the RFP, and we are committed to providing regular updates and engaging with stakeholders throughout the project. We will also ensure that all documentation and reporting are completed in accordance with the specified guidelines, facilitating transparency and accountability.</w:t>
      </w:r>
    </w:p>
    <w:p w14:paraId="46838D2F" w14:textId="3FCC22A2"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13) Deliverables Summary</w:t>
      </w:r>
    </w:p>
    <w:p w14:paraId="19D6E0FC" w14:textId="57523989" w:rsidR="00376952" w:rsidRDefault="00376952" w:rsidP="00376952">
      <w:pPr>
        <w:spacing w:after="120" w:line="240" w:lineRule="auto"/>
        <w:rPr>
          <w:color w:val="4A4A4A"/>
          <w:sz w:val="22"/>
        </w:rPr>
      </w:pPr>
      <w:r w:rsidRPr="00376952">
        <w:rPr>
          <w:color w:val="4A4A4A"/>
          <w:sz w:val="22"/>
        </w:rPr>
        <w:t>The key deliverables for this project include a comprehensive set of job standards and qualifications for Hajj and Umrah service providers, a needs assessment report, training materials for service providers, and a final project evaluation report. Each deliverable will be developed in collaboration with stakeholders to ensure relevance and applicability. We will also provide a roadmap for the implementation of the standards, including training sessions and ongoing support for service providers. This structured approach to deliverables will facilitate the successful adoption of the standards and contribute to the overall improvement of service quality in the Hajj and Umrah sectors.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6952" w14:paraId="5E2BF016" w14:textId="77777777" w:rsidTr="00376952">
        <w:tblPrEx>
          <w:tblCellMar>
            <w:top w:w="0" w:type="dxa"/>
            <w:bottom w:w="0" w:type="dxa"/>
          </w:tblCellMar>
        </w:tblPrEx>
        <w:tc>
          <w:tcPr>
            <w:tcW w:w="1666" w:type="pct"/>
          </w:tcPr>
          <w:p w14:paraId="78326CD3" w14:textId="57CEC0E7" w:rsidR="00376952" w:rsidRPr="00376952" w:rsidRDefault="00376952" w:rsidP="00376952">
            <w:pPr>
              <w:spacing w:after="120" w:line="240" w:lineRule="auto"/>
              <w:jc w:val="center"/>
              <w:rPr>
                <w:b/>
                <w:color w:val="000000"/>
                <w:sz w:val="20"/>
              </w:rPr>
            </w:pPr>
            <w:r w:rsidRPr="00376952">
              <w:rPr>
                <w:b/>
                <w:color w:val="000000"/>
                <w:sz w:val="20"/>
              </w:rPr>
              <w:t>Deliverable</w:t>
            </w:r>
          </w:p>
        </w:tc>
        <w:tc>
          <w:tcPr>
            <w:tcW w:w="1667" w:type="pct"/>
          </w:tcPr>
          <w:p w14:paraId="4185D7EF" w14:textId="31CB4971" w:rsidR="00376952" w:rsidRPr="00376952" w:rsidRDefault="00376952" w:rsidP="00376952">
            <w:pPr>
              <w:spacing w:after="120" w:line="240" w:lineRule="auto"/>
              <w:jc w:val="center"/>
              <w:rPr>
                <w:b/>
                <w:color w:val="000000"/>
                <w:sz w:val="20"/>
              </w:rPr>
            </w:pPr>
            <w:r w:rsidRPr="00376952">
              <w:rPr>
                <w:b/>
                <w:color w:val="000000"/>
                <w:sz w:val="20"/>
              </w:rPr>
              <w:t>Description</w:t>
            </w:r>
          </w:p>
        </w:tc>
        <w:tc>
          <w:tcPr>
            <w:tcW w:w="1667" w:type="pct"/>
          </w:tcPr>
          <w:p w14:paraId="46B9BA46" w14:textId="5ECD40A0" w:rsidR="00376952" w:rsidRPr="00376952" w:rsidRDefault="00376952" w:rsidP="00376952">
            <w:pPr>
              <w:spacing w:after="120" w:line="240" w:lineRule="auto"/>
              <w:jc w:val="center"/>
              <w:rPr>
                <w:b/>
                <w:color w:val="000000"/>
                <w:sz w:val="20"/>
              </w:rPr>
            </w:pPr>
            <w:r w:rsidRPr="00376952">
              <w:rPr>
                <w:b/>
                <w:color w:val="000000"/>
                <w:sz w:val="20"/>
              </w:rPr>
              <w:t>Due Date</w:t>
            </w:r>
          </w:p>
        </w:tc>
      </w:tr>
      <w:tr w:rsidR="00376952" w14:paraId="4B55119C" w14:textId="77777777" w:rsidTr="00376952">
        <w:tblPrEx>
          <w:tblCellMar>
            <w:top w:w="0" w:type="dxa"/>
            <w:bottom w:w="0" w:type="dxa"/>
          </w:tblCellMar>
        </w:tblPrEx>
        <w:tc>
          <w:tcPr>
            <w:tcW w:w="1666" w:type="pct"/>
          </w:tcPr>
          <w:p w14:paraId="56A661F8" w14:textId="03352C65" w:rsidR="00376952" w:rsidRPr="00376952" w:rsidRDefault="00376952" w:rsidP="00376952">
            <w:pPr>
              <w:spacing w:after="120" w:line="240" w:lineRule="auto"/>
              <w:jc w:val="right"/>
              <w:rPr>
                <w:color w:val="000000"/>
                <w:sz w:val="20"/>
              </w:rPr>
            </w:pPr>
            <w:r w:rsidRPr="00376952">
              <w:rPr>
                <w:color w:val="000000"/>
                <w:sz w:val="20"/>
              </w:rPr>
              <w:t>Job Standards Document</w:t>
            </w:r>
          </w:p>
        </w:tc>
        <w:tc>
          <w:tcPr>
            <w:tcW w:w="1667" w:type="pct"/>
          </w:tcPr>
          <w:p w14:paraId="4809491A" w14:textId="29F4D23E" w:rsidR="00376952" w:rsidRPr="00376952" w:rsidRDefault="00376952" w:rsidP="00376952">
            <w:pPr>
              <w:spacing w:after="120" w:line="240" w:lineRule="auto"/>
              <w:jc w:val="right"/>
              <w:rPr>
                <w:color w:val="000000"/>
                <w:sz w:val="20"/>
              </w:rPr>
            </w:pPr>
            <w:r w:rsidRPr="00376952">
              <w:rPr>
                <w:color w:val="000000"/>
                <w:sz w:val="20"/>
              </w:rPr>
              <w:t>Comprehensive standards for service providers.</w:t>
            </w:r>
          </w:p>
        </w:tc>
        <w:tc>
          <w:tcPr>
            <w:tcW w:w="1667" w:type="pct"/>
          </w:tcPr>
          <w:p w14:paraId="27463467" w14:textId="30326D2B" w:rsidR="00376952" w:rsidRPr="00376952" w:rsidRDefault="00376952" w:rsidP="00376952">
            <w:pPr>
              <w:spacing w:after="120" w:line="240" w:lineRule="auto"/>
              <w:jc w:val="right"/>
              <w:rPr>
                <w:color w:val="000000"/>
                <w:sz w:val="20"/>
              </w:rPr>
            </w:pPr>
            <w:r w:rsidRPr="00376952">
              <w:rPr>
                <w:color w:val="000000"/>
                <w:sz w:val="20"/>
              </w:rPr>
              <w:t>Month 8</w:t>
            </w:r>
          </w:p>
        </w:tc>
      </w:tr>
      <w:tr w:rsidR="00376952" w14:paraId="517D607F" w14:textId="77777777" w:rsidTr="00376952">
        <w:tblPrEx>
          <w:tblCellMar>
            <w:top w:w="0" w:type="dxa"/>
            <w:bottom w:w="0" w:type="dxa"/>
          </w:tblCellMar>
        </w:tblPrEx>
        <w:tc>
          <w:tcPr>
            <w:tcW w:w="1666" w:type="pct"/>
          </w:tcPr>
          <w:p w14:paraId="19915E5F" w14:textId="1992D088" w:rsidR="00376952" w:rsidRPr="00376952" w:rsidRDefault="00376952" w:rsidP="00376952">
            <w:pPr>
              <w:spacing w:after="120" w:line="240" w:lineRule="auto"/>
              <w:jc w:val="right"/>
              <w:rPr>
                <w:color w:val="000000"/>
                <w:sz w:val="20"/>
              </w:rPr>
            </w:pPr>
            <w:r w:rsidRPr="00376952">
              <w:rPr>
                <w:color w:val="000000"/>
                <w:sz w:val="20"/>
              </w:rPr>
              <w:t>Needs Assessment Report</w:t>
            </w:r>
          </w:p>
        </w:tc>
        <w:tc>
          <w:tcPr>
            <w:tcW w:w="1667" w:type="pct"/>
          </w:tcPr>
          <w:p w14:paraId="78DE2E09" w14:textId="3056B6F1" w:rsidR="00376952" w:rsidRPr="00376952" w:rsidRDefault="00376952" w:rsidP="00376952">
            <w:pPr>
              <w:spacing w:after="120" w:line="240" w:lineRule="auto"/>
              <w:jc w:val="right"/>
              <w:rPr>
                <w:color w:val="000000"/>
                <w:sz w:val="20"/>
              </w:rPr>
            </w:pPr>
            <w:r w:rsidRPr="00376952">
              <w:rPr>
                <w:color w:val="000000"/>
                <w:sz w:val="20"/>
              </w:rPr>
              <w:t>Detailed analysis of current practices.</w:t>
            </w:r>
          </w:p>
        </w:tc>
        <w:tc>
          <w:tcPr>
            <w:tcW w:w="1667" w:type="pct"/>
          </w:tcPr>
          <w:p w14:paraId="7E991311" w14:textId="09B5049C" w:rsidR="00376952" w:rsidRPr="00376952" w:rsidRDefault="00376952" w:rsidP="00376952">
            <w:pPr>
              <w:spacing w:after="120" w:line="240" w:lineRule="auto"/>
              <w:jc w:val="right"/>
              <w:rPr>
                <w:color w:val="000000"/>
                <w:sz w:val="20"/>
              </w:rPr>
            </w:pPr>
            <w:r w:rsidRPr="00376952">
              <w:rPr>
                <w:color w:val="000000"/>
                <w:sz w:val="20"/>
              </w:rPr>
              <w:t>Month 4</w:t>
            </w:r>
          </w:p>
        </w:tc>
      </w:tr>
      <w:tr w:rsidR="00376952" w14:paraId="52C3D71B" w14:textId="77777777" w:rsidTr="00376952">
        <w:tblPrEx>
          <w:tblCellMar>
            <w:top w:w="0" w:type="dxa"/>
            <w:bottom w:w="0" w:type="dxa"/>
          </w:tblCellMar>
        </w:tblPrEx>
        <w:tc>
          <w:tcPr>
            <w:tcW w:w="1666" w:type="pct"/>
          </w:tcPr>
          <w:p w14:paraId="51EBC293" w14:textId="007E8BF9" w:rsidR="00376952" w:rsidRPr="00376952" w:rsidRDefault="00376952" w:rsidP="00376952">
            <w:pPr>
              <w:spacing w:after="120" w:line="240" w:lineRule="auto"/>
              <w:jc w:val="right"/>
              <w:rPr>
                <w:color w:val="000000"/>
                <w:sz w:val="20"/>
              </w:rPr>
            </w:pPr>
            <w:r w:rsidRPr="00376952">
              <w:rPr>
                <w:color w:val="000000"/>
                <w:sz w:val="20"/>
              </w:rPr>
              <w:t>Training Materials</w:t>
            </w:r>
          </w:p>
        </w:tc>
        <w:tc>
          <w:tcPr>
            <w:tcW w:w="1667" w:type="pct"/>
          </w:tcPr>
          <w:p w14:paraId="5C946475" w14:textId="11CC84E2" w:rsidR="00376952" w:rsidRPr="00376952" w:rsidRDefault="00376952" w:rsidP="00376952">
            <w:pPr>
              <w:spacing w:after="120" w:line="240" w:lineRule="auto"/>
              <w:jc w:val="right"/>
              <w:rPr>
                <w:color w:val="000000"/>
                <w:sz w:val="20"/>
              </w:rPr>
            </w:pPr>
            <w:r w:rsidRPr="00376952">
              <w:rPr>
                <w:color w:val="000000"/>
                <w:sz w:val="20"/>
              </w:rPr>
              <w:t>Resources for training service providers.</w:t>
            </w:r>
          </w:p>
        </w:tc>
        <w:tc>
          <w:tcPr>
            <w:tcW w:w="1667" w:type="pct"/>
          </w:tcPr>
          <w:p w14:paraId="43DEBB4A" w14:textId="6E129922" w:rsidR="00376952" w:rsidRPr="00376952" w:rsidRDefault="00376952" w:rsidP="00376952">
            <w:pPr>
              <w:spacing w:after="120" w:line="240" w:lineRule="auto"/>
              <w:jc w:val="right"/>
              <w:rPr>
                <w:color w:val="000000"/>
                <w:sz w:val="20"/>
              </w:rPr>
            </w:pPr>
            <w:r w:rsidRPr="00376952">
              <w:rPr>
                <w:color w:val="000000"/>
                <w:sz w:val="20"/>
              </w:rPr>
              <w:t>Month 10</w:t>
            </w:r>
          </w:p>
        </w:tc>
      </w:tr>
      <w:tr w:rsidR="00376952" w14:paraId="32A0A460" w14:textId="77777777" w:rsidTr="00376952">
        <w:tblPrEx>
          <w:tblCellMar>
            <w:top w:w="0" w:type="dxa"/>
            <w:bottom w:w="0" w:type="dxa"/>
          </w:tblCellMar>
        </w:tblPrEx>
        <w:tc>
          <w:tcPr>
            <w:tcW w:w="1666" w:type="pct"/>
          </w:tcPr>
          <w:p w14:paraId="3E1FFCC0" w14:textId="5A899A2F" w:rsidR="00376952" w:rsidRPr="00376952" w:rsidRDefault="00376952" w:rsidP="00376952">
            <w:pPr>
              <w:spacing w:after="120" w:line="240" w:lineRule="auto"/>
              <w:jc w:val="right"/>
              <w:rPr>
                <w:color w:val="000000"/>
                <w:sz w:val="20"/>
              </w:rPr>
            </w:pPr>
            <w:r w:rsidRPr="00376952">
              <w:rPr>
                <w:color w:val="000000"/>
                <w:sz w:val="20"/>
              </w:rPr>
              <w:t>Final Evaluation Report</w:t>
            </w:r>
          </w:p>
        </w:tc>
        <w:tc>
          <w:tcPr>
            <w:tcW w:w="1667" w:type="pct"/>
          </w:tcPr>
          <w:p w14:paraId="6C3038B3" w14:textId="6BECE3CC" w:rsidR="00376952" w:rsidRPr="00376952" w:rsidRDefault="00376952" w:rsidP="00376952">
            <w:pPr>
              <w:spacing w:after="120" w:line="240" w:lineRule="auto"/>
              <w:jc w:val="right"/>
              <w:rPr>
                <w:color w:val="000000"/>
                <w:sz w:val="20"/>
              </w:rPr>
            </w:pPr>
            <w:r w:rsidRPr="00376952">
              <w:rPr>
                <w:color w:val="000000"/>
                <w:sz w:val="20"/>
              </w:rPr>
              <w:t>Assessment of project impact and outcomes.</w:t>
            </w:r>
          </w:p>
        </w:tc>
        <w:tc>
          <w:tcPr>
            <w:tcW w:w="1667" w:type="pct"/>
          </w:tcPr>
          <w:p w14:paraId="10FC1AE6" w14:textId="79EC0A6F" w:rsidR="00376952" w:rsidRPr="00376952" w:rsidRDefault="00376952" w:rsidP="00376952">
            <w:pPr>
              <w:spacing w:after="120" w:line="240" w:lineRule="auto"/>
              <w:jc w:val="right"/>
              <w:rPr>
                <w:color w:val="000000"/>
                <w:sz w:val="20"/>
              </w:rPr>
            </w:pPr>
            <w:r w:rsidRPr="00376952">
              <w:rPr>
                <w:color w:val="000000"/>
                <w:sz w:val="20"/>
              </w:rPr>
              <w:t>Month 12</w:t>
            </w:r>
          </w:p>
        </w:tc>
      </w:tr>
    </w:tbl>
    <w:p w14:paraId="75B92777" w14:textId="77777777" w:rsidR="00376952" w:rsidRDefault="00376952" w:rsidP="00376952">
      <w:pPr>
        <w:spacing w:after="120" w:line="240" w:lineRule="auto"/>
        <w:jc w:val="right"/>
        <w:rPr>
          <w:color w:val="4A4A4A"/>
          <w:sz w:val="22"/>
        </w:rPr>
      </w:pPr>
    </w:p>
    <w:p w14:paraId="4C15A1B6" w14:textId="74E9A87E"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14) Assumptions</w:t>
      </w:r>
    </w:p>
    <w:p w14:paraId="1F15948C" w14:textId="55BE188D" w:rsidR="00376952" w:rsidRDefault="00376952" w:rsidP="00376952">
      <w:pPr>
        <w:spacing w:after="120" w:line="240" w:lineRule="auto"/>
        <w:rPr>
          <w:color w:val="4A4A4A"/>
          <w:sz w:val="22"/>
        </w:rPr>
      </w:pPr>
      <w:r w:rsidRPr="00376952">
        <w:rPr>
          <w:color w:val="4A4A4A"/>
          <w:sz w:val="22"/>
        </w:rPr>
        <w:t>This proposal is based on several key assumptions that will underpin the successful execution of the project. We assume that stakeholders will be available and willing to engage in the process, providing valuable insights and feedback. Additionally, we assume that the necessary data will be accessible for analysis, enabling us to conduct a thorough needs assessment. We also assume that the project timeline will remain as outlined, with no significant delays. Finally, we assume that the Expenditure Efficiency &amp; Projects Authority will provide the necessary support and resources to facilitate project success.</w:t>
      </w:r>
    </w:p>
    <w:p w14:paraId="3AD06CA5" w14:textId="68E4D745"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15) Pricing Approach (Summary)</w:t>
      </w:r>
    </w:p>
    <w:p w14:paraId="068F89E2" w14:textId="4EF37D1F" w:rsidR="00376952" w:rsidRDefault="00376952" w:rsidP="00376952">
      <w:pPr>
        <w:spacing w:after="120" w:line="240" w:lineRule="auto"/>
        <w:rPr>
          <w:color w:val="4A4A4A"/>
          <w:sz w:val="22"/>
        </w:rPr>
      </w:pPr>
      <w:r w:rsidRPr="00376952">
        <w:rPr>
          <w:color w:val="4A4A4A"/>
          <w:sz w:val="22"/>
        </w:rPr>
        <w:t>Our pricing approach for the development of job standards and qualifications for Hajj and Umrah service providers is designed to be transparent and competitive. We will provide a detailed breakdown of costs associated with each phase of the project, ensuring that all expenses are clearly outlined. Our pricing will reflect the expertise and resources required to deliver high-quality outcomes, while also considering the budgetary constraints of the Expenditure Efficiency &amp; Projects Authority. We are committed to delivering value for money and ensuring that the project remains within the agreed budget. A detailed pricing table will be provided as part of the final proposal submission.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376952" w14:paraId="5814145B" w14:textId="77777777" w:rsidTr="00376952">
        <w:tblPrEx>
          <w:tblCellMar>
            <w:top w:w="0" w:type="dxa"/>
            <w:bottom w:w="0" w:type="dxa"/>
          </w:tblCellMar>
        </w:tblPrEx>
        <w:tc>
          <w:tcPr>
            <w:tcW w:w="1666" w:type="pct"/>
          </w:tcPr>
          <w:p w14:paraId="3C86F233" w14:textId="0086DAD5" w:rsidR="00376952" w:rsidRPr="00376952" w:rsidRDefault="00376952" w:rsidP="00376952">
            <w:pPr>
              <w:spacing w:after="120" w:line="240" w:lineRule="auto"/>
              <w:jc w:val="center"/>
              <w:rPr>
                <w:b/>
                <w:color w:val="000000"/>
                <w:sz w:val="20"/>
              </w:rPr>
            </w:pPr>
            <w:r w:rsidRPr="00376952">
              <w:rPr>
                <w:b/>
                <w:color w:val="000000"/>
                <w:sz w:val="20"/>
              </w:rPr>
              <w:t>Phase</w:t>
            </w:r>
          </w:p>
        </w:tc>
        <w:tc>
          <w:tcPr>
            <w:tcW w:w="1667" w:type="pct"/>
          </w:tcPr>
          <w:p w14:paraId="2006722F" w14:textId="5085BC8C" w:rsidR="00376952" w:rsidRPr="00376952" w:rsidRDefault="00376952" w:rsidP="00376952">
            <w:pPr>
              <w:spacing w:after="120" w:line="240" w:lineRule="auto"/>
              <w:jc w:val="center"/>
              <w:rPr>
                <w:b/>
                <w:color w:val="000000"/>
                <w:sz w:val="20"/>
              </w:rPr>
            </w:pPr>
            <w:r w:rsidRPr="00376952">
              <w:rPr>
                <w:b/>
                <w:color w:val="000000"/>
                <w:sz w:val="20"/>
              </w:rPr>
              <w:t>Cost</w:t>
            </w:r>
          </w:p>
        </w:tc>
        <w:tc>
          <w:tcPr>
            <w:tcW w:w="1667" w:type="pct"/>
          </w:tcPr>
          <w:p w14:paraId="32573EE1" w14:textId="359F3648" w:rsidR="00376952" w:rsidRPr="00376952" w:rsidRDefault="00376952" w:rsidP="00376952">
            <w:pPr>
              <w:spacing w:after="120" w:line="240" w:lineRule="auto"/>
              <w:jc w:val="center"/>
              <w:rPr>
                <w:b/>
                <w:color w:val="000000"/>
                <w:sz w:val="20"/>
              </w:rPr>
            </w:pPr>
            <w:r w:rsidRPr="00376952">
              <w:rPr>
                <w:b/>
                <w:color w:val="000000"/>
                <w:sz w:val="20"/>
              </w:rPr>
              <w:t>Description</w:t>
            </w:r>
          </w:p>
        </w:tc>
      </w:tr>
      <w:tr w:rsidR="00376952" w14:paraId="1DB3EDA9" w14:textId="77777777" w:rsidTr="00376952">
        <w:tblPrEx>
          <w:tblCellMar>
            <w:top w:w="0" w:type="dxa"/>
            <w:bottom w:w="0" w:type="dxa"/>
          </w:tblCellMar>
        </w:tblPrEx>
        <w:tc>
          <w:tcPr>
            <w:tcW w:w="1666" w:type="pct"/>
          </w:tcPr>
          <w:p w14:paraId="155DC000" w14:textId="37F22AEB" w:rsidR="00376952" w:rsidRPr="00376952" w:rsidRDefault="00376952" w:rsidP="00376952">
            <w:pPr>
              <w:spacing w:after="120" w:line="240" w:lineRule="auto"/>
              <w:jc w:val="right"/>
              <w:rPr>
                <w:color w:val="000000"/>
                <w:sz w:val="20"/>
              </w:rPr>
            </w:pPr>
            <w:r w:rsidRPr="00376952">
              <w:rPr>
                <w:color w:val="000000"/>
                <w:sz w:val="20"/>
              </w:rPr>
              <w:t>Phase 1</w:t>
            </w:r>
          </w:p>
        </w:tc>
        <w:tc>
          <w:tcPr>
            <w:tcW w:w="1667" w:type="pct"/>
          </w:tcPr>
          <w:p w14:paraId="489B8AC7" w14:textId="60654D24" w:rsidR="00376952" w:rsidRPr="00376952" w:rsidRDefault="00376952" w:rsidP="00376952">
            <w:pPr>
              <w:spacing w:after="120" w:line="240" w:lineRule="auto"/>
              <w:jc w:val="right"/>
              <w:rPr>
                <w:color w:val="000000"/>
                <w:sz w:val="20"/>
              </w:rPr>
            </w:pPr>
            <w:r w:rsidRPr="00376952">
              <w:rPr>
                <w:color w:val="000000"/>
                <w:sz w:val="20"/>
              </w:rPr>
              <w:t>SAR 100,000</w:t>
            </w:r>
          </w:p>
        </w:tc>
        <w:tc>
          <w:tcPr>
            <w:tcW w:w="1667" w:type="pct"/>
          </w:tcPr>
          <w:p w14:paraId="1227D8C6" w14:textId="294D3AC4" w:rsidR="00376952" w:rsidRPr="00376952" w:rsidRDefault="00376952" w:rsidP="00376952">
            <w:pPr>
              <w:spacing w:after="120" w:line="240" w:lineRule="auto"/>
              <w:jc w:val="right"/>
              <w:rPr>
                <w:color w:val="000000"/>
                <w:sz w:val="20"/>
              </w:rPr>
            </w:pPr>
            <w:r w:rsidRPr="00376952">
              <w:rPr>
                <w:color w:val="000000"/>
                <w:sz w:val="20"/>
              </w:rPr>
              <w:t>Stakeholder engagement and workshops.</w:t>
            </w:r>
          </w:p>
        </w:tc>
      </w:tr>
      <w:tr w:rsidR="00376952" w14:paraId="4D6BDF32" w14:textId="77777777" w:rsidTr="00376952">
        <w:tblPrEx>
          <w:tblCellMar>
            <w:top w:w="0" w:type="dxa"/>
            <w:bottom w:w="0" w:type="dxa"/>
          </w:tblCellMar>
        </w:tblPrEx>
        <w:tc>
          <w:tcPr>
            <w:tcW w:w="1666" w:type="pct"/>
          </w:tcPr>
          <w:p w14:paraId="1AB13C0C" w14:textId="12D43F22" w:rsidR="00376952" w:rsidRPr="00376952" w:rsidRDefault="00376952" w:rsidP="00376952">
            <w:pPr>
              <w:spacing w:after="120" w:line="240" w:lineRule="auto"/>
              <w:jc w:val="right"/>
              <w:rPr>
                <w:color w:val="000000"/>
                <w:sz w:val="20"/>
              </w:rPr>
            </w:pPr>
            <w:r w:rsidRPr="00376952">
              <w:rPr>
                <w:color w:val="000000"/>
                <w:sz w:val="20"/>
              </w:rPr>
              <w:t>Phase 2</w:t>
            </w:r>
          </w:p>
        </w:tc>
        <w:tc>
          <w:tcPr>
            <w:tcW w:w="1667" w:type="pct"/>
          </w:tcPr>
          <w:p w14:paraId="1C594F0F" w14:textId="7386AB3A" w:rsidR="00376952" w:rsidRPr="00376952" w:rsidRDefault="00376952" w:rsidP="00376952">
            <w:pPr>
              <w:spacing w:after="120" w:line="240" w:lineRule="auto"/>
              <w:jc w:val="right"/>
              <w:rPr>
                <w:color w:val="000000"/>
                <w:sz w:val="20"/>
              </w:rPr>
            </w:pPr>
            <w:r w:rsidRPr="00376952">
              <w:rPr>
                <w:color w:val="000000"/>
                <w:sz w:val="20"/>
              </w:rPr>
              <w:t>SAR 150,000</w:t>
            </w:r>
          </w:p>
        </w:tc>
        <w:tc>
          <w:tcPr>
            <w:tcW w:w="1667" w:type="pct"/>
          </w:tcPr>
          <w:p w14:paraId="293ABCDB" w14:textId="1063D2E6" w:rsidR="00376952" w:rsidRPr="00376952" w:rsidRDefault="00376952" w:rsidP="00376952">
            <w:pPr>
              <w:spacing w:after="120" w:line="240" w:lineRule="auto"/>
              <w:jc w:val="right"/>
              <w:rPr>
                <w:color w:val="000000"/>
                <w:sz w:val="20"/>
              </w:rPr>
            </w:pPr>
            <w:r w:rsidRPr="00376952">
              <w:rPr>
                <w:color w:val="000000"/>
                <w:sz w:val="20"/>
              </w:rPr>
              <w:t>Needs assessment and analysis.</w:t>
            </w:r>
          </w:p>
        </w:tc>
      </w:tr>
      <w:tr w:rsidR="00376952" w14:paraId="18D396CA" w14:textId="77777777" w:rsidTr="00376952">
        <w:tblPrEx>
          <w:tblCellMar>
            <w:top w:w="0" w:type="dxa"/>
            <w:bottom w:w="0" w:type="dxa"/>
          </w:tblCellMar>
        </w:tblPrEx>
        <w:tc>
          <w:tcPr>
            <w:tcW w:w="1666" w:type="pct"/>
          </w:tcPr>
          <w:p w14:paraId="3E5E5F80" w14:textId="609E7AB9" w:rsidR="00376952" w:rsidRPr="00376952" w:rsidRDefault="00376952" w:rsidP="00376952">
            <w:pPr>
              <w:spacing w:after="120" w:line="240" w:lineRule="auto"/>
              <w:jc w:val="right"/>
              <w:rPr>
                <w:color w:val="000000"/>
                <w:sz w:val="20"/>
              </w:rPr>
            </w:pPr>
            <w:r w:rsidRPr="00376952">
              <w:rPr>
                <w:color w:val="000000"/>
                <w:sz w:val="20"/>
              </w:rPr>
              <w:t>Phase 3</w:t>
            </w:r>
          </w:p>
        </w:tc>
        <w:tc>
          <w:tcPr>
            <w:tcW w:w="1667" w:type="pct"/>
          </w:tcPr>
          <w:p w14:paraId="45827F47" w14:textId="3AD6FBC0" w:rsidR="00376952" w:rsidRPr="00376952" w:rsidRDefault="00376952" w:rsidP="00376952">
            <w:pPr>
              <w:spacing w:after="120" w:line="240" w:lineRule="auto"/>
              <w:jc w:val="right"/>
              <w:rPr>
                <w:color w:val="000000"/>
                <w:sz w:val="20"/>
              </w:rPr>
            </w:pPr>
            <w:r w:rsidRPr="00376952">
              <w:rPr>
                <w:color w:val="000000"/>
                <w:sz w:val="20"/>
              </w:rPr>
              <w:t>SAR 200,000</w:t>
            </w:r>
          </w:p>
        </w:tc>
        <w:tc>
          <w:tcPr>
            <w:tcW w:w="1667" w:type="pct"/>
          </w:tcPr>
          <w:p w14:paraId="3A598F19" w14:textId="6484C7D8" w:rsidR="00376952" w:rsidRPr="00376952" w:rsidRDefault="00376952" w:rsidP="00376952">
            <w:pPr>
              <w:spacing w:after="120" w:line="240" w:lineRule="auto"/>
              <w:jc w:val="right"/>
              <w:rPr>
                <w:color w:val="000000"/>
                <w:sz w:val="20"/>
              </w:rPr>
            </w:pPr>
            <w:r w:rsidRPr="00376952">
              <w:rPr>
                <w:color w:val="000000"/>
                <w:sz w:val="20"/>
              </w:rPr>
              <w:t>Development of job standards.</w:t>
            </w:r>
          </w:p>
        </w:tc>
      </w:tr>
      <w:tr w:rsidR="00376952" w14:paraId="56EF7AF3" w14:textId="77777777" w:rsidTr="00376952">
        <w:tblPrEx>
          <w:tblCellMar>
            <w:top w:w="0" w:type="dxa"/>
            <w:bottom w:w="0" w:type="dxa"/>
          </w:tblCellMar>
        </w:tblPrEx>
        <w:tc>
          <w:tcPr>
            <w:tcW w:w="1666" w:type="pct"/>
          </w:tcPr>
          <w:p w14:paraId="084C7BA8" w14:textId="54F3942A" w:rsidR="00376952" w:rsidRPr="00376952" w:rsidRDefault="00376952" w:rsidP="00376952">
            <w:pPr>
              <w:spacing w:after="120" w:line="240" w:lineRule="auto"/>
              <w:jc w:val="right"/>
              <w:rPr>
                <w:color w:val="000000"/>
                <w:sz w:val="20"/>
              </w:rPr>
            </w:pPr>
            <w:r w:rsidRPr="00376952">
              <w:rPr>
                <w:color w:val="000000"/>
                <w:sz w:val="20"/>
              </w:rPr>
              <w:t>Phase 4</w:t>
            </w:r>
          </w:p>
        </w:tc>
        <w:tc>
          <w:tcPr>
            <w:tcW w:w="1667" w:type="pct"/>
          </w:tcPr>
          <w:p w14:paraId="79309F50" w14:textId="1F880246" w:rsidR="00376952" w:rsidRPr="00376952" w:rsidRDefault="00376952" w:rsidP="00376952">
            <w:pPr>
              <w:spacing w:after="120" w:line="240" w:lineRule="auto"/>
              <w:jc w:val="right"/>
              <w:rPr>
                <w:color w:val="000000"/>
                <w:sz w:val="20"/>
              </w:rPr>
            </w:pPr>
            <w:r w:rsidRPr="00376952">
              <w:rPr>
                <w:color w:val="000000"/>
                <w:sz w:val="20"/>
              </w:rPr>
              <w:t>SAR 50,000</w:t>
            </w:r>
          </w:p>
        </w:tc>
        <w:tc>
          <w:tcPr>
            <w:tcW w:w="1667" w:type="pct"/>
          </w:tcPr>
          <w:p w14:paraId="595CC49C" w14:textId="3FCC0A4D" w:rsidR="00376952" w:rsidRPr="00376952" w:rsidRDefault="00376952" w:rsidP="00376952">
            <w:pPr>
              <w:spacing w:after="120" w:line="240" w:lineRule="auto"/>
              <w:jc w:val="right"/>
              <w:rPr>
                <w:color w:val="000000"/>
                <w:sz w:val="20"/>
              </w:rPr>
            </w:pPr>
            <w:r w:rsidRPr="00376952">
              <w:rPr>
                <w:color w:val="000000"/>
                <w:sz w:val="20"/>
              </w:rPr>
              <w:t>Training materials preparation.</w:t>
            </w:r>
          </w:p>
        </w:tc>
      </w:tr>
      <w:tr w:rsidR="00376952" w14:paraId="156FE3E7" w14:textId="77777777" w:rsidTr="00376952">
        <w:tblPrEx>
          <w:tblCellMar>
            <w:top w:w="0" w:type="dxa"/>
            <w:bottom w:w="0" w:type="dxa"/>
          </w:tblCellMar>
        </w:tblPrEx>
        <w:tc>
          <w:tcPr>
            <w:tcW w:w="1666" w:type="pct"/>
          </w:tcPr>
          <w:p w14:paraId="3C4C93CB" w14:textId="11B401C5" w:rsidR="00376952" w:rsidRPr="00376952" w:rsidRDefault="00376952" w:rsidP="00376952">
            <w:pPr>
              <w:spacing w:after="120" w:line="240" w:lineRule="auto"/>
              <w:jc w:val="right"/>
              <w:rPr>
                <w:color w:val="000000"/>
                <w:sz w:val="20"/>
              </w:rPr>
            </w:pPr>
            <w:r w:rsidRPr="00376952">
              <w:rPr>
                <w:color w:val="000000"/>
                <w:sz w:val="20"/>
              </w:rPr>
              <w:t>Phase 5</w:t>
            </w:r>
          </w:p>
        </w:tc>
        <w:tc>
          <w:tcPr>
            <w:tcW w:w="1667" w:type="pct"/>
          </w:tcPr>
          <w:p w14:paraId="60CEB294" w14:textId="41B49538" w:rsidR="00376952" w:rsidRPr="00376952" w:rsidRDefault="00376952" w:rsidP="00376952">
            <w:pPr>
              <w:spacing w:after="120" w:line="240" w:lineRule="auto"/>
              <w:jc w:val="right"/>
              <w:rPr>
                <w:color w:val="000000"/>
                <w:sz w:val="20"/>
              </w:rPr>
            </w:pPr>
            <w:r w:rsidRPr="00376952">
              <w:rPr>
                <w:color w:val="000000"/>
                <w:sz w:val="20"/>
              </w:rPr>
              <w:t>SAR 50,000</w:t>
            </w:r>
          </w:p>
        </w:tc>
        <w:tc>
          <w:tcPr>
            <w:tcW w:w="1667" w:type="pct"/>
          </w:tcPr>
          <w:p w14:paraId="74A5BDD1" w14:textId="47CD5717" w:rsidR="00376952" w:rsidRPr="00376952" w:rsidRDefault="00376952" w:rsidP="00376952">
            <w:pPr>
              <w:spacing w:after="120" w:line="240" w:lineRule="auto"/>
              <w:jc w:val="right"/>
              <w:rPr>
                <w:color w:val="000000"/>
                <w:sz w:val="20"/>
              </w:rPr>
            </w:pPr>
            <w:r w:rsidRPr="00376952">
              <w:rPr>
                <w:color w:val="000000"/>
                <w:sz w:val="20"/>
              </w:rPr>
              <w:t>Monitoring and evaluation.</w:t>
            </w:r>
          </w:p>
        </w:tc>
      </w:tr>
    </w:tbl>
    <w:p w14:paraId="469EB6BA" w14:textId="77777777" w:rsidR="00376952" w:rsidRDefault="00376952" w:rsidP="00376952">
      <w:pPr>
        <w:spacing w:after="120" w:line="240" w:lineRule="auto"/>
        <w:jc w:val="right"/>
        <w:rPr>
          <w:color w:val="4A4A4A"/>
          <w:sz w:val="22"/>
        </w:rPr>
      </w:pPr>
    </w:p>
    <w:p w14:paraId="79D01137" w14:textId="3E315DB2" w:rsidR="00376952" w:rsidRDefault="00376952" w:rsidP="00376952">
      <w:pPr>
        <w:spacing w:after="120" w:line="240" w:lineRule="auto"/>
        <w:rPr>
          <w:rFonts w:asciiTheme="majorHAnsi" w:eastAsiaTheme="majorEastAsia" w:hAnsiTheme="majorHAnsi" w:cstheme="majorBidi"/>
          <w:b/>
          <w:color w:val="2D2D2D"/>
          <w:sz w:val="28"/>
          <w:szCs w:val="40"/>
        </w:rPr>
      </w:pPr>
      <w:r w:rsidRPr="00376952">
        <w:rPr>
          <w:rFonts w:asciiTheme="majorHAnsi" w:eastAsiaTheme="majorEastAsia" w:hAnsiTheme="majorHAnsi" w:cstheme="majorBidi"/>
          <w:b/>
          <w:color w:val="2D2D2D"/>
          <w:sz w:val="28"/>
          <w:szCs w:val="40"/>
        </w:rPr>
        <w:t>16) Why Impetus</w:t>
      </w:r>
    </w:p>
    <w:p w14:paraId="08619ADC" w14:textId="54E0153A" w:rsidR="00376952" w:rsidRDefault="00376952" w:rsidP="00376952">
      <w:pPr>
        <w:spacing w:after="120" w:line="240" w:lineRule="auto"/>
        <w:rPr>
          <w:color w:val="4A4A4A"/>
          <w:sz w:val="22"/>
        </w:rPr>
      </w:pPr>
      <w:r w:rsidRPr="00376952">
        <w:rPr>
          <w:color w:val="4A4A4A"/>
          <w:sz w:val="22"/>
        </w:rPr>
        <w:t>Choosing Impetus Strategy as your partner for the development of job standards and qualifications for Hajj and Umrah service providers means selecting a firm with a proven track record of success in similar projects. Our deep sector expertise, strong local and international partnerships, and commitment to impactful solutions set us apart from other consulting firms. We have a dedicated team of professionals who understand the unique challenges of the Hajj and Umrah sectors and are equipped to deliver tailored solutions that meet your needs. Our methodologies are evidence-based, ensuring that the standards we develop are relevant and effective. Furthermore, our commitment to stakeholder engagement and continuous improvement ensures that the project will be successful and sustainable in the long term.</w:t>
      </w:r>
    </w:p>
    <w:p w14:paraId="65014385" w14:textId="77777777" w:rsidR="00376952" w:rsidRPr="00376952" w:rsidRDefault="00376952" w:rsidP="00376952">
      <w:pPr>
        <w:spacing w:after="120" w:line="240" w:lineRule="auto"/>
        <w:rPr>
          <w:color w:val="4A4A4A"/>
          <w:sz w:val="22"/>
        </w:rPr>
      </w:pPr>
    </w:p>
    <w:sectPr w:rsidR="00376952" w:rsidRPr="00376952" w:rsidSect="0037695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81F4A" w14:textId="77777777" w:rsidR="00376952" w:rsidRDefault="00376952" w:rsidP="00376952">
      <w:pPr>
        <w:spacing w:after="0" w:line="240" w:lineRule="auto"/>
      </w:pPr>
      <w:r>
        <w:separator/>
      </w:r>
    </w:p>
  </w:endnote>
  <w:endnote w:type="continuationSeparator" w:id="0">
    <w:p w14:paraId="0E766232" w14:textId="77777777" w:rsidR="00376952" w:rsidRDefault="00376952" w:rsidP="0037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8F42D" w14:textId="77777777" w:rsidR="00376952" w:rsidRDefault="00376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376952" w14:paraId="0A9483A7" w14:textId="77777777" w:rsidTr="00376952">
      <w:tblPrEx>
        <w:tblCellMar>
          <w:top w:w="0" w:type="dxa"/>
          <w:bottom w:w="0" w:type="dxa"/>
        </w:tblCellMar>
      </w:tblPrEx>
      <w:tc>
        <w:tcPr>
          <w:tcW w:w="3008" w:type="dxa"/>
        </w:tcPr>
        <w:p w14:paraId="114CEE11" w14:textId="77777777" w:rsidR="00376952" w:rsidRDefault="00376952" w:rsidP="00376952">
          <w:pPr>
            <w:pStyle w:val="Footer"/>
          </w:pPr>
        </w:p>
      </w:tc>
      <w:tc>
        <w:tcPr>
          <w:tcW w:w="3009" w:type="dxa"/>
        </w:tcPr>
        <w:p w14:paraId="4F55B068" w14:textId="77777777" w:rsidR="00376952" w:rsidRDefault="00376952" w:rsidP="00376952">
          <w:pPr>
            <w:pStyle w:val="Footer"/>
            <w:jc w:val="center"/>
          </w:pPr>
        </w:p>
      </w:tc>
      <w:tc>
        <w:tcPr>
          <w:tcW w:w="3009" w:type="dxa"/>
        </w:tcPr>
        <w:p w14:paraId="255D6265" w14:textId="77777777" w:rsidR="00376952" w:rsidRDefault="00376952" w:rsidP="00376952">
          <w:pPr>
            <w:pStyle w:val="Footer"/>
            <w:jc w:val="right"/>
          </w:pPr>
        </w:p>
      </w:tc>
    </w:tr>
  </w:tbl>
  <w:p w14:paraId="7838A89A" w14:textId="77777777" w:rsidR="00376952" w:rsidRDefault="00376952" w:rsidP="0037695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C7C13" w14:textId="77777777" w:rsidR="00376952" w:rsidRDefault="0037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9612E" w14:textId="77777777" w:rsidR="00376952" w:rsidRDefault="00376952" w:rsidP="00376952">
      <w:pPr>
        <w:spacing w:after="0" w:line="240" w:lineRule="auto"/>
      </w:pPr>
      <w:r>
        <w:separator/>
      </w:r>
    </w:p>
  </w:footnote>
  <w:footnote w:type="continuationSeparator" w:id="0">
    <w:p w14:paraId="12E436B9" w14:textId="77777777" w:rsidR="00376952" w:rsidRDefault="00376952" w:rsidP="00376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C7D74" w14:textId="77777777" w:rsidR="00376952" w:rsidRDefault="003769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376952" w14:paraId="78DC9F32" w14:textId="77777777" w:rsidTr="00376952">
      <w:tblPrEx>
        <w:tblCellMar>
          <w:top w:w="0" w:type="dxa"/>
          <w:bottom w:w="0" w:type="dxa"/>
        </w:tblCellMar>
      </w:tblPrEx>
      <w:tc>
        <w:tcPr>
          <w:tcW w:w="4513" w:type="dxa"/>
        </w:tcPr>
        <w:p w14:paraId="294E356C" w14:textId="77777777" w:rsidR="00376952" w:rsidRPr="00376952" w:rsidRDefault="00376952" w:rsidP="00376952">
          <w:pPr>
            <w:pStyle w:val="Header"/>
            <w:rPr>
              <w:b/>
              <w:sz w:val="28"/>
            </w:rPr>
          </w:pPr>
        </w:p>
      </w:tc>
      <w:tc>
        <w:tcPr>
          <w:tcW w:w="4513" w:type="dxa"/>
        </w:tcPr>
        <w:p w14:paraId="38643F49" w14:textId="42D42C89" w:rsidR="00376952" w:rsidRDefault="00376952" w:rsidP="00376952">
          <w:pPr>
            <w:pStyle w:val="Header"/>
            <w:jc w:val="right"/>
          </w:pPr>
          <w:r>
            <w:t xml:space="preserve"> </w:t>
          </w:r>
        </w:p>
      </w:tc>
    </w:tr>
  </w:tbl>
  <w:p w14:paraId="4C0E1260" w14:textId="77777777" w:rsidR="00376952" w:rsidRDefault="00376952" w:rsidP="00376952">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71C4C" w14:textId="77777777" w:rsidR="00376952" w:rsidRDefault="003769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52"/>
    <w:rsid w:val="00034CBB"/>
    <w:rsid w:val="00376952"/>
    <w:rsid w:val="00460531"/>
    <w:rsid w:val="00983B0F"/>
    <w:rsid w:val="00A0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79BA"/>
  <w15:chartTrackingRefBased/>
  <w15:docId w15:val="{99701B23-0911-420B-AD7C-4F15526F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952"/>
    <w:rPr>
      <w:rFonts w:eastAsiaTheme="majorEastAsia" w:cstheme="majorBidi"/>
      <w:color w:val="272727" w:themeColor="text1" w:themeTint="D8"/>
    </w:rPr>
  </w:style>
  <w:style w:type="paragraph" w:styleId="Title">
    <w:name w:val="Title"/>
    <w:basedOn w:val="Normal"/>
    <w:next w:val="Normal"/>
    <w:link w:val="TitleChar"/>
    <w:uiPriority w:val="10"/>
    <w:qFormat/>
    <w:rsid w:val="00376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952"/>
    <w:pPr>
      <w:spacing w:before="160"/>
      <w:jc w:val="center"/>
    </w:pPr>
    <w:rPr>
      <w:i/>
      <w:iCs/>
      <w:color w:val="404040" w:themeColor="text1" w:themeTint="BF"/>
    </w:rPr>
  </w:style>
  <w:style w:type="character" w:customStyle="1" w:styleId="QuoteChar">
    <w:name w:val="Quote Char"/>
    <w:basedOn w:val="DefaultParagraphFont"/>
    <w:link w:val="Quote"/>
    <w:uiPriority w:val="29"/>
    <w:rsid w:val="00376952"/>
    <w:rPr>
      <w:i/>
      <w:iCs/>
      <w:color w:val="404040" w:themeColor="text1" w:themeTint="BF"/>
    </w:rPr>
  </w:style>
  <w:style w:type="paragraph" w:styleId="ListParagraph">
    <w:name w:val="List Paragraph"/>
    <w:basedOn w:val="Normal"/>
    <w:uiPriority w:val="34"/>
    <w:qFormat/>
    <w:rsid w:val="00376952"/>
    <w:pPr>
      <w:ind w:left="720"/>
      <w:contextualSpacing/>
    </w:pPr>
  </w:style>
  <w:style w:type="character" w:styleId="IntenseEmphasis">
    <w:name w:val="Intense Emphasis"/>
    <w:basedOn w:val="DefaultParagraphFont"/>
    <w:uiPriority w:val="21"/>
    <w:qFormat/>
    <w:rsid w:val="00376952"/>
    <w:rPr>
      <w:i/>
      <w:iCs/>
      <w:color w:val="0F4761" w:themeColor="accent1" w:themeShade="BF"/>
    </w:rPr>
  </w:style>
  <w:style w:type="paragraph" w:styleId="IntenseQuote">
    <w:name w:val="Intense Quote"/>
    <w:basedOn w:val="Normal"/>
    <w:next w:val="Normal"/>
    <w:link w:val="IntenseQuoteChar"/>
    <w:uiPriority w:val="30"/>
    <w:qFormat/>
    <w:rsid w:val="00376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952"/>
    <w:rPr>
      <w:i/>
      <w:iCs/>
      <w:color w:val="0F4761" w:themeColor="accent1" w:themeShade="BF"/>
    </w:rPr>
  </w:style>
  <w:style w:type="character" w:styleId="IntenseReference">
    <w:name w:val="Intense Reference"/>
    <w:basedOn w:val="DefaultParagraphFont"/>
    <w:uiPriority w:val="32"/>
    <w:qFormat/>
    <w:rsid w:val="00376952"/>
    <w:rPr>
      <w:b/>
      <w:bCs/>
      <w:smallCaps/>
      <w:color w:val="0F4761" w:themeColor="accent1" w:themeShade="BF"/>
      <w:spacing w:val="5"/>
    </w:rPr>
  </w:style>
  <w:style w:type="paragraph" w:styleId="Header">
    <w:name w:val="header"/>
    <w:basedOn w:val="Normal"/>
    <w:link w:val="HeaderChar"/>
    <w:uiPriority w:val="99"/>
    <w:unhideWhenUsed/>
    <w:rsid w:val="00376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952"/>
  </w:style>
  <w:style w:type="paragraph" w:styleId="Footer">
    <w:name w:val="footer"/>
    <w:basedOn w:val="Normal"/>
    <w:link w:val="FooterChar"/>
    <w:uiPriority w:val="99"/>
    <w:unhideWhenUsed/>
    <w:rsid w:val="00376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2314</Words>
  <Characters>13195</Characters>
  <Application>Microsoft Office Word</Application>
  <DocSecurity>0</DocSecurity>
  <Lines>109</Lines>
  <Paragraphs>30</Paragraphs>
  <ScaleCrop>false</ScaleCrop>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2025-09-20T07:01:00Z</dcterms:created>
  <dcterms:modified xsi:type="dcterms:W3CDTF">2025-09-20T07:01:00Z</dcterms:modified>
</cp:coreProperties>
</file>