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2CD4D" w14:textId="76CAC2F5" w:rsidR="00560502" w:rsidRDefault="00560502" w:rsidP="00560502">
      <w:pPr>
        <w:spacing w:after="120" w:line="240" w:lineRule="auto"/>
        <w:rPr>
          <w:rFonts w:asciiTheme="majorHAnsi" w:eastAsiaTheme="majorEastAsia" w:hAnsiTheme="majorHAnsi" w:cstheme="majorBidi"/>
          <w:b/>
          <w:color w:val="1A1A1A"/>
          <w:spacing w:val="-10"/>
          <w:kern w:val="28"/>
          <w:sz w:val="32"/>
          <w:szCs w:val="56"/>
        </w:rPr>
      </w:pPr>
      <w:r w:rsidRPr="00560502">
        <w:rPr>
          <w:rFonts w:asciiTheme="majorHAnsi" w:eastAsiaTheme="majorEastAsia" w:hAnsiTheme="majorHAnsi" w:cstheme="majorBidi"/>
          <w:b/>
          <w:color w:val="1A1A1A"/>
          <w:spacing w:val="-10"/>
          <w:kern w:val="28"/>
          <w:sz w:val="32"/>
          <w:szCs w:val="56"/>
        </w:rPr>
        <w:t>punda maavan</w:t>
      </w:r>
    </w:p>
    <w:p w14:paraId="126CC7FC" w14:textId="77777777" w:rsidR="00560502" w:rsidRDefault="00560502" w:rsidP="00560502">
      <w:pPr>
        <w:spacing w:after="120" w:line="240" w:lineRule="auto"/>
        <w:rPr>
          <w:b/>
          <w:color w:val="1A1A1A"/>
          <w:sz w:val="32"/>
        </w:rPr>
      </w:pPr>
    </w:p>
    <w:p w14:paraId="38C85A83" w14:textId="79451CCB" w:rsidR="00560502" w:rsidRDefault="00560502" w:rsidP="00560502">
      <w:pPr>
        <w:spacing w:after="120" w:line="240" w:lineRule="auto"/>
        <w:rPr>
          <w:rFonts w:asciiTheme="majorHAnsi" w:eastAsiaTheme="majorEastAsia" w:hAnsiTheme="majorHAnsi" w:cstheme="majorBidi"/>
          <w:b/>
          <w:color w:val="2D2D2D"/>
          <w:sz w:val="28"/>
          <w:szCs w:val="40"/>
        </w:rPr>
      </w:pPr>
      <w:r w:rsidRPr="00560502">
        <w:rPr>
          <w:rFonts w:asciiTheme="majorHAnsi" w:eastAsiaTheme="majorEastAsia" w:hAnsiTheme="majorHAnsi" w:cstheme="majorBidi"/>
          <w:b/>
          <w:color w:val="2D2D2D"/>
          <w:sz w:val="28"/>
          <w:szCs w:val="40"/>
        </w:rPr>
        <w:t>Executive Summary</w:t>
      </w:r>
    </w:p>
    <w:p w14:paraId="6C5DC374" w14:textId="4AD52CB0" w:rsidR="00560502" w:rsidRDefault="00560502" w:rsidP="00560502">
      <w:pPr>
        <w:spacing w:after="120" w:line="240" w:lineRule="auto"/>
        <w:rPr>
          <w:color w:val="4A4A4A"/>
          <w:sz w:val="22"/>
        </w:rPr>
      </w:pPr>
      <w:r w:rsidRPr="00560502">
        <w:rPr>
          <w:color w:val="4A4A4A"/>
          <w:sz w:val="22"/>
        </w:rPr>
        <w:t>This proposal outlines our approach to developing job standards and qualifications for Hajj and Umrah service providers, aligning with the objectives set forth by the Expenditure Efficiency &amp; Projects Authority and the Ministry of Finance. We aim to enhance the quality and efficiency of services provided to pilgrims, ensuring compliance with national development priorities and international best practices. Our methodology is built on comprehensive stakeholder engagement, rigorous analysis, and innovative solutions tailored to the unique challenges of the Hajj and Umrah sectors. Our team, equipped with deep sector expertise and a strong track record, is committed to delivering actionable insights and sustainable frameworks that will empower service providers and elevate the overall pilgrimage experience.</w:t>
      </w:r>
    </w:p>
    <w:p w14:paraId="3E444E92" w14:textId="5D870B08" w:rsidR="00560502" w:rsidRDefault="00560502" w:rsidP="00560502">
      <w:pPr>
        <w:spacing w:after="120" w:line="240" w:lineRule="auto"/>
        <w:rPr>
          <w:rFonts w:asciiTheme="majorHAnsi" w:eastAsiaTheme="majorEastAsia" w:hAnsiTheme="majorHAnsi" w:cstheme="majorBidi"/>
          <w:b/>
          <w:color w:val="2D2D2D"/>
          <w:sz w:val="28"/>
          <w:szCs w:val="40"/>
        </w:rPr>
      </w:pPr>
      <w:r w:rsidRPr="00560502">
        <w:rPr>
          <w:rFonts w:asciiTheme="majorHAnsi" w:eastAsiaTheme="majorEastAsia" w:hAnsiTheme="majorHAnsi" w:cstheme="majorBidi"/>
          <w:b/>
          <w:color w:val="2D2D2D"/>
          <w:sz w:val="28"/>
          <w:szCs w:val="40"/>
        </w:rPr>
        <w:t>Company Introduction</w:t>
      </w:r>
    </w:p>
    <w:p w14:paraId="7301FE9B" w14:textId="672535B2" w:rsidR="00560502" w:rsidRDefault="00560502" w:rsidP="00560502">
      <w:pPr>
        <w:spacing w:after="120" w:line="240" w:lineRule="auto"/>
        <w:rPr>
          <w:color w:val="4A4A4A"/>
          <w:sz w:val="22"/>
        </w:rPr>
      </w:pPr>
      <w:r w:rsidRPr="00560502">
        <w:rPr>
          <w:color w:val="4A4A4A"/>
          <w:sz w:val="22"/>
        </w:rPr>
        <w:t>Impetus Strategy, headquartered in Riyadh, Saudi Arabia, is a leading consultancy focused on public sector transformation and social development. Founded with the mission to prioritize impact beyond profitability, we envision elevating and inspiring positive change across various sectors. Our team comprises local and international experts with extensive experience in public sector consulting, social innovation, and stakeholder engagement. We have successfully executed over 120 projects across 15 sectors, including health, education, and economic development. Our commitment to excellence and our values of analytical thinking, diversity, and collaboration drive our approach to every project, ensuring that we deliver tailored solutions that resonate with the unique needs of our clients.</w:t>
      </w:r>
    </w:p>
    <w:p w14:paraId="3B65B488" w14:textId="47CB9521" w:rsidR="00560502" w:rsidRDefault="00560502" w:rsidP="00560502">
      <w:pPr>
        <w:spacing w:after="120" w:line="240" w:lineRule="auto"/>
        <w:rPr>
          <w:rFonts w:asciiTheme="majorHAnsi" w:eastAsiaTheme="majorEastAsia" w:hAnsiTheme="majorHAnsi" w:cstheme="majorBidi"/>
          <w:b/>
          <w:color w:val="2D2D2D"/>
          <w:sz w:val="28"/>
          <w:szCs w:val="40"/>
        </w:rPr>
      </w:pPr>
      <w:r w:rsidRPr="00560502">
        <w:rPr>
          <w:rFonts w:asciiTheme="majorHAnsi" w:eastAsiaTheme="majorEastAsia" w:hAnsiTheme="majorHAnsi" w:cstheme="majorBidi"/>
          <w:b/>
          <w:color w:val="2D2D2D"/>
          <w:sz w:val="28"/>
          <w:szCs w:val="40"/>
        </w:rPr>
        <w:t>Understanding of the RFP and Objectives</w:t>
      </w:r>
    </w:p>
    <w:p w14:paraId="1B321765" w14:textId="0F049B95" w:rsidR="00560502" w:rsidRDefault="00560502" w:rsidP="00560502">
      <w:pPr>
        <w:spacing w:after="120" w:line="240" w:lineRule="auto"/>
        <w:rPr>
          <w:color w:val="4A4A4A"/>
          <w:sz w:val="22"/>
        </w:rPr>
      </w:pPr>
      <w:r w:rsidRPr="00560502">
        <w:rPr>
          <w:color w:val="4A4A4A"/>
          <w:sz w:val="22"/>
        </w:rPr>
        <w:t>We recognize that the primary objective of this RFP is to establish comprehensive job standards and qualifications for service providers in the Hajj and Umrah sectors. This initiative is crucial for enhancing the quality of services delivered to millions of pilgrims annually, ensuring that service providers meet both local and international standards. Our understanding extends to the importance of aligning these standards with the broader goals of the Kingdom's Vision 2030, which emphasizes sustainable development and the enhancement of the pilgrimage experience. We aim to facilitate a collaborative approach that engages all stakeholders, including government entities, service providers, and the community, to ensure the standards developed are practical, effective, and widely accepted.</w:t>
      </w:r>
    </w:p>
    <w:p w14:paraId="5577E5D8" w14:textId="73B97A63" w:rsidR="00560502" w:rsidRDefault="00560502" w:rsidP="00560502">
      <w:pPr>
        <w:spacing w:after="120" w:line="240" w:lineRule="auto"/>
        <w:rPr>
          <w:rFonts w:asciiTheme="majorHAnsi" w:eastAsiaTheme="majorEastAsia" w:hAnsiTheme="majorHAnsi" w:cstheme="majorBidi"/>
          <w:b/>
          <w:color w:val="2D2D2D"/>
          <w:sz w:val="28"/>
          <w:szCs w:val="40"/>
        </w:rPr>
      </w:pPr>
      <w:r w:rsidRPr="00560502">
        <w:rPr>
          <w:rFonts w:asciiTheme="majorHAnsi" w:eastAsiaTheme="majorEastAsia" w:hAnsiTheme="majorHAnsi" w:cstheme="majorBidi"/>
          <w:b/>
          <w:color w:val="2D2D2D"/>
          <w:sz w:val="28"/>
          <w:szCs w:val="40"/>
        </w:rPr>
        <w:t>Technical Approach and Methodology</w:t>
      </w:r>
    </w:p>
    <w:p w14:paraId="313EB51C" w14:textId="7CDDD178" w:rsidR="00560502" w:rsidRDefault="00560502" w:rsidP="00560502">
      <w:pPr>
        <w:spacing w:after="120" w:line="240" w:lineRule="auto"/>
        <w:rPr>
          <w:color w:val="4A4A4A"/>
          <w:sz w:val="22"/>
        </w:rPr>
      </w:pPr>
      <w:r w:rsidRPr="00560502">
        <w:rPr>
          <w:color w:val="4A4A4A"/>
          <w:sz w:val="22"/>
        </w:rPr>
        <w:t>Our technical approach to developing job standards for Hajj and Umrah service providers is structured around a comprehensive methodology that encompasses several key components. We will employ a phased methodology that allows for iterative development and stakeholder feedback at each stage. The methodological pillars will include stakeholder engagement, data analysis, and benchmarking against international best practices. This approach ensures that the standards are not only relevant but also achievable and sustainable. We will begin with a thorough analysis of current service delivery practices, followed by workshops and consultations with key stakeholders to gather insights and expectations. The final phase will involve drafting the standards, reviewing them with stakeholders, and finalizing them for implementation.</w:t>
      </w:r>
    </w:p>
    <w:p w14:paraId="0756CEC8" w14:textId="284772A0" w:rsidR="00560502" w:rsidRDefault="00560502" w:rsidP="00560502">
      <w:pPr>
        <w:spacing w:after="120" w:line="240" w:lineRule="auto"/>
        <w:rPr>
          <w:rFonts w:asciiTheme="majorHAnsi" w:eastAsiaTheme="majorEastAsia" w:hAnsiTheme="majorHAnsi" w:cstheme="majorBidi"/>
          <w:b/>
          <w:color w:val="2D2D2D"/>
          <w:sz w:val="28"/>
          <w:szCs w:val="40"/>
        </w:rPr>
      </w:pPr>
      <w:r w:rsidRPr="00560502">
        <w:rPr>
          <w:rFonts w:asciiTheme="majorHAnsi" w:eastAsiaTheme="majorEastAsia" w:hAnsiTheme="majorHAnsi" w:cstheme="majorBidi"/>
          <w:b/>
          <w:color w:val="2D2D2D"/>
          <w:sz w:val="28"/>
          <w:szCs w:val="40"/>
        </w:rPr>
        <w:t>Project Architecture</w:t>
      </w:r>
    </w:p>
    <w:p w14:paraId="71431512" w14:textId="2FCAE58C" w:rsidR="00560502" w:rsidRDefault="00560502" w:rsidP="00560502">
      <w:pPr>
        <w:spacing w:after="120" w:line="240" w:lineRule="auto"/>
        <w:rPr>
          <w:color w:val="4A4A4A"/>
          <w:sz w:val="22"/>
        </w:rPr>
      </w:pPr>
      <w:r w:rsidRPr="00560502">
        <w:rPr>
          <w:color w:val="4A4A4A"/>
          <w:sz w:val="22"/>
        </w:rPr>
        <w:t>The project architecture will be designed to facilitate effective communication and data flow among all stakeholders involved in the development of job standards. This architecture will include several key components: a stakeholder management system to track engagement, a data repository for all collected information, and a communication platform to ensure timely updates and feedback loops. The data flow will integrate inputs from various sources, including field surveys, stakeholder interviews, and benchmarking studies. This integration will allow for a holistic view of the current landscape and the gaps that need to be addressed. Our technology stack will include advanced data analysis tools and GIS systems to visualize data and inform decision-making processes.</w:t>
      </w:r>
    </w:p>
    <w:p w14:paraId="5ABD4938" w14:textId="2AAED671" w:rsidR="00560502" w:rsidRDefault="00560502" w:rsidP="00560502">
      <w:pPr>
        <w:spacing w:after="120" w:line="240" w:lineRule="auto"/>
        <w:rPr>
          <w:rFonts w:asciiTheme="majorHAnsi" w:eastAsiaTheme="majorEastAsia" w:hAnsiTheme="majorHAnsi" w:cstheme="majorBidi"/>
          <w:b/>
          <w:color w:val="2D2D2D"/>
          <w:sz w:val="28"/>
          <w:szCs w:val="40"/>
        </w:rPr>
      </w:pPr>
      <w:r w:rsidRPr="00560502">
        <w:rPr>
          <w:rFonts w:asciiTheme="majorHAnsi" w:eastAsiaTheme="majorEastAsia" w:hAnsiTheme="majorHAnsi" w:cstheme="majorBidi"/>
          <w:b/>
          <w:color w:val="2D2D2D"/>
          <w:sz w:val="28"/>
          <w:szCs w:val="40"/>
        </w:rPr>
        <w:t>Relevant Experience and Case Evidence</w:t>
      </w:r>
    </w:p>
    <w:p w14:paraId="5661C6E6" w14:textId="3C3CECAA" w:rsidR="00560502" w:rsidRDefault="00560502" w:rsidP="00560502">
      <w:pPr>
        <w:spacing w:after="120" w:line="240" w:lineRule="auto"/>
        <w:rPr>
          <w:color w:val="4A4A4A"/>
          <w:sz w:val="22"/>
        </w:rPr>
      </w:pPr>
      <w:r w:rsidRPr="00560502">
        <w:rPr>
          <w:color w:val="4A4A4A"/>
          <w:sz w:val="22"/>
        </w:rPr>
        <w:t>Impetus Strategy has a proven track record of delivering impactful projects in the social and economic development sectors. Our recent project, 'Community Needs Assessment for Rural Villages,' involved comprehensive analysis and stakeholder engagement to identify development needs in targeted areas, resulting in actionable insights for local governance. Additionally, our collaboration with the Royal Commission for Makkah City and Holy Sites on 'Social and Economic Surveys for Priority Areas' provided us with valuable experience in understanding the socio-economic dynamics of informal settlements, which is relevant to the Hajj and Umrah context. These projects exemplify our capability to deliver high-quality, evidence-based recommendations that align with the objectives of this RFP.</w:t>
      </w:r>
    </w:p>
    <w:p w14:paraId="3C32B53D" w14:textId="005FC586" w:rsidR="00560502" w:rsidRDefault="00560502" w:rsidP="00560502">
      <w:pPr>
        <w:spacing w:after="120" w:line="240" w:lineRule="auto"/>
        <w:rPr>
          <w:rFonts w:asciiTheme="majorHAnsi" w:eastAsiaTheme="majorEastAsia" w:hAnsiTheme="majorHAnsi" w:cstheme="majorBidi"/>
          <w:b/>
          <w:color w:val="2D2D2D"/>
          <w:sz w:val="28"/>
          <w:szCs w:val="40"/>
        </w:rPr>
      </w:pPr>
      <w:r w:rsidRPr="00560502">
        <w:rPr>
          <w:rFonts w:asciiTheme="majorHAnsi" w:eastAsiaTheme="majorEastAsia" w:hAnsiTheme="majorHAnsi" w:cstheme="majorBidi"/>
          <w:b/>
          <w:color w:val="2D2D2D"/>
          <w:sz w:val="28"/>
          <w:szCs w:val="40"/>
        </w:rPr>
        <w:t>Project Team and Roles</w:t>
      </w:r>
    </w:p>
    <w:p w14:paraId="172955F9" w14:textId="68B12390" w:rsidR="00560502" w:rsidRDefault="00560502" w:rsidP="00560502">
      <w:pPr>
        <w:spacing w:after="120" w:line="240" w:lineRule="auto"/>
        <w:rPr>
          <w:color w:val="4A4A4A"/>
          <w:sz w:val="22"/>
        </w:rPr>
      </w:pPr>
      <w:r w:rsidRPr="00560502">
        <w:rPr>
          <w:color w:val="4A4A4A"/>
          <w:sz w:val="22"/>
        </w:rPr>
        <w:t>Our project team comprises a diverse group of professionals with extensive experience in consultancy, project management, and stakeholder engagement. The team will be led by a Project Manager with over ten years of experience in public sector transformation. Supporting the Project Manager will be specialists in social development, data analysis, and quality assurance. Each team member will have clearly defined roles and responsibilities, ensuring accountability and effective collaboration. We will also engage local experts to provide insights into the cultural and operational nuances of the Hajj and Umrah sectors, ensuring that our recommendations are contextually relevant and practical.</w:t>
      </w:r>
    </w:p>
    <w:p w14:paraId="4F8A0A02" w14:textId="7DAEBEAC" w:rsidR="00560502" w:rsidRDefault="00560502" w:rsidP="00560502">
      <w:pPr>
        <w:spacing w:after="120" w:line="240" w:lineRule="auto"/>
        <w:rPr>
          <w:rFonts w:asciiTheme="majorHAnsi" w:eastAsiaTheme="majorEastAsia" w:hAnsiTheme="majorHAnsi" w:cstheme="majorBidi"/>
          <w:b/>
          <w:color w:val="2D2D2D"/>
          <w:sz w:val="28"/>
          <w:szCs w:val="40"/>
        </w:rPr>
      </w:pPr>
      <w:r w:rsidRPr="00560502">
        <w:rPr>
          <w:rFonts w:asciiTheme="majorHAnsi" w:eastAsiaTheme="majorEastAsia" w:hAnsiTheme="majorHAnsi" w:cstheme="majorBidi"/>
          <w:b/>
          <w:color w:val="2D2D2D"/>
          <w:sz w:val="28"/>
          <w:szCs w:val="40"/>
        </w:rPr>
        <w:t>Work Plan, Timeline, and Milestones</w:t>
      </w:r>
    </w:p>
    <w:p w14:paraId="72F62B26" w14:textId="7762BC43" w:rsidR="00560502" w:rsidRDefault="00560502" w:rsidP="00560502">
      <w:pPr>
        <w:spacing w:after="120" w:line="240" w:lineRule="auto"/>
        <w:rPr>
          <w:color w:val="4A4A4A"/>
          <w:sz w:val="22"/>
        </w:rPr>
      </w:pPr>
      <w:r w:rsidRPr="00560502">
        <w:rPr>
          <w:color w:val="4A4A4A"/>
          <w:sz w:val="22"/>
        </w:rPr>
        <w:t>Our work plan is structured to ensure timely delivery of project milestones while allowing for flexibility to adapt to stakeholder feedback. The project will be divided into three main phases: the initial assessment phase, the development phase, and the final review and implementation phase. Each phase will have specific milestones, including stakeholder consultations, draft standard submissions, and final approval meetings. We anticipate that the entire project will take approximately 12 months, with key milestones occurring at the end of each quarter. This timeline will be closely monitored, and regular updates will be provided to stakeholders to ensure alignment and transparency throughout the project lifecycle.</w:t>
      </w:r>
    </w:p>
    <w:p w14:paraId="44A89845" w14:textId="12E66B3B" w:rsidR="00560502" w:rsidRDefault="00560502" w:rsidP="00560502">
      <w:pPr>
        <w:spacing w:after="120" w:line="240" w:lineRule="auto"/>
        <w:rPr>
          <w:rFonts w:asciiTheme="majorHAnsi" w:eastAsiaTheme="majorEastAsia" w:hAnsiTheme="majorHAnsi" w:cstheme="majorBidi"/>
          <w:b/>
          <w:color w:val="2D2D2D"/>
          <w:sz w:val="28"/>
          <w:szCs w:val="40"/>
        </w:rPr>
      </w:pPr>
      <w:r w:rsidRPr="00560502">
        <w:rPr>
          <w:rFonts w:asciiTheme="majorHAnsi" w:eastAsiaTheme="majorEastAsia" w:hAnsiTheme="majorHAnsi" w:cstheme="majorBidi"/>
          <w:b/>
          <w:color w:val="2D2D2D"/>
          <w:sz w:val="28"/>
          <w:szCs w:val="40"/>
        </w:rPr>
        <w:t>Quality Assurance and Risk Management</w:t>
      </w:r>
    </w:p>
    <w:p w14:paraId="611F609E" w14:textId="25AF0B26" w:rsidR="00560502" w:rsidRDefault="00560502" w:rsidP="00560502">
      <w:pPr>
        <w:spacing w:after="120" w:line="240" w:lineRule="auto"/>
        <w:rPr>
          <w:color w:val="4A4A4A"/>
          <w:sz w:val="22"/>
        </w:rPr>
      </w:pPr>
      <w:r w:rsidRPr="00560502">
        <w:rPr>
          <w:color w:val="4A4A4A"/>
          <w:sz w:val="22"/>
        </w:rPr>
        <w:t>Quality assurance will be integral to our project delivery, with a focus on evidence-based decision-making and continuous improvement. We will implement a robust QA framework that includes regular reviews of project outputs against established standards and benchmarks. Our risk management strategy will identify potential risks early in the project lifecycle, allowing us to develop mitigation plans proactively. This will involve regular risk assessments and stakeholder feedback sessions to ensure that we are addressing any emerging challenges effectively. Our commitment to quality and risk management will ensure that the final standards developed are not only effective but also sustainable.</w:t>
      </w:r>
    </w:p>
    <w:p w14:paraId="57980AFF" w14:textId="7EEAC102" w:rsidR="00560502" w:rsidRDefault="00560502" w:rsidP="00560502">
      <w:pPr>
        <w:spacing w:after="120" w:line="240" w:lineRule="auto"/>
        <w:rPr>
          <w:rFonts w:asciiTheme="majorHAnsi" w:eastAsiaTheme="majorEastAsia" w:hAnsiTheme="majorHAnsi" w:cstheme="majorBidi"/>
          <w:b/>
          <w:color w:val="2D2D2D"/>
          <w:sz w:val="28"/>
          <w:szCs w:val="40"/>
        </w:rPr>
      </w:pPr>
      <w:r w:rsidRPr="00560502">
        <w:rPr>
          <w:rFonts w:asciiTheme="majorHAnsi" w:eastAsiaTheme="majorEastAsia" w:hAnsiTheme="majorHAnsi" w:cstheme="majorBidi"/>
          <w:b/>
          <w:color w:val="2D2D2D"/>
          <w:sz w:val="28"/>
          <w:szCs w:val="40"/>
        </w:rPr>
        <w:t>KPIs and Service Levels</w:t>
      </w:r>
    </w:p>
    <w:p w14:paraId="2DE24FE3" w14:textId="476BEC63" w:rsidR="00560502" w:rsidRDefault="00560502" w:rsidP="00560502">
      <w:pPr>
        <w:spacing w:after="120" w:line="240" w:lineRule="auto"/>
        <w:rPr>
          <w:color w:val="4A4A4A"/>
          <w:sz w:val="22"/>
        </w:rPr>
      </w:pPr>
      <w:r w:rsidRPr="00560502">
        <w:rPr>
          <w:color w:val="4A4A4A"/>
          <w:sz w:val="22"/>
        </w:rPr>
        <w:t>To measure the success of our project, we will establish key performance indicators (KPIs) that align with the objectives of the RFP. These KPIs will include metrics related to stakeholder engagement, the quality of the developed standards, and the timeliness of project deliverables. For example, we will track the percentage of stakeholders engaged during consultations, the number of revisions made to draft standards based on feedback, and adherence to the project timeline. Additionally, we will implement a feedback mechanism to assess the satisfaction of stakeholders with the final standards, ensuring that they meet the needs of service providers and enhance the pilgrimage experience.</w:t>
      </w:r>
    </w:p>
    <w:p w14:paraId="2A9B3CE4" w14:textId="207BD22B" w:rsidR="00560502" w:rsidRDefault="00560502" w:rsidP="00560502">
      <w:pPr>
        <w:spacing w:after="120" w:line="240" w:lineRule="auto"/>
        <w:rPr>
          <w:rFonts w:asciiTheme="majorHAnsi" w:eastAsiaTheme="majorEastAsia" w:hAnsiTheme="majorHAnsi" w:cstheme="majorBidi"/>
          <w:b/>
          <w:color w:val="2D2D2D"/>
          <w:sz w:val="28"/>
          <w:szCs w:val="40"/>
        </w:rPr>
      </w:pPr>
      <w:r w:rsidRPr="00560502">
        <w:rPr>
          <w:rFonts w:asciiTheme="majorHAnsi" w:eastAsiaTheme="majorEastAsia" w:hAnsiTheme="majorHAnsi" w:cstheme="majorBidi"/>
          <w:b/>
          <w:color w:val="2D2D2D"/>
          <w:sz w:val="28"/>
          <w:szCs w:val="40"/>
        </w:rPr>
        <w:t>Data Privacy, Security, and IP</w:t>
      </w:r>
    </w:p>
    <w:p w14:paraId="6DCF4AAE" w14:textId="3D7FDCA8" w:rsidR="00560502" w:rsidRDefault="00560502" w:rsidP="00560502">
      <w:pPr>
        <w:spacing w:after="120" w:line="240" w:lineRule="auto"/>
        <w:rPr>
          <w:color w:val="4A4A4A"/>
          <w:sz w:val="22"/>
        </w:rPr>
      </w:pPr>
      <w:r w:rsidRPr="00560502">
        <w:rPr>
          <w:color w:val="4A4A4A"/>
          <w:sz w:val="22"/>
        </w:rPr>
        <w:t>Data privacy and security will be paramount throughout the project, with strict adherence to local regulations and best practices. We will implement measures to protect sensitive information collected during stakeholder consultations and data analyses. Our approach will include secure data storage solutions, access controls, and regular audits to ensure compliance with data protection standards. Intellectual property rights related to the developed standards will be clearly defined, ensuring that the ownership and usage rights are established in accordance with the agreements made with stakeholders. This commitment to data privacy and IP will safeguard the integrity of the project and the interests of all parties involved.</w:t>
      </w:r>
    </w:p>
    <w:p w14:paraId="62825A8C" w14:textId="3DD88520" w:rsidR="00560502" w:rsidRDefault="00560502" w:rsidP="00560502">
      <w:pPr>
        <w:spacing w:after="120" w:line="240" w:lineRule="auto"/>
        <w:rPr>
          <w:rFonts w:asciiTheme="majorHAnsi" w:eastAsiaTheme="majorEastAsia" w:hAnsiTheme="majorHAnsi" w:cstheme="majorBidi"/>
          <w:b/>
          <w:color w:val="2D2D2D"/>
          <w:sz w:val="28"/>
          <w:szCs w:val="40"/>
        </w:rPr>
      </w:pPr>
      <w:r w:rsidRPr="00560502">
        <w:rPr>
          <w:rFonts w:asciiTheme="majorHAnsi" w:eastAsiaTheme="majorEastAsia" w:hAnsiTheme="majorHAnsi" w:cstheme="majorBidi"/>
          <w:b/>
          <w:color w:val="2D2D2D"/>
          <w:sz w:val="28"/>
          <w:szCs w:val="40"/>
        </w:rPr>
        <w:t>Compliance with RFP Requirements</w:t>
      </w:r>
    </w:p>
    <w:p w14:paraId="28FAA116" w14:textId="1A7B47B5" w:rsidR="00560502" w:rsidRDefault="00560502" w:rsidP="00560502">
      <w:pPr>
        <w:spacing w:after="120" w:line="240" w:lineRule="auto"/>
        <w:rPr>
          <w:color w:val="4A4A4A"/>
          <w:sz w:val="22"/>
        </w:rPr>
      </w:pPr>
      <w:r w:rsidRPr="00560502">
        <w:rPr>
          <w:color w:val="4A4A4A"/>
          <w:sz w:val="22"/>
        </w:rPr>
        <w:t>We are committed to complying with all requirements outlined in the RFP. This includes adhering to the specified timelines, methodologies, and deliverables as detailed in the proposal. We will ensure that our team is fully equipped to meet the expectations set forth by the Expenditure Efficiency &amp; Projects Authority and the Ministry of Finance. Our approach will involve regular communication with the relevant authorities to provide updates on progress and to address any questions or concerns that may arise during the project. This proactive engagement will help us to remain aligned with the RFP requirements and to deliver a successful outcome.</w:t>
      </w:r>
    </w:p>
    <w:p w14:paraId="55A3788F" w14:textId="7B54E52E" w:rsidR="00560502" w:rsidRDefault="00560502" w:rsidP="00560502">
      <w:pPr>
        <w:spacing w:after="120" w:line="240" w:lineRule="auto"/>
        <w:rPr>
          <w:rFonts w:asciiTheme="majorHAnsi" w:eastAsiaTheme="majorEastAsia" w:hAnsiTheme="majorHAnsi" w:cstheme="majorBidi"/>
          <w:b/>
          <w:color w:val="2D2D2D"/>
          <w:sz w:val="28"/>
          <w:szCs w:val="40"/>
        </w:rPr>
      </w:pPr>
      <w:r w:rsidRPr="00560502">
        <w:rPr>
          <w:rFonts w:asciiTheme="majorHAnsi" w:eastAsiaTheme="majorEastAsia" w:hAnsiTheme="majorHAnsi" w:cstheme="majorBidi"/>
          <w:b/>
          <w:color w:val="2D2D2D"/>
          <w:sz w:val="28"/>
          <w:szCs w:val="40"/>
        </w:rPr>
        <w:t>Deliverables Summary</w:t>
      </w:r>
    </w:p>
    <w:p w14:paraId="7EB2C5F6" w14:textId="09B21560" w:rsidR="00560502" w:rsidRDefault="00560502" w:rsidP="00560502">
      <w:pPr>
        <w:spacing w:after="120" w:line="240" w:lineRule="auto"/>
        <w:rPr>
          <w:color w:val="4A4A4A"/>
          <w:sz w:val="22"/>
        </w:rPr>
      </w:pPr>
      <w:r w:rsidRPr="00560502">
        <w:rPr>
          <w:color w:val="4A4A4A"/>
          <w:sz w:val="22"/>
        </w:rPr>
        <w:t>The deliverables for this project will include a comprehensive set of job standards and qualifications for Hajj and Umrah service providers, along with supporting documentation that outlines the methodologies used in their development. Key deliverables will consist of stakeholder engagement reports, draft and final versions of the standards, and implementation guidelines. Additionally, we will provide a summary report detailing the project process, challenges encountered, and lessons learned. This documentation will serve as a valuable resource for ongoing improvements in service delivery within the Hajj and Umrah sectors.</w:t>
      </w:r>
    </w:p>
    <w:p w14:paraId="1A0DA3A4" w14:textId="184B9762" w:rsidR="00560502" w:rsidRDefault="00560502" w:rsidP="00560502">
      <w:pPr>
        <w:spacing w:after="120" w:line="240" w:lineRule="auto"/>
        <w:rPr>
          <w:rFonts w:asciiTheme="majorHAnsi" w:eastAsiaTheme="majorEastAsia" w:hAnsiTheme="majorHAnsi" w:cstheme="majorBidi"/>
          <w:b/>
          <w:color w:val="2D2D2D"/>
          <w:sz w:val="28"/>
          <w:szCs w:val="40"/>
        </w:rPr>
      </w:pPr>
      <w:r w:rsidRPr="00560502">
        <w:rPr>
          <w:rFonts w:asciiTheme="majorHAnsi" w:eastAsiaTheme="majorEastAsia" w:hAnsiTheme="majorHAnsi" w:cstheme="majorBidi"/>
          <w:b/>
          <w:color w:val="2D2D2D"/>
          <w:sz w:val="28"/>
          <w:szCs w:val="40"/>
        </w:rPr>
        <w:t>Assumptions</w:t>
      </w:r>
    </w:p>
    <w:p w14:paraId="2ECA34D9" w14:textId="03BA2691" w:rsidR="00560502" w:rsidRDefault="00560502" w:rsidP="00560502">
      <w:pPr>
        <w:spacing w:after="120" w:line="240" w:lineRule="auto"/>
        <w:rPr>
          <w:color w:val="4A4A4A"/>
          <w:sz w:val="22"/>
        </w:rPr>
      </w:pPr>
      <w:r w:rsidRPr="00560502">
        <w:rPr>
          <w:color w:val="4A4A4A"/>
          <w:sz w:val="22"/>
        </w:rPr>
        <w:t>Our proposal is based on several key assumptions that will guide the project's execution. We assume that all stakeholders will be available and willing to participate in consultations and feedback sessions throughout the project. Additionally, we assume that the necessary data and resources will be accessible to facilitate our analysis and the development of the standards. We also assume that the timeline outlined in the proposal will be adhered to, allowing for timely completion of each project phase. Finally, we assume that there will be a collaborative spirit among all parties involved, fostering an environment conducive to achieving the project objectives.</w:t>
      </w:r>
    </w:p>
    <w:p w14:paraId="3B24129D" w14:textId="71EAD2BF" w:rsidR="00560502" w:rsidRDefault="00560502" w:rsidP="00560502">
      <w:pPr>
        <w:spacing w:after="120" w:line="240" w:lineRule="auto"/>
        <w:rPr>
          <w:rFonts w:asciiTheme="majorHAnsi" w:eastAsiaTheme="majorEastAsia" w:hAnsiTheme="majorHAnsi" w:cstheme="majorBidi"/>
          <w:b/>
          <w:color w:val="2D2D2D"/>
          <w:sz w:val="28"/>
          <w:szCs w:val="40"/>
        </w:rPr>
      </w:pPr>
      <w:r w:rsidRPr="00560502">
        <w:rPr>
          <w:rFonts w:asciiTheme="majorHAnsi" w:eastAsiaTheme="majorEastAsia" w:hAnsiTheme="majorHAnsi" w:cstheme="majorBidi"/>
          <w:b/>
          <w:color w:val="2D2D2D"/>
          <w:sz w:val="28"/>
          <w:szCs w:val="40"/>
        </w:rPr>
        <w:t>Pricing Approach (Summary)</w:t>
      </w:r>
    </w:p>
    <w:p w14:paraId="1B4F4AC2" w14:textId="16F9108B" w:rsidR="00560502" w:rsidRDefault="00560502" w:rsidP="00560502">
      <w:pPr>
        <w:spacing w:after="120" w:line="240" w:lineRule="auto"/>
        <w:rPr>
          <w:color w:val="4A4A4A"/>
          <w:sz w:val="22"/>
        </w:rPr>
      </w:pPr>
      <w:r w:rsidRPr="00560502">
        <w:rPr>
          <w:color w:val="4A4A4A"/>
          <w:sz w:val="22"/>
        </w:rPr>
        <w:t>Our pricing approach is designed to provide a transparent and competitive framework for the services rendered in this project. We will offer a fixed fee structure based on the scope of work outlined in the proposal, ensuring that all costs are clearly defined and agreed upon before project initiation. This structure will cover all phases of the project, including stakeholder engagement, analysis, development of standards, and final reporting. We are committed to delivering value for money while maintaining the highest quality of service. Payment terms will be structured around project milestones, with payments made upon the successful completion of each phase.</w:t>
      </w:r>
    </w:p>
    <w:p w14:paraId="783E9D90" w14:textId="152F9247" w:rsidR="00560502" w:rsidRDefault="00560502" w:rsidP="00560502">
      <w:pPr>
        <w:spacing w:after="120" w:line="240" w:lineRule="auto"/>
        <w:rPr>
          <w:rFonts w:asciiTheme="majorHAnsi" w:eastAsiaTheme="majorEastAsia" w:hAnsiTheme="majorHAnsi" w:cstheme="majorBidi"/>
          <w:b/>
          <w:color w:val="2D2D2D"/>
          <w:sz w:val="28"/>
          <w:szCs w:val="40"/>
        </w:rPr>
      </w:pPr>
      <w:r w:rsidRPr="00560502">
        <w:rPr>
          <w:rFonts w:asciiTheme="majorHAnsi" w:eastAsiaTheme="majorEastAsia" w:hAnsiTheme="majorHAnsi" w:cstheme="majorBidi"/>
          <w:b/>
          <w:color w:val="2D2D2D"/>
          <w:sz w:val="28"/>
          <w:szCs w:val="40"/>
        </w:rPr>
        <w:t>Why Impetus</w:t>
      </w:r>
    </w:p>
    <w:p w14:paraId="08222252" w14:textId="0AE616B5" w:rsidR="00560502" w:rsidRDefault="00560502" w:rsidP="00560502">
      <w:pPr>
        <w:spacing w:after="120" w:line="240" w:lineRule="auto"/>
        <w:rPr>
          <w:color w:val="4A4A4A"/>
          <w:sz w:val="22"/>
        </w:rPr>
      </w:pPr>
      <w:r w:rsidRPr="00560502">
        <w:rPr>
          <w:color w:val="4A4A4A"/>
          <w:sz w:val="22"/>
        </w:rPr>
        <w:t>Impetus Strategy stands out as the ideal partner for this project due to our deep sector expertise, proven methodologies, and commitment to delivering impactful results. Our extensive experience in public sector consulting, combined with our strong local and international partnerships, positions us uniquely to address the challenges faced by Hajj and Umrah service providers. We understand the intricacies of the sector and are equipped with the tools and insights necessary to develop effective job standards that will enhance service delivery. Our multi-disciplinary team is dedicated to ensuring that the project not only meets but exceeds the expectations of all stakeholders involved.</w:t>
      </w:r>
    </w:p>
    <w:p w14:paraId="3A65635B" w14:textId="77777777" w:rsidR="00560502" w:rsidRPr="00560502" w:rsidRDefault="00560502" w:rsidP="00560502">
      <w:pPr>
        <w:spacing w:after="120" w:line="240" w:lineRule="auto"/>
        <w:rPr>
          <w:color w:val="4A4A4A"/>
          <w:sz w:val="22"/>
        </w:rPr>
      </w:pPr>
    </w:p>
    <w:sectPr w:rsidR="00560502" w:rsidRPr="00560502" w:rsidSect="00560502">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25F0C9" w14:textId="77777777" w:rsidR="00560502" w:rsidRDefault="00560502" w:rsidP="00560502">
      <w:pPr>
        <w:spacing w:after="0" w:line="240" w:lineRule="auto"/>
      </w:pPr>
      <w:r>
        <w:separator/>
      </w:r>
    </w:p>
  </w:endnote>
  <w:endnote w:type="continuationSeparator" w:id="0">
    <w:p w14:paraId="0F653DC3" w14:textId="77777777" w:rsidR="00560502" w:rsidRDefault="00560502" w:rsidP="00560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1F854" w14:textId="77777777" w:rsidR="00560502" w:rsidRDefault="005605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008"/>
      <w:gridCol w:w="3009"/>
      <w:gridCol w:w="3009"/>
    </w:tblGrid>
    <w:tr w:rsidR="00560502" w14:paraId="7F8600D4" w14:textId="77777777" w:rsidTr="00560502">
      <w:tblPrEx>
        <w:tblCellMar>
          <w:top w:w="0" w:type="dxa"/>
          <w:bottom w:w="0" w:type="dxa"/>
        </w:tblCellMar>
      </w:tblPrEx>
      <w:tc>
        <w:tcPr>
          <w:tcW w:w="3008" w:type="dxa"/>
        </w:tcPr>
        <w:p w14:paraId="771BF46B" w14:textId="77777777" w:rsidR="00560502" w:rsidRDefault="00560502" w:rsidP="00560502">
          <w:pPr>
            <w:pStyle w:val="Footer"/>
          </w:pPr>
        </w:p>
      </w:tc>
      <w:tc>
        <w:tcPr>
          <w:tcW w:w="3009" w:type="dxa"/>
        </w:tcPr>
        <w:p w14:paraId="067CB04D" w14:textId="77777777" w:rsidR="00560502" w:rsidRDefault="00560502" w:rsidP="00560502">
          <w:pPr>
            <w:pStyle w:val="Footer"/>
            <w:jc w:val="center"/>
          </w:pPr>
        </w:p>
      </w:tc>
      <w:tc>
        <w:tcPr>
          <w:tcW w:w="3009" w:type="dxa"/>
        </w:tcPr>
        <w:p w14:paraId="78841E29" w14:textId="77777777" w:rsidR="00560502" w:rsidRDefault="00560502" w:rsidP="00560502">
          <w:pPr>
            <w:pStyle w:val="Footer"/>
            <w:jc w:val="right"/>
          </w:pPr>
        </w:p>
      </w:tc>
    </w:tr>
  </w:tbl>
  <w:p w14:paraId="61EBED48" w14:textId="77777777" w:rsidR="00560502" w:rsidRDefault="00560502" w:rsidP="00560502">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5913A" w14:textId="77777777" w:rsidR="00560502" w:rsidRDefault="005605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522C95" w14:textId="77777777" w:rsidR="00560502" w:rsidRDefault="00560502" w:rsidP="00560502">
      <w:pPr>
        <w:spacing w:after="0" w:line="240" w:lineRule="auto"/>
      </w:pPr>
      <w:r>
        <w:separator/>
      </w:r>
    </w:p>
  </w:footnote>
  <w:footnote w:type="continuationSeparator" w:id="0">
    <w:p w14:paraId="536F5C1E" w14:textId="77777777" w:rsidR="00560502" w:rsidRDefault="00560502" w:rsidP="00560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9475C" w14:textId="77777777" w:rsidR="00560502" w:rsidRDefault="005605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513"/>
      <w:gridCol w:w="4513"/>
    </w:tblGrid>
    <w:tr w:rsidR="00560502" w14:paraId="1C051861" w14:textId="77777777" w:rsidTr="00560502">
      <w:tblPrEx>
        <w:tblCellMar>
          <w:top w:w="0" w:type="dxa"/>
          <w:bottom w:w="0" w:type="dxa"/>
        </w:tblCellMar>
      </w:tblPrEx>
      <w:tc>
        <w:tcPr>
          <w:tcW w:w="4513" w:type="dxa"/>
        </w:tcPr>
        <w:p w14:paraId="00FD6789" w14:textId="77777777" w:rsidR="00560502" w:rsidRPr="00560502" w:rsidRDefault="00560502" w:rsidP="00560502">
          <w:pPr>
            <w:pStyle w:val="Header"/>
            <w:rPr>
              <w:b/>
              <w:sz w:val="28"/>
            </w:rPr>
          </w:pPr>
        </w:p>
      </w:tc>
      <w:tc>
        <w:tcPr>
          <w:tcW w:w="4513" w:type="dxa"/>
        </w:tcPr>
        <w:p w14:paraId="1479B443" w14:textId="0A84FC66" w:rsidR="00560502" w:rsidRDefault="00560502" w:rsidP="00560502">
          <w:pPr>
            <w:pStyle w:val="Header"/>
            <w:jc w:val="right"/>
          </w:pPr>
          <w:r>
            <w:t xml:space="preserve"> </w:t>
          </w:r>
        </w:p>
      </w:tc>
    </w:tr>
  </w:tbl>
  <w:p w14:paraId="168EA54D" w14:textId="77777777" w:rsidR="00560502" w:rsidRDefault="00560502" w:rsidP="00560502">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FE36C" w14:textId="77777777" w:rsidR="00560502" w:rsidRDefault="0056050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502"/>
    <w:rsid w:val="00000B26"/>
    <w:rsid w:val="00460531"/>
    <w:rsid w:val="00560502"/>
    <w:rsid w:val="00983B0F"/>
    <w:rsid w:val="00A05A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2484"/>
  <w15:chartTrackingRefBased/>
  <w15:docId w15:val="{323DB20C-4210-4B50-94D4-2B8A3DBE9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5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5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5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05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5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5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5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5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5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5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5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5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5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5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5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5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5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502"/>
    <w:rPr>
      <w:rFonts w:eastAsiaTheme="majorEastAsia" w:cstheme="majorBidi"/>
      <w:color w:val="272727" w:themeColor="text1" w:themeTint="D8"/>
    </w:rPr>
  </w:style>
  <w:style w:type="paragraph" w:styleId="Title">
    <w:name w:val="Title"/>
    <w:basedOn w:val="Normal"/>
    <w:next w:val="Normal"/>
    <w:link w:val="TitleChar"/>
    <w:uiPriority w:val="10"/>
    <w:qFormat/>
    <w:rsid w:val="005605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5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5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5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502"/>
    <w:pPr>
      <w:spacing w:before="160"/>
      <w:jc w:val="center"/>
    </w:pPr>
    <w:rPr>
      <w:i/>
      <w:iCs/>
      <w:color w:val="404040" w:themeColor="text1" w:themeTint="BF"/>
    </w:rPr>
  </w:style>
  <w:style w:type="character" w:customStyle="1" w:styleId="QuoteChar">
    <w:name w:val="Quote Char"/>
    <w:basedOn w:val="DefaultParagraphFont"/>
    <w:link w:val="Quote"/>
    <w:uiPriority w:val="29"/>
    <w:rsid w:val="00560502"/>
    <w:rPr>
      <w:i/>
      <w:iCs/>
      <w:color w:val="404040" w:themeColor="text1" w:themeTint="BF"/>
    </w:rPr>
  </w:style>
  <w:style w:type="paragraph" w:styleId="ListParagraph">
    <w:name w:val="List Paragraph"/>
    <w:basedOn w:val="Normal"/>
    <w:uiPriority w:val="34"/>
    <w:qFormat/>
    <w:rsid w:val="00560502"/>
    <w:pPr>
      <w:ind w:left="720"/>
      <w:contextualSpacing/>
    </w:pPr>
  </w:style>
  <w:style w:type="character" w:styleId="IntenseEmphasis">
    <w:name w:val="Intense Emphasis"/>
    <w:basedOn w:val="DefaultParagraphFont"/>
    <w:uiPriority w:val="21"/>
    <w:qFormat/>
    <w:rsid w:val="00560502"/>
    <w:rPr>
      <w:i/>
      <w:iCs/>
      <w:color w:val="0F4761" w:themeColor="accent1" w:themeShade="BF"/>
    </w:rPr>
  </w:style>
  <w:style w:type="paragraph" w:styleId="IntenseQuote">
    <w:name w:val="Intense Quote"/>
    <w:basedOn w:val="Normal"/>
    <w:next w:val="Normal"/>
    <w:link w:val="IntenseQuoteChar"/>
    <w:uiPriority w:val="30"/>
    <w:qFormat/>
    <w:rsid w:val="005605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502"/>
    <w:rPr>
      <w:i/>
      <w:iCs/>
      <w:color w:val="0F4761" w:themeColor="accent1" w:themeShade="BF"/>
    </w:rPr>
  </w:style>
  <w:style w:type="character" w:styleId="IntenseReference">
    <w:name w:val="Intense Reference"/>
    <w:basedOn w:val="DefaultParagraphFont"/>
    <w:uiPriority w:val="32"/>
    <w:qFormat/>
    <w:rsid w:val="00560502"/>
    <w:rPr>
      <w:b/>
      <w:bCs/>
      <w:smallCaps/>
      <w:color w:val="0F4761" w:themeColor="accent1" w:themeShade="BF"/>
      <w:spacing w:val="5"/>
    </w:rPr>
  </w:style>
  <w:style w:type="paragraph" w:styleId="Header">
    <w:name w:val="header"/>
    <w:basedOn w:val="Normal"/>
    <w:link w:val="HeaderChar"/>
    <w:uiPriority w:val="99"/>
    <w:unhideWhenUsed/>
    <w:rsid w:val="005605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0502"/>
  </w:style>
  <w:style w:type="paragraph" w:styleId="Footer">
    <w:name w:val="footer"/>
    <w:basedOn w:val="Normal"/>
    <w:link w:val="FooterChar"/>
    <w:uiPriority w:val="99"/>
    <w:unhideWhenUsed/>
    <w:rsid w:val="005605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0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1807</Words>
  <Characters>10305</Characters>
  <Application>Microsoft Office Word</Application>
  <DocSecurity>0</DocSecurity>
  <Lines>85</Lines>
  <Paragraphs>24</Paragraphs>
  <ScaleCrop>false</ScaleCrop>
  <Company/>
  <LinksUpToDate>false</LinksUpToDate>
  <CharactersWithSpaces>12088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2025-09-20T07:07:00Z</dcterms:created>
  <dcterms:modified xsi:type="dcterms:W3CDTF">2025-09-20T07:07:00Z</dcterms:modified>
</cp:coreProperties>
</file>