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362848">
      <w:pPr>
        <w:rPr>
          <w:rFonts w:hint="cs"/>
          <w:lang w:bidi="ar-SA"/>
        </w:rPr>
      </w:pPr>
      <w:bookmarkStart w:id="0" w:name="_GoBack"/>
      <w:bookmarkEnd w:id="0"/>
    </w:p>
    <w:p w14:paraId="68F07DF4">
      <w:pPr>
        <w:pStyle w:val="6"/>
        <w:bidi w:val="0"/>
        <w:spacing w:before="0" w:after="120" w:line="240" w:lineRule="auto"/>
        <w:jc w:val="right"/>
        <w:rPr>
          <w:rFonts w:hint="default"/>
          <w:b/>
          <w:color w:val="1A1A1A"/>
          <w:sz w:val="32"/>
          <w:lang w:val="en-GB" w:bidi="ar-SA"/>
        </w:rPr>
      </w:pPr>
      <w:r>
        <w:rPr>
          <w:rFonts w:hint="default"/>
          <w:b/>
          <w:color w:val="1A1A1A"/>
          <w:sz w:val="32"/>
          <w:lang w:val="en-GB" w:bidi="ar-SA"/>
        </w:rPr>
        <w:t>بناء الاستراتيجية التنموية الريفية – عرض فني وعملي أُعدّ من قبل Impetus Strategy</w:t>
      </w:r>
    </w:p>
    <w:p w14:paraId="0EFC5611">
      <w:pPr>
        <w:pStyle w:val="6"/>
        <w:bidi w:val="0"/>
        <w:spacing w:before="0" w:after="120" w:line="240" w:lineRule="auto"/>
        <w:jc w:val="right"/>
        <w:rPr>
          <w:rFonts w:hint="default"/>
          <w:b/>
          <w:color w:val="1A1A1A"/>
          <w:sz w:val="32"/>
          <w:lang w:val="en-GB" w:bidi="ar-SA"/>
        </w:rPr>
      </w:pPr>
    </w:p>
    <w:p w14:paraId="1769A0AC">
      <w:pPr>
        <w:pStyle w:val="2"/>
        <w:bidi w:val="0"/>
        <w:spacing w:before="0" w:after="120" w:line="240" w:lineRule="auto"/>
        <w:jc w:val="right"/>
        <w:rPr>
          <w:rFonts w:hint="default"/>
          <w:b/>
          <w:color w:val="2D2D2D"/>
          <w:sz w:val="28"/>
          <w:lang w:val="en-GB" w:bidi="ar-SA"/>
        </w:rPr>
      </w:pPr>
      <w:r>
        <w:rPr>
          <w:rFonts w:hint="default"/>
          <w:b/>
          <w:color w:val="2D2D2D"/>
          <w:sz w:val="28"/>
          <w:lang w:val="en-GB" w:bidi="ar-SA"/>
        </w:rPr>
        <w:t>الملخص التنفيذي</w:t>
      </w:r>
    </w:p>
    <w:p w14:paraId="57CD9B16">
      <w:pPr>
        <w:rPr>
          <w:rFonts w:hint="default"/>
          <w:lang w:val="en-GB"/>
        </w:rPr>
      </w:pPr>
    </w:p>
    <w:p w14:paraId="399BB7E5">
      <w:pPr>
        <w:bidi w:val="0"/>
        <w:spacing w:after="120" w:line="240" w:lineRule="auto"/>
        <w:jc w:val="right"/>
        <w:rPr>
          <w:rFonts w:hint="default"/>
          <w:b w:val="0"/>
          <w:color w:val="4A4A4A"/>
          <w:sz w:val="22"/>
          <w:lang w:val="en-GB"/>
        </w:rPr>
      </w:pPr>
      <w:r>
        <w:rPr>
          <w:rFonts w:hint="default"/>
          <w:b w:val="0"/>
          <w:color w:val="4A4A4A"/>
          <w:sz w:val="22"/>
          <w:lang w:val="en-GB"/>
        </w:rPr>
        <w:t>يقدّم هذا العرض منهجية متكاملة لتنفيذ نطاق العمل المطلوب لتطوير الاستراتيجيات التنموية الريفية للقرى المختارة خلال مدة 12 شهرًا, وفق متطلبات العقد والمواصفات. يقسم التنفيذ إلى مرحلتين مترابطتين: مرحلة الدراسة والتحليل لربط المخرجات السابقة وتوحيد التحليلات, ثم مرحلة التصميم والمواءمة لإنتاج الإطار الاستراتيجي, الخرائط والمؤشرات, المبادرات والمشاريع ومسارات الإنعاش, النموذجين التشغيلي والمالي, مع تأسيس معمل ابتكار اجتماعي وخيارات التأسيس القانوني والشراكات. ترتكز خطة التنفيذ على فرق عمل متخصصة وفق المواصفات المطلوبة, وضمان جودة صارم, وإدارة مخاطر فعالة, والتزام بحقوق الجهة في المخرجات وبالغرامات والضمان النهائي حسب وثائق المنافسة.</w:t>
      </w:r>
    </w:p>
    <w:p w14:paraId="0B24DC24">
      <w:pPr>
        <w:bidi w:val="0"/>
        <w:spacing w:after="120" w:line="240" w:lineRule="auto"/>
        <w:jc w:val="right"/>
        <w:rPr>
          <w:rFonts w:hint="default"/>
          <w:b w:val="0"/>
          <w:color w:val="4A4A4A"/>
          <w:sz w:val="22"/>
          <w:lang w:val="en-GB"/>
        </w:rPr>
      </w:pPr>
    </w:p>
    <w:p w14:paraId="711685F3">
      <w:pPr>
        <w:pStyle w:val="2"/>
        <w:bidi w:val="0"/>
        <w:spacing w:before="0" w:after="120" w:line="240" w:lineRule="auto"/>
        <w:jc w:val="right"/>
        <w:rPr>
          <w:rFonts w:hint="default"/>
          <w:b/>
          <w:color w:val="2D2D2D"/>
          <w:sz w:val="28"/>
          <w:lang w:val="en-GB"/>
        </w:rPr>
      </w:pPr>
      <w:r>
        <w:rPr>
          <w:rFonts w:hint="default"/>
          <w:b/>
          <w:color w:val="2D2D2D"/>
          <w:sz w:val="28"/>
          <w:lang w:val="en-GB"/>
        </w:rPr>
        <w:t>تعريف الشركة</w:t>
      </w:r>
    </w:p>
    <w:p w14:paraId="3885BED5">
      <w:pPr>
        <w:rPr>
          <w:rFonts w:hint="default"/>
          <w:lang w:val="en-GB"/>
        </w:rPr>
      </w:pPr>
    </w:p>
    <w:p w14:paraId="61D86489">
      <w:pPr>
        <w:bidi w:val="0"/>
        <w:spacing w:after="120" w:line="240" w:lineRule="auto"/>
        <w:jc w:val="right"/>
        <w:rPr>
          <w:rFonts w:hint="default"/>
          <w:b w:val="0"/>
          <w:color w:val="4A4A4A"/>
          <w:sz w:val="22"/>
          <w:lang w:val="en-GB"/>
        </w:rPr>
      </w:pPr>
      <w:r>
        <w:rPr>
          <w:rFonts w:hint="default"/>
          <w:b w:val="0"/>
          <w:color w:val="4A4A4A"/>
          <w:sz w:val="22"/>
          <w:lang w:val="en-GB"/>
        </w:rPr>
        <w:t>Impetus Strategy شركة استشارية تركّز على تعظيم الأثر بما يتجاوز الربحية, وتستند إلى قيم التنوع والتعاون والاستدامة. يمتلك فريق القيادة خبرة استشارية في مجالات التنمية الاجتماعية والحوكمة والاستثمار ذي الأثر, مع قدرات في الاستشارات والبحوث وبناء القدرات, ومنهجيات التفكير التحليلي والمقاربات التشاركية, ويمتاز بحلول معتمدة على البيانات. تتوافر لدى الفريق كفاءات لغوية بالعربية والإنجليزية.</w:t>
      </w:r>
    </w:p>
    <w:p w14:paraId="2FC5B515">
      <w:pPr>
        <w:bidi w:val="0"/>
        <w:spacing w:after="120" w:line="240" w:lineRule="auto"/>
        <w:jc w:val="right"/>
        <w:rPr>
          <w:rFonts w:hint="default"/>
          <w:b w:val="0"/>
          <w:color w:val="4A4A4A"/>
          <w:sz w:val="22"/>
          <w:lang w:val="en-GB"/>
        </w:rPr>
      </w:pPr>
    </w:p>
    <w:p w14:paraId="6E2B4D42">
      <w:pPr>
        <w:pStyle w:val="2"/>
        <w:bidi w:val="0"/>
        <w:spacing w:before="0" w:after="120" w:line="240" w:lineRule="auto"/>
        <w:jc w:val="right"/>
        <w:rPr>
          <w:rFonts w:hint="default"/>
          <w:b/>
          <w:color w:val="2D2D2D"/>
          <w:sz w:val="28"/>
          <w:lang w:val="en-GB"/>
        </w:rPr>
      </w:pPr>
      <w:r>
        <w:rPr>
          <w:rFonts w:hint="default"/>
          <w:b/>
          <w:color w:val="2D2D2D"/>
          <w:sz w:val="28"/>
          <w:lang w:val="en-GB"/>
        </w:rPr>
        <w:t>فهم طلب تقديم العروض والأهداف</w:t>
      </w:r>
    </w:p>
    <w:p w14:paraId="3727AF6F">
      <w:pPr>
        <w:rPr>
          <w:rFonts w:hint="default"/>
          <w:lang w:val="en-GB"/>
        </w:rPr>
      </w:pPr>
    </w:p>
    <w:p w14:paraId="09F00D7B">
      <w:pPr>
        <w:bidi w:val="0"/>
        <w:spacing w:after="120" w:line="240" w:lineRule="auto"/>
        <w:jc w:val="right"/>
        <w:rPr>
          <w:rFonts w:hint="default"/>
          <w:b w:val="0"/>
          <w:color w:val="4A4A4A"/>
          <w:sz w:val="22"/>
          <w:lang w:val="en-GB"/>
        </w:rPr>
      </w:pPr>
      <w:r>
        <w:rPr>
          <w:rFonts w:hint="default"/>
          <w:b w:val="0"/>
          <w:color w:val="4A4A4A"/>
          <w:sz w:val="22"/>
          <w:lang w:val="en-GB"/>
        </w:rPr>
        <w:t>الهدف هو تطوير استراتيجيات تنموية ريفية للقرى المختارة, تُبنى على ربط المخرجات التحليلية السابقة, وتحليل أصحاب المصلحة والحوكمة, وتصميم إطار استراتيجي وخرائط ومؤشرات ومبادرات ومشاريع قابلة للتنفيذ وفق الأولويات, مع إعداد نموذج العمل والنموذج التشغيلي, وتأسيس معمل ابتكار اجتماعي, وتحديد خيارات التأسيس القانوني والشراكات. يشمل نطاق العمل وثائق تفصيلية للمخرجات, وبرنامج تنفيذ على مرحلتين بنسبة 20% للمرحلة الأولى و80% للثانية, ومواصفات جودة وسلامة, ومتطلبات تعاقد تشمل الضمان النهائي والغرامات.</w:t>
      </w:r>
    </w:p>
    <w:p w14:paraId="59B1608B">
      <w:pPr>
        <w:bidi w:val="0"/>
        <w:spacing w:after="120" w:line="240" w:lineRule="auto"/>
        <w:jc w:val="right"/>
        <w:rPr>
          <w:rFonts w:hint="default"/>
          <w:b w:val="0"/>
          <w:color w:val="4A4A4A"/>
          <w:sz w:val="22"/>
          <w:lang w:val="en-GB"/>
        </w:rPr>
      </w:pPr>
    </w:p>
    <w:p w14:paraId="614BC213">
      <w:pPr>
        <w:pStyle w:val="2"/>
        <w:bidi w:val="0"/>
        <w:spacing w:before="0" w:after="120" w:line="240" w:lineRule="auto"/>
        <w:jc w:val="right"/>
        <w:rPr>
          <w:rFonts w:hint="default"/>
          <w:b/>
          <w:color w:val="2D2D2D"/>
          <w:sz w:val="28"/>
          <w:lang w:val="en-GB"/>
        </w:rPr>
      </w:pPr>
      <w:r>
        <w:rPr>
          <w:rFonts w:hint="default"/>
          <w:b/>
          <w:color w:val="2D2D2D"/>
          <w:sz w:val="28"/>
          <w:lang w:val="en-GB"/>
        </w:rPr>
        <w:t>المنهجية الفنية ومنهجية العمل</w:t>
      </w:r>
    </w:p>
    <w:p w14:paraId="3970958E">
      <w:pPr>
        <w:rPr>
          <w:rFonts w:hint="default"/>
          <w:lang w:val="en-GB"/>
        </w:rPr>
      </w:pPr>
    </w:p>
    <w:p w14:paraId="188DBAAD">
      <w:pPr>
        <w:bidi w:val="0"/>
        <w:spacing w:after="120" w:line="240" w:lineRule="auto"/>
        <w:jc w:val="right"/>
        <w:rPr>
          <w:rFonts w:hint="default"/>
          <w:b w:val="0"/>
          <w:color w:val="4A4A4A"/>
          <w:sz w:val="22"/>
          <w:lang w:val="en-GB"/>
        </w:rPr>
      </w:pPr>
      <w:r>
        <w:rPr>
          <w:rFonts w:hint="default"/>
          <w:b w:val="0"/>
          <w:color w:val="4A4A4A"/>
          <w:sz w:val="22"/>
          <w:lang w:val="en-GB"/>
        </w:rPr>
        <w:t>تعتمد المنهجية على التحليل المنظومي ثم التصميم الموجه بالأهداف. نستخدم أدوات تحليلية قياسية للقرى المختارة مثل SWOT وPESTEL وتحليل الأصول ومصفوفة الأهمية/الأداء وNOISE, مع مراجعات مشاركة لأصحاب المصلحة, ثم نبني نظرية التغيير, الخرائط الاستراتيجية, المؤشرات, المبادرات, والمشاريع ومسارات الإنعاش, ونماذج العمل والتشغيل, وإطار الشراكات, ومعمل الابتكار الاجتماعي ببنية رقمية تفاعلية.</w:t>
      </w:r>
    </w:p>
    <w:p w14:paraId="21E3AA9F">
      <w:pPr>
        <w:bidi w:val="0"/>
        <w:spacing w:after="120" w:line="240" w:lineRule="auto"/>
        <w:jc w:val="right"/>
        <w:rPr>
          <w:rFonts w:hint="default"/>
          <w:b w:val="0"/>
          <w:color w:val="4A4A4A"/>
          <w:sz w:val="22"/>
          <w:lang w:val="en-GB"/>
        </w:rPr>
      </w:pPr>
    </w:p>
    <w:p w14:paraId="5856080E">
      <w:pPr>
        <w:pStyle w:val="2"/>
        <w:bidi w:val="0"/>
        <w:spacing w:before="0" w:after="120" w:line="240" w:lineRule="auto"/>
        <w:jc w:val="right"/>
        <w:rPr>
          <w:rFonts w:hint="default"/>
          <w:b/>
          <w:color w:val="2D2D2D"/>
          <w:sz w:val="28"/>
          <w:lang w:val="en-GB"/>
        </w:rPr>
      </w:pPr>
      <w:r>
        <w:rPr>
          <w:rFonts w:hint="default"/>
          <w:b/>
          <w:color w:val="2D2D2D"/>
          <w:sz w:val="28"/>
          <w:lang w:val="en-GB"/>
        </w:rPr>
        <w:t>نظرة عامة على الإطار</w:t>
      </w:r>
    </w:p>
    <w:p w14:paraId="6C670938">
      <w:pPr>
        <w:rPr>
          <w:rFonts w:hint="default"/>
          <w:lang w:val="en-GB"/>
        </w:rPr>
      </w:pPr>
    </w:p>
    <w:p w14:paraId="06D13295">
      <w:pPr>
        <w:bidi w:val="0"/>
        <w:spacing w:after="120" w:line="240" w:lineRule="auto"/>
        <w:jc w:val="right"/>
        <w:rPr>
          <w:rFonts w:hint="default"/>
          <w:b w:val="0"/>
          <w:color w:val="4A4A4A"/>
          <w:sz w:val="22"/>
          <w:lang w:val="en-GB"/>
        </w:rPr>
      </w:pPr>
      <w:r>
        <w:rPr>
          <w:rFonts w:hint="default"/>
          <w:b w:val="0"/>
          <w:color w:val="4A4A4A"/>
          <w:sz w:val="22"/>
          <w:lang w:val="en-GB"/>
        </w:rPr>
        <w:t>الإطار يدمج: التحليل متعدد الأبعاد للقرى, حوكمة التنفيذ, نظرية التغيير, خرائط استراتيجية مرتبطة بممكنات وقدرات محلية, قياس بالأداء عبر مؤشرات رئيسية, ومحفظة مبادرات ومشاريع ذات أولويات واضحة وجاهزية للتنفيذ, إضافة إلى نموذج عمل وتشغيل مستدامين, ومعمل ابتكار اجتماعي لتوليد الحلول بمشاركة المجتمع وشركائه.</w:t>
      </w:r>
    </w:p>
    <w:p w14:paraId="255A5A65">
      <w:pPr>
        <w:bidi w:val="0"/>
        <w:spacing w:after="120" w:line="240" w:lineRule="auto"/>
        <w:jc w:val="right"/>
        <w:rPr>
          <w:rFonts w:hint="default"/>
          <w:b w:val="0"/>
          <w:color w:val="4A4A4A"/>
          <w:sz w:val="22"/>
          <w:lang w:val="en-GB"/>
        </w:rPr>
      </w:pPr>
    </w:p>
    <w:p w14:paraId="265A4B2E">
      <w:pPr>
        <w:pStyle w:val="2"/>
        <w:bidi w:val="0"/>
        <w:spacing w:before="0" w:after="120" w:line="240" w:lineRule="auto"/>
        <w:jc w:val="right"/>
        <w:rPr>
          <w:rFonts w:hint="default"/>
          <w:b/>
          <w:color w:val="2D2D2D"/>
          <w:sz w:val="28"/>
          <w:lang w:val="en-GB"/>
        </w:rPr>
      </w:pPr>
      <w:r>
        <w:rPr>
          <w:rFonts w:hint="default"/>
          <w:b/>
          <w:color w:val="2D2D2D"/>
          <w:sz w:val="28"/>
          <w:lang w:val="en-GB"/>
        </w:rPr>
        <w:t>المنهجية المرحلية</w:t>
      </w:r>
    </w:p>
    <w:p w14:paraId="3921E03D">
      <w:pPr>
        <w:rPr>
          <w:rFonts w:hint="default"/>
          <w:lang w:val="en-GB"/>
        </w:rPr>
      </w:pPr>
    </w:p>
    <w:p w14:paraId="420E6357">
      <w:pPr>
        <w:bidi w:val="0"/>
        <w:spacing w:after="120" w:line="240" w:lineRule="auto"/>
        <w:jc w:val="right"/>
        <w:rPr>
          <w:rFonts w:hint="default"/>
          <w:b w:val="0"/>
          <w:color w:val="4A4A4A"/>
          <w:sz w:val="22"/>
          <w:lang w:val="en-GB"/>
        </w:rPr>
      </w:pPr>
      <w:r>
        <w:rPr>
          <w:rFonts w:hint="default"/>
          <w:b w:val="0"/>
          <w:color w:val="4A4A4A"/>
          <w:sz w:val="22"/>
          <w:lang w:val="en-GB"/>
        </w:rPr>
        <w:t>المرحلة الأولى (الدراسة والتحليل): ربط المخرجات السابقة, تحليل أصحاب المصلحة وإطار الحوكمة, المقارنات المرجعية, وتطوير إطار تصميمي للحلول المؤثرة ومصفوفات الأولويات. المرحلة الثانية (التصميم والمواءمة): صياغة الإطار الاستراتيجي الوطني للقرى التنموية غير الربحية, بناء نظرية التغيير والأهداف والمؤشرات لكل قرية, تطوير المبادرات والمشاريع وخطط ومسارات الإنعاش ودراسات الجدوى, تصميم نموذج العمل والتشغيلي والمالي, تأسيس معمل الابتكار الاجتماعي ببنية رقمية, إعداد خيارات التأسيس غير الربحي, وتحديد الشراكات والأدوار.</w:t>
      </w:r>
    </w:p>
    <w:p w14:paraId="792A5DDD">
      <w:pPr>
        <w:bidi w:val="0"/>
        <w:spacing w:after="120" w:line="240" w:lineRule="auto"/>
        <w:jc w:val="right"/>
        <w:rPr>
          <w:rFonts w:hint="default"/>
          <w:b w:val="0"/>
          <w:color w:val="4A4A4A"/>
          <w:sz w:val="22"/>
          <w:lang w:val="en-GB"/>
        </w:rPr>
      </w:pPr>
    </w:p>
    <w:p w14:paraId="404FB845">
      <w:pPr>
        <w:pStyle w:val="2"/>
        <w:bidi w:val="0"/>
        <w:spacing w:before="0" w:after="120" w:line="240" w:lineRule="auto"/>
        <w:jc w:val="right"/>
        <w:rPr>
          <w:rFonts w:hint="default"/>
          <w:b/>
          <w:color w:val="2D2D2D"/>
          <w:sz w:val="28"/>
          <w:lang w:val="en-GB"/>
        </w:rPr>
      </w:pPr>
      <w:r>
        <w:rPr>
          <w:rFonts w:hint="default"/>
          <w:b/>
          <w:color w:val="2D2D2D"/>
          <w:sz w:val="28"/>
          <w:lang w:val="en-GB"/>
        </w:rPr>
        <w:t>الركائز المنهجية</w:t>
      </w:r>
    </w:p>
    <w:p w14:paraId="7CF0E748">
      <w:pPr>
        <w:rPr>
          <w:rFonts w:hint="default"/>
          <w:lang w:val="en-GB"/>
        </w:rPr>
      </w:pPr>
    </w:p>
    <w:p w14:paraId="02957B43">
      <w:pPr>
        <w:bidi w:val="0"/>
        <w:spacing w:after="120" w:line="240" w:lineRule="auto"/>
        <w:jc w:val="right"/>
        <w:rPr>
          <w:rFonts w:hint="default"/>
          <w:b w:val="0"/>
          <w:color w:val="4A4A4A"/>
          <w:sz w:val="22"/>
          <w:lang w:val="en-GB"/>
        </w:rPr>
      </w:pPr>
      <w:r>
        <w:rPr>
          <w:rFonts w:hint="default"/>
          <w:b w:val="0"/>
          <w:color w:val="4A4A4A"/>
          <w:sz w:val="22"/>
          <w:lang w:val="en-GB"/>
        </w:rPr>
        <w:t>ترتكز المنهجية على: 1) التحليل القائم على الأدلة. 2) الشمولية والتكامل بين الأبعاد الاقتصادية والاجتماعية والحوكمية. 3) المشاركة المجتمعية ومنهجيات التيسير. 4) التركيز على الأثر عبر مؤشرات قابلة للقياس. 5) القابلية للتنفيذ من خلال خطط وموازنات ومسارات إنعاش واضحة. 6) الاستدامة عبر نماذج عمل وتشغيل وتمويل ملائمة.</w:t>
      </w:r>
    </w:p>
    <w:p w14:paraId="78AB4209">
      <w:pPr>
        <w:bidi w:val="0"/>
        <w:spacing w:after="120" w:line="240" w:lineRule="auto"/>
        <w:jc w:val="right"/>
        <w:rPr>
          <w:rFonts w:hint="default"/>
          <w:b w:val="0"/>
          <w:color w:val="4A4A4A"/>
          <w:sz w:val="22"/>
          <w:lang w:val="en-GB"/>
        </w:rPr>
      </w:pPr>
    </w:p>
    <w:p w14:paraId="7FC765A8">
      <w:pPr>
        <w:pStyle w:val="2"/>
        <w:bidi w:val="0"/>
        <w:spacing w:before="0" w:after="120" w:line="240" w:lineRule="auto"/>
        <w:jc w:val="right"/>
        <w:rPr>
          <w:rFonts w:hint="default"/>
          <w:b/>
          <w:color w:val="2D2D2D"/>
          <w:sz w:val="28"/>
          <w:lang w:val="en-GB"/>
        </w:rPr>
      </w:pPr>
      <w:r>
        <w:rPr>
          <w:rFonts w:hint="default"/>
          <w:b/>
          <w:color w:val="2D2D2D"/>
          <w:sz w:val="28"/>
          <w:lang w:val="en-GB"/>
        </w:rPr>
        <w:t>هيكلية المشروع</w:t>
      </w:r>
    </w:p>
    <w:p w14:paraId="5A35A59F">
      <w:pPr>
        <w:rPr>
          <w:rFonts w:hint="default"/>
          <w:lang w:val="en-GB"/>
        </w:rPr>
      </w:pPr>
    </w:p>
    <w:p w14:paraId="782A484D">
      <w:pPr>
        <w:bidi w:val="0"/>
        <w:spacing w:after="120" w:line="240" w:lineRule="auto"/>
        <w:jc w:val="right"/>
        <w:rPr>
          <w:rFonts w:hint="default"/>
          <w:b w:val="0"/>
          <w:color w:val="4A4A4A"/>
          <w:sz w:val="22"/>
          <w:lang w:val="en-GB"/>
        </w:rPr>
      </w:pPr>
      <w:r>
        <w:rPr>
          <w:rFonts w:hint="default"/>
          <w:b w:val="0"/>
          <w:color w:val="4A4A4A"/>
          <w:sz w:val="22"/>
          <w:lang w:val="en-GB"/>
        </w:rPr>
        <w:t>تعتمد الهيكلية على قيادة استشارية, وخبراء مجال, وفِرق تخصصية وفق مواصفات الكفاءة المطلوبة, مع مسار حوكمي يضمن الاعتمادات المرحلية للمخرجات, وتكامل أعمال المعمل الرقمي للابتكار الاجتماعي مع أعمال التحليل والتصميم والتنفيذ التجريبي للمبادرات ذات الأولوية.</w:t>
      </w:r>
    </w:p>
    <w:p w14:paraId="7E374A22">
      <w:pPr>
        <w:bidi w:val="0"/>
        <w:spacing w:after="120" w:line="240" w:lineRule="auto"/>
        <w:jc w:val="right"/>
        <w:rPr>
          <w:rFonts w:hint="default"/>
          <w:b w:val="0"/>
          <w:color w:val="4A4A4A"/>
          <w:sz w:val="22"/>
          <w:lang w:val="en-GB"/>
        </w:rPr>
      </w:pPr>
    </w:p>
    <w:p w14:paraId="089AAA38">
      <w:pPr>
        <w:pStyle w:val="2"/>
        <w:bidi w:val="0"/>
        <w:spacing w:before="0" w:after="120" w:line="240" w:lineRule="auto"/>
        <w:jc w:val="right"/>
        <w:rPr>
          <w:rFonts w:hint="default"/>
          <w:b/>
          <w:color w:val="2D2D2D"/>
          <w:sz w:val="28"/>
          <w:lang w:val="en-GB"/>
        </w:rPr>
      </w:pPr>
      <w:r>
        <w:rPr>
          <w:rFonts w:hint="default"/>
          <w:b/>
          <w:color w:val="2D2D2D"/>
          <w:sz w:val="28"/>
          <w:lang w:val="en-GB"/>
        </w:rPr>
        <w:t>المكونات النظامية</w:t>
      </w:r>
    </w:p>
    <w:p w14:paraId="22EC93BA">
      <w:pPr>
        <w:rPr>
          <w:rFonts w:hint="default"/>
          <w:lang w:val="en-GB"/>
        </w:rPr>
      </w:pPr>
    </w:p>
    <w:p w14:paraId="6F7E5B53">
      <w:pPr>
        <w:bidi w:val="0"/>
        <w:spacing w:after="120" w:line="240" w:lineRule="auto"/>
        <w:jc w:val="right"/>
        <w:rPr>
          <w:rFonts w:hint="default"/>
          <w:b w:val="0"/>
          <w:color w:val="4A4A4A"/>
          <w:sz w:val="22"/>
          <w:lang w:val="en-GB"/>
        </w:rPr>
      </w:pPr>
      <w:r>
        <w:rPr>
          <w:rFonts w:hint="default"/>
          <w:b w:val="0"/>
          <w:color w:val="4A4A4A"/>
          <w:sz w:val="22"/>
          <w:lang w:val="en-GB"/>
        </w:rPr>
        <w:t>المكونات تشمل: حوكمة التنفيذ للاستراتيجية, فرق عمل تحليل وتصميم, محفظة المبادرات والمشاريع ومسارات الإنعاش, نموذج العمل والتشغيل والمالي, إطار شراكات وتواصل, ومعمل ابتكار اجتماعي ببنية رقمية تفاعلية.</w:t>
      </w:r>
    </w:p>
    <w:p w14:paraId="10ED5C0E">
      <w:pPr>
        <w:bidi w:val="0"/>
        <w:spacing w:after="120" w:line="240" w:lineRule="auto"/>
        <w:jc w:val="right"/>
        <w:rPr>
          <w:rFonts w:hint="default"/>
          <w:b w:val="0"/>
          <w:color w:val="4A4A4A"/>
          <w:sz w:val="22"/>
          <w:lang w:val="en-GB"/>
        </w:rPr>
      </w:pPr>
    </w:p>
    <w:p w14:paraId="47A3C044">
      <w:pPr>
        <w:pStyle w:val="2"/>
        <w:bidi w:val="0"/>
        <w:spacing w:before="0" w:after="120" w:line="240" w:lineRule="auto"/>
        <w:jc w:val="right"/>
        <w:rPr>
          <w:rFonts w:hint="default"/>
          <w:b/>
          <w:color w:val="2D2D2D"/>
          <w:sz w:val="28"/>
          <w:lang w:val="en-GB"/>
        </w:rPr>
      </w:pPr>
      <w:r>
        <w:rPr>
          <w:rFonts w:hint="default"/>
          <w:b/>
          <w:color w:val="2D2D2D"/>
          <w:sz w:val="28"/>
          <w:lang w:val="en-GB"/>
        </w:rPr>
        <w:t>تدفق البيانات والتكامل</w:t>
      </w:r>
    </w:p>
    <w:p w14:paraId="21CAE72A">
      <w:pPr>
        <w:rPr>
          <w:rFonts w:hint="default"/>
          <w:lang w:val="en-GB"/>
        </w:rPr>
      </w:pPr>
    </w:p>
    <w:p w14:paraId="33A589B5">
      <w:pPr>
        <w:bidi w:val="0"/>
        <w:spacing w:after="120" w:line="240" w:lineRule="auto"/>
        <w:jc w:val="right"/>
        <w:rPr>
          <w:rFonts w:hint="default"/>
          <w:b w:val="0"/>
          <w:color w:val="4A4A4A"/>
          <w:sz w:val="22"/>
          <w:lang w:val="en-GB"/>
        </w:rPr>
      </w:pPr>
      <w:r>
        <w:rPr>
          <w:rFonts w:hint="default"/>
          <w:b w:val="0"/>
          <w:color w:val="4A4A4A"/>
          <w:sz w:val="22"/>
          <w:lang w:val="en-GB"/>
        </w:rPr>
        <w:t>يتدفق المحتوى من مصادر: المخرجات والدراسات السابقة, وورش وأدوات التفاعل مع أصحاب المصلحة, إلى نظم التحليل وإنتاج الوثائق, ثم إلى بوابة/منصة المعمل الرقمي لاستقبال التحديات والأفكار وتطوير الحلول, مع دورات مراجعة واعتماد لكل مخرج قبل الانتقال لخطوة لاحقة.</w:t>
      </w:r>
    </w:p>
    <w:p w14:paraId="24F2A9CD">
      <w:pPr>
        <w:bidi w:val="0"/>
        <w:spacing w:after="120" w:line="240" w:lineRule="auto"/>
        <w:jc w:val="right"/>
        <w:rPr>
          <w:rFonts w:hint="default"/>
          <w:b w:val="0"/>
          <w:color w:val="4A4A4A"/>
          <w:sz w:val="22"/>
          <w:lang w:val="en-GB"/>
        </w:rPr>
      </w:pPr>
    </w:p>
    <w:p w14:paraId="7DC63914">
      <w:pPr>
        <w:pStyle w:val="2"/>
        <w:bidi w:val="0"/>
        <w:spacing w:before="0" w:after="120" w:line="240" w:lineRule="auto"/>
        <w:jc w:val="right"/>
        <w:rPr>
          <w:rFonts w:hint="default"/>
          <w:b/>
          <w:color w:val="2D2D2D"/>
          <w:sz w:val="28"/>
          <w:lang w:val="en-GB"/>
        </w:rPr>
      </w:pPr>
      <w:r>
        <w:rPr>
          <w:rFonts w:hint="default"/>
          <w:b/>
          <w:color w:val="2D2D2D"/>
          <w:sz w:val="28"/>
          <w:lang w:val="en-GB"/>
        </w:rPr>
        <w:t>حزمة التقنية</w:t>
      </w:r>
    </w:p>
    <w:p w14:paraId="574CE885">
      <w:pPr>
        <w:rPr>
          <w:rFonts w:hint="default"/>
          <w:lang w:val="en-GB"/>
        </w:rPr>
      </w:pPr>
    </w:p>
    <w:p w14:paraId="55969375">
      <w:pPr>
        <w:bidi w:val="0"/>
        <w:spacing w:after="120" w:line="240" w:lineRule="auto"/>
        <w:jc w:val="right"/>
        <w:rPr>
          <w:rFonts w:hint="default"/>
          <w:b w:val="0"/>
          <w:color w:val="4A4A4A"/>
          <w:sz w:val="22"/>
          <w:lang w:val="en-GB"/>
        </w:rPr>
      </w:pPr>
      <w:r>
        <w:rPr>
          <w:rFonts w:hint="default"/>
          <w:b w:val="0"/>
          <w:color w:val="4A4A4A"/>
          <w:sz w:val="22"/>
          <w:lang w:val="en-GB"/>
        </w:rPr>
        <w:t>سيجري إنشاء بنية رقمية متكاملة لمعمل الابتكار الاجتماعي ومنصة تفاعلية لعرض الحلول وأدوات تعاونية لتطوير الأفكار وربط الشركاء وقاعدة بيانات للحلول الاجتماعية, باستخدام أدوات مؤسسية لإدارة المشاريع والتوثيق والتعاون, دون فرض تقنيات مملوكة أو مغلقة.</w:t>
      </w:r>
    </w:p>
    <w:p w14:paraId="0BD6C976">
      <w:pPr>
        <w:bidi w:val="0"/>
        <w:spacing w:after="120" w:line="240" w:lineRule="auto"/>
        <w:jc w:val="right"/>
        <w:rPr>
          <w:rFonts w:hint="default"/>
          <w:b w:val="0"/>
          <w:color w:val="4A4A4A"/>
          <w:sz w:val="22"/>
          <w:lang w:val="en-GB"/>
        </w:rPr>
      </w:pPr>
    </w:p>
    <w:p w14:paraId="2C61A2F9">
      <w:pPr>
        <w:pStyle w:val="2"/>
        <w:bidi w:val="0"/>
        <w:spacing w:before="0" w:after="120" w:line="240" w:lineRule="auto"/>
        <w:jc w:val="right"/>
        <w:rPr>
          <w:rFonts w:hint="default"/>
          <w:b/>
          <w:color w:val="2D2D2D"/>
          <w:sz w:val="28"/>
          <w:lang w:val="en-GB"/>
        </w:rPr>
      </w:pPr>
      <w:r>
        <w:rPr>
          <w:rFonts w:hint="default"/>
          <w:b/>
          <w:color w:val="2D2D2D"/>
          <w:sz w:val="28"/>
          <w:lang w:val="en-GB"/>
        </w:rPr>
        <w:t>الخبرة ذات الصلة وأدلة الحالات</w:t>
      </w:r>
    </w:p>
    <w:p w14:paraId="46CF34E7">
      <w:pPr>
        <w:rPr>
          <w:rFonts w:hint="default"/>
          <w:lang w:val="en-GB"/>
        </w:rPr>
      </w:pPr>
    </w:p>
    <w:p w14:paraId="40D7B852">
      <w:pPr>
        <w:bidi w:val="0"/>
        <w:spacing w:after="120" w:line="240" w:lineRule="auto"/>
        <w:jc w:val="right"/>
        <w:rPr>
          <w:rFonts w:hint="default"/>
          <w:b w:val="0"/>
          <w:color w:val="4A4A4A"/>
          <w:sz w:val="22"/>
          <w:lang w:val="en-GB"/>
        </w:rPr>
      </w:pPr>
      <w:r>
        <w:rPr>
          <w:rFonts w:hint="default"/>
          <w:b w:val="0"/>
          <w:color w:val="4A4A4A"/>
          <w:sz w:val="22"/>
          <w:lang w:val="en-GB"/>
        </w:rPr>
        <w:t>خبرات مختصرة ذات صلة: 1) المسوحات الاجتماعية والاقتصادية للمناطق ذات الأولوية (المرحلة الأولى): تنفيذ 6 مسوحات بمشاركة تتجاوز 5 ملايين مشارك. 2) دراسة احتياجات المجتمعات الريفية: تقييم الاحتياجات والقدرات, وتخطيط 12 مبادرة مع مشاركة تفوق 7 ملايين. كما نفّذت الشركة أكثر من 120 مشروعًا بحثيًا و35 مبادرة شراكة, مع تركيز على الحلول المعتمدة على البيانات والأثر.</w:t>
      </w:r>
    </w:p>
    <w:p w14:paraId="4DCEC3E4">
      <w:pPr>
        <w:bidi w:val="0"/>
        <w:spacing w:after="120" w:line="240" w:lineRule="auto"/>
        <w:jc w:val="right"/>
        <w:rPr>
          <w:rFonts w:hint="default"/>
          <w:b w:val="0"/>
          <w:color w:val="4A4A4A"/>
          <w:sz w:val="22"/>
          <w:lang w:val="en-GB"/>
        </w:rPr>
      </w:pPr>
    </w:p>
    <w:p w14:paraId="1153D041">
      <w:pPr>
        <w:pStyle w:val="2"/>
        <w:bidi w:val="0"/>
        <w:spacing w:before="0" w:after="120" w:line="240" w:lineRule="auto"/>
        <w:jc w:val="right"/>
        <w:rPr>
          <w:rFonts w:hint="default"/>
          <w:b/>
          <w:color w:val="2D2D2D"/>
          <w:sz w:val="28"/>
          <w:lang w:val="en-GB"/>
        </w:rPr>
      </w:pPr>
      <w:r>
        <w:rPr>
          <w:rFonts w:hint="default"/>
          <w:b/>
          <w:color w:val="2D2D2D"/>
          <w:sz w:val="28"/>
          <w:lang w:val="en-GB"/>
        </w:rPr>
        <w:t>فريق المشروع والأدوار</w:t>
      </w:r>
    </w:p>
    <w:p w14:paraId="61BCC8A6">
      <w:pPr>
        <w:rPr>
          <w:rFonts w:hint="default"/>
          <w:lang w:val="en-GB"/>
        </w:rPr>
      </w:pPr>
    </w:p>
    <w:p w14:paraId="1BAAB803">
      <w:pPr>
        <w:bidi w:val="0"/>
        <w:spacing w:after="120" w:line="240" w:lineRule="auto"/>
        <w:jc w:val="right"/>
        <w:rPr>
          <w:rFonts w:hint="default"/>
          <w:b w:val="0"/>
          <w:color w:val="4A4A4A"/>
          <w:sz w:val="22"/>
          <w:lang w:val="en-GB"/>
        </w:rPr>
      </w:pPr>
      <w:r>
        <w:rPr>
          <w:rFonts w:hint="default"/>
          <w:b w:val="0"/>
          <w:color w:val="4A4A4A"/>
          <w:sz w:val="22"/>
          <w:lang w:val="en-GB"/>
        </w:rPr>
        <w:t>سيُشكَّل فريق عمل مطابق لمواصفات الكفاءة المطلوبة لضمان جودة التنفيذ وتسليم جميع المخرجات وفق الجدول الزمني.</w:t>
      </w:r>
    </w:p>
    <w:p w14:paraId="6C84E3F0">
      <w:pPr>
        <w:bidi w:val="0"/>
        <w:spacing w:after="120" w:line="240" w:lineRule="auto"/>
        <w:jc w:val="right"/>
        <w:rPr>
          <w:rFonts w:hint="default"/>
          <w:b w:val="0"/>
          <w:color w:val="4A4A4A"/>
          <w:sz w:val="22"/>
          <w:lang w:val="en-GB"/>
        </w:rPr>
      </w:pPr>
    </w:p>
    <w:tbl>
      <w:tblPr>
        <w:tblStyle w:val="5"/>
        <w:tblW w:w="4998"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2308"/>
        <w:gridCol w:w="2308"/>
        <w:gridCol w:w="2311"/>
        <w:gridCol w:w="2311"/>
      </w:tblGrid>
      <w:tr w14:paraId="217977E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1249" w:type="pct"/>
          </w:tcPr>
          <w:p w14:paraId="46B2C44E">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المسمى</w:t>
            </w:r>
          </w:p>
        </w:tc>
        <w:tc>
          <w:tcPr>
            <w:tcW w:w="1249" w:type="pct"/>
          </w:tcPr>
          <w:p w14:paraId="0609DA60">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أبرز المؤهلات</w:t>
            </w:r>
          </w:p>
        </w:tc>
        <w:tc>
          <w:tcPr>
            <w:tcW w:w="1250" w:type="pct"/>
          </w:tcPr>
          <w:p w14:paraId="7CA5ECA5">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الحد الأدنى للخبرة</w:t>
            </w:r>
          </w:p>
        </w:tc>
        <w:tc>
          <w:tcPr>
            <w:tcW w:w="1250" w:type="pct"/>
          </w:tcPr>
          <w:p w14:paraId="517D3BFD">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العدد</w:t>
            </w:r>
          </w:p>
        </w:tc>
      </w:tr>
      <w:tr w14:paraId="5E5C30B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6842C8C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مدير محفظة</w:t>
            </w:r>
          </w:p>
        </w:tc>
        <w:tc>
          <w:tcPr>
            <w:tcW w:w="1249" w:type="pct"/>
          </w:tcPr>
          <w:p w14:paraId="0F5D49A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ماجستير إدارة أعمال أو ما شابه؛ خبرة استشارية وعملية؛ خبرة في إدارة مشروعات كبرى وضمان الجودة؛ شهادة PMP</w:t>
            </w:r>
          </w:p>
        </w:tc>
        <w:tc>
          <w:tcPr>
            <w:tcW w:w="1250" w:type="pct"/>
          </w:tcPr>
          <w:p w14:paraId="7670502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سنوات</w:t>
            </w:r>
          </w:p>
        </w:tc>
        <w:tc>
          <w:tcPr>
            <w:tcW w:w="1250" w:type="pct"/>
          </w:tcPr>
          <w:p w14:paraId="523DD4A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r>
      <w:tr w14:paraId="252BB31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7F902CF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مدير مشاريع</w:t>
            </w:r>
          </w:p>
        </w:tc>
        <w:tc>
          <w:tcPr>
            <w:tcW w:w="1249" w:type="pct"/>
          </w:tcPr>
          <w:p w14:paraId="3C28B7E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بكالوريوس إدارة أعمال أو ما شابه؛ خبرة تنفيذية؛ شهادة PMP</w:t>
            </w:r>
          </w:p>
        </w:tc>
        <w:tc>
          <w:tcPr>
            <w:tcW w:w="1250" w:type="pct"/>
          </w:tcPr>
          <w:p w14:paraId="7F89ACD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8 سنوات</w:t>
            </w:r>
          </w:p>
        </w:tc>
        <w:tc>
          <w:tcPr>
            <w:tcW w:w="1250" w:type="pct"/>
          </w:tcPr>
          <w:p w14:paraId="2568615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w:t>
            </w:r>
          </w:p>
        </w:tc>
      </w:tr>
      <w:tr w14:paraId="31EBB67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34185B3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أخصائي مشاريع</w:t>
            </w:r>
          </w:p>
        </w:tc>
        <w:tc>
          <w:tcPr>
            <w:tcW w:w="1249" w:type="pct"/>
          </w:tcPr>
          <w:p w14:paraId="7B0DC43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بكالوريوس إدارة أعمال أو ما شابه؛ شهادة PMP</w:t>
            </w:r>
          </w:p>
        </w:tc>
        <w:tc>
          <w:tcPr>
            <w:tcW w:w="1250" w:type="pct"/>
          </w:tcPr>
          <w:p w14:paraId="236FC8C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سنوات</w:t>
            </w:r>
          </w:p>
        </w:tc>
        <w:tc>
          <w:tcPr>
            <w:tcW w:w="1250" w:type="pct"/>
          </w:tcPr>
          <w:p w14:paraId="5905AC1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r>
      <w:tr w14:paraId="5480C63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4EEF193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خبير استراتيجية</w:t>
            </w:r>
          </w:p>
        </w:tc>
        <w:tc>
          <w:tcPr>
            <w:tcW w:w="1249" w:type="pct"/>
          </w:tcPr>
          <w:p w14:paraId="4777A43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دكتوراه/ماجستير؛ إجادة العربية والإنجليزية؛ شهادات مهنية؛ خبرة تطوير وتصميم استراتيجيات</w:t>
            </w:r>
          </w:p>
        </w:tc>
        <w:tc>
          <w:tcPr>
            <w:tcW w:w="1250" w:type="pct"/>
          </w:tcPr>
          <w:p w14:paraId="3830260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سنوات</w:t>
            </w:r>
          </w:p>
        </w:tc>
        <w:tc>
          <w:tcPr>
            <w:tcW w:w="1250" w:type="pct"/>
          </w:tcPr>
          <w:p w14:paraId="094A7E4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r>
      <w:tr w14:paraId="2827B9D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7278F1C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خبير في التنمية المجتمعية والقطاع غير الربحي</w:t>
            </w:r>
          </w:p>
        </w:tc>
        <w:tc>
          <w:tcPr>
            <w:tcW w:w="1249" w:type="pct"/>
          </w:tcPr>
          <w:p w14:paraId="2F3D6BB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دكتوراه/ماجستير في التنمية الريفية/المجتمعية؛ خبرات محلية وعالمية</w:t>
            </w:r>
          </w:p>
        </w:tc>
        <w:tc>
          <w:tcPr>
            <w:tcW w:w="1250" w:type="pct"/>
          </w:tcPr>
          <w:p w14:paraId="6368F12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سنوات</w:t>
            </w:r>
          </w:p>
        </w:tc>
        <w:tc>
          <w:tcPr>
            <w:tcW w:w="1250" w:type="pct"/>
          </w:tcPr>
          <w:p w14:paraId="7FC671D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w:t>
            </w:r>
          </w:p>
        </w:tc>
      </w:tr>
      <w:tr w14:paraId="4C3C5B8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242F3A8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أخصائي تخطيط استراتيجي</w:t>
            </w:r>
          </w:p>
        </w:tc>
        <w:tc>
          <w:tcPr>
            <w:tcW w:w="1249" w:type="pct"/>
          </w:tcPr>
          <w:p w14:paraId="0991720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بكالوريوس؛ إجادة العربية والإنجليزية؛ شهادات مهنية</w:t>
            </w:r>
          </w:p>
        </w:tc>
        <w:tc>
          <w:tcPr>
            <w:tcW w:w="1250" w:type="pct"/>
          </w:tcPr>
          <w:p w14:paraId="764CEAA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سنوات</w:t>
            </w:r>
          </w:p>
        </w:tc>
        <w:tc>
          <w:tcPr>
            <w:tcW w:w="1250" w:type="pct"/>
          </w:tcPr>
          <w:p w14:paraId="107037A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w:t>
            </w:r>
          </w:p>
        </w:tc>
      </w:tr>
      <w:tr w14:paraId="544D7FE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777A64D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أخصائي الابتكار الاجتماعي</w:t>
            </w:r>
          </w:p>
        </w:tc>
        <w:tc>
          <w:tcPr>
            <w:tcW w:w="1249" w:type="pct"/>
          </w:tcPr>
          <w:p w14:paraId="12835EC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ماجستير في الابتكار وريادة الأعمال أو تخصص مشابه؛ خبرة في الابتكار الاجتماعي</w:t>
            </w:r>
          </w:p>
        </w:tc>
        <w:tc>
          <w:tcPr>
            <w:tcW w:w="1250" w:type="pct"/>
          </w:tcPr>
          <w:p w14:paraId="4449E1F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سنوات</w:t>
            </w:r>
          </w:p>
        </w:tc>
        <w:tc>
          <w:tcPr>
            <w:tcW w:w="1250" w:type="pct"/>
          </w:tcPr>
          <w:p w14:paraId="79455F0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w:t>
            </w:r>
          </w:p>
        </w:tc>
      </w:tr>
      <w:tr w14:paraId="511461A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51746CF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محلل مالي/مطور أعمال</w:t>
            </w:r>
          </w:p>
        </w:tc>
        <w:tc>
          <w:tcPr>
            <w:tcW w:w="1249" w:type="pct"/>
          </w:tcPr>
          <w:p w14:paraId="2B3709B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ماجستير مالية/اقتصاد/إدارة؛ خبرة في النمذجة المالية وإعداد الميزانيات</w:t>
            </w:r>
          </w:p>
        </w:tc>
        <w:tc>
          <w:tcPr>
            <w:tcW w:w="1250" w:type="pct"/>
          </w:tcPr>
          <w:p w14:paraId="02153C3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سنوات</w:t>
            </w:r>
          </w:p>
        </w:tc>
        <w:tc>
          <w:tcPr>
            <w:tcW w:w="1250" w:type="pct"/>
          </w:tcPr>
          <w:p w14:paraId="0F2A6C4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r>
    </w:tbl>
    <w:p w14:paraId="371A3157">
      <w:pPr>
        <w:bidi w:val="0"/>
        <w:spacing w:after="120" w:line="240" w:lineRule="auto"/>
        <w:jc w:val="right"/>
        <w:rPr>
          <w:rFonts w:hint="default"/>
          <w:b w:val="0"/>
          <w:color w:val="4A4A4A"/>
          <w:sz w:val="22"/>
          <w:lang w:val="en-GB"/>
        </w:rPr>
      </w:pPr>
    </w:p>
    <w:p w14:paraId="0A4028F5">
      <w:pPr>
        <w:pStyle w:val="2"/>
        <w:bidi w:val="0"/>
        <w:spacing w:before="0" w:after="120" w:line="240" w:lineRule="auto"/>
        <w:jc w:val="right"/>
        <w:rPr>
          <w:rFonts w:hint="default"/>
          <w:b/>
          <w:color w:val="2D2D2D"/>
          <w:sz w:val="28"/>
          <w:lang w:val="en-GB"/>
        </w:rPr>
      </w:pPr>
      <w:r>
        <w:rPr>
          <w:rFonts w:hint="default"/>
          <w:b/>
          <w:color w:val="2D2D2D"/>
          <w:sz w:val="28"/>
          <w:lang w:val="en-GB"/>
        </w:rPr>
        <w:t>خطة العمل والجدول الزمني والمعالم</w:t>
      </w:r>
    </w:p>
    <w:p w14:paraId="1DECEE2E">
      <w:pPr>
        <w:rPr>
          <w:rFonts w:hint="default"/>
          <w:lang w:val="en-GB"/>
        </w:rPr>
      </w:pPr>
    </w:p>
    <w:p w14:paraId="03435419">
      <w:pPr>
        <w:bidi w:val="0"/>
        <w:spacing w:after="120" w:line="240" w:lineRule="auto"/>
        <w:jc w:val="right"/>
        <w:rPr>
          <w:rFonts w:hint="default"/>
          <w:b w:val="0"/>
          <w:color w:val="4A4A4A"/>
          <w:sz w:val="22"/>
          <w:lang w:val="en-GB"/>
        </w:rPr>
      </w:pPr>
      <w:r>
        <w:rPr>
          <w:rFonts w:hint="default"/>
          <w:b w:val="0"/>
          <w:color w:val="4A4A4A"/>
          <w:sz w:val="22"/>
          <w:lang w:val="en-GB"/>
        </w:rPr>
        <w:t>مدة العقد 12 شهرًا ميلاديًا من توقيع العقد. تُقسّم الأعمال إلى مرحلتين: الأولى للدراسة والتحليل (20%) والثانية للتصميم والمواءمة (80%). يُعتمد التقدم عبر معالم مخرجات موثّقة ومعتمدة.</w:t>
      </w:r>
    </w:p>
    <w:p w14:paraId="5079FA34">
      <w:pPr>
        <w:bidi w:val="0"/>
        <w:spacing w:after="120" w:line="240" w:lineRule="auto"/>
        <w:jc w:val="right"/>
        <w:rPr>
          <w:rFonts w:hint="default"/>
          <w:b w:val="0"/>
          <w:color w:val="4A4A4A"/>
          <w:sz w:val="22"/>
          <w:lang w:val="en-GB"/>
        </w:rPr>
      </w:pPr>
    </w:p>
    <w:tbl>
      <w:tblPr>
        <w:tblStyle w:val="5"/>
        <w:tblW w:w="4998"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2308"/>
        <w:gridCol w:w="2308"/>
        <w:gridCol w:w="2311"/>
        <w:gridCol w:w="2311"/>
      </w:tblGrid>
      <w:tr w14:paraId="6A17E91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60EA6B36">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المرحلة/المعلم</w:t>
            </w:r>
          </w:p>
        </w:tc>
        <w:tc>
          <w:tcPr>
            <w:tcW w:w="1249" w:type="pct"/>
          </w:tcPr>
          <w:p w14:paraId="0763F5A5">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الوصف المختصر</w:t>
            </w:r>
          </w:p>
        </w:tc>
        <w:tc>
          <w:tcPr>
            <w:tcW w:w="1250" w:type="pct"/>
          </w:tcPr>
          <w:p w14:paraId="260A2453">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النسبة من المشروع</w:t>
            </w:r>
          </w:p>
        </w:tc>
        <w:tc>
          <w:tcPr>
            <w:tcW w:w="1250" w:type="pct"/>
          </w:tcPr>
          <w:p w14:paraId="3B01C42F">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الإطار الزمني التقريبي</w:t>
            </w:r>
          </w:p>
        </w:tc>
      </w:tr>
      <w:tr w14:paraId="6AFC13D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45BC585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المرحلة الأولى</w:t>
            </w:r>
          </w:p>
        </w:tc>
        <w:tc>
          <w:tcPr>
            <w:tcW w:w="1249" w:type="pct"/>
          </w:tcPr>
          <w:p w14:paraId="19B92A4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الدراسة والتحليل وربط المخرجات السابقة وتحليل أصحاب المصلحة والحوكمة والمقارنات المرجعية والإطار التصميمي</w:t>
            </w:r>
          </w:p>
        </w:tc>
        <w:tc>
          <w:tcPr>
            <w:tcW w:w="1250" w:type="pct"/>
          </w:tcPr>
          <w:p w14:paraId="27E2C8E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20%</w:t>
            </w:r>
          </w:p>
        </w:tc>
        <w:tc>
          <w:tcPr>
            <w:tcW w:w="1250" w:type="pct"/>
          </w:tcPr>
          <w:p w14:paraId="53867D0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الشهور 1–3</w:t>
            </w:r>
          </w:p>
        </w:tc>
      </w:tr>
      <w:tr w14:paraId="11E57ED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74F76B6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المرحلة الثانية</w:t>
            </w:r>
          </w:p>
        </w:tc>
        <w:tc>
          <w:tcPr>
            <w:tcW w:w="1249" w:type="pct"/>
          </w:tcPr>
          <w:p w14:paraId="226A5DC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الإطار الاستراتيجي, نظرية التغيير, الخرائط والمؤشرات, المبادرات والمشاريع ومسارات الإنعاش ودراسات الجدوى, النماذج التشغيلية والمالية, معمل الابتكار, خيارات التأسيس والشراكات</w:t>
            </w:r>
          </w:p>
        </w:tc>
        <w:tc>
          <w:tcPr>
            <w:tcW w:w="1250" w:type="pct"/>
          </w:tcPr>
          <w:p w14:paraId="149A65C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80%</w:t>
            </w:r>
          </w:p>
        </w:tc>
        <w:tc>
          <w:tcPr>
            <w:tcW w:w="1250" w:type="pct"/>
          </w:tcPr>
          <w:p w14:paraId="5335FF1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الشهور 4–12</w:t>
            </w:r>
          </w:p>
        </w:tc>
      </w:tr>
      <w:tr w14:paraId="6E00D74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002D9D5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معلم رئيسي</w:t>
            </w:r>
          </w:p>
        </w:tc>
        <w:tc>
          <w:tcPr>
            <w:tcW w:w="1249" w:type="pct"/>
          </w:tcPr>
          <w:p w14:paraId="482CC67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اعتماد وثائق المرحلة الأولى</w:t>
            </w:r>
          </w:p>
        </w:tc>
        <w:tc>
          <w:tcPr>
            <w:tcW w:w="1250" w:type="pct"/>
          </w:tcPr>
          <w:p w14:paraId="65FB5A7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w:t>
            </w:r>
          </w:p>
        </w:tc>
        <w:tc>
          <w:tcPr>
            <w:tcW w:w="1250" w:type="pct"/>
          </w:tcPr>
          <w:p w14:paraId="678CCF4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نهاية الشهر 3</w:t>
            </w:r>
          </w:p>
        </w:tc>
      </w:tr>
      <w:tr w14:paraId="43071AF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53EF51D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معلم رئيسي</w:t>
            </w:r>
          </w:p>
        </w:tc>
        <w:tc>
          <w:tcPr>
            <w:tcW w:w="1249" w:type="pct"/>
          </w:tcPr>
          <w:p w14:paraId="754D240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اعتماد الإطار الاستراتيجي والخرائط والمؤشرات لكل قرية</w:t>
            </w:r>
          </w:p>
        </w:tc>
        <w:tc>
          <w:tcPr>
            <w:tcW w:w="1250" w:type="pct"/>
          </w:tcPr>
          <w:p w14:paraId="61C28BE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w:t>
            </w:r>
          </w:p>
        </w:tc>
        <w:tc>
          <w:tcPr>
            <w:tcW w:w="1250" w:type="pct"/>
          </w:tcPr>
          <w:p w14:paraId="2D3D2BD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منتصف المرحلة الثانية</w:t>
            </w:r>
          </w:p>
        </w:tc>
      </w:tr>
      <w:tr w14:paraId="77CB0CB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0696E7F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معلم رئيسي</w:t>
            </w:r>
          </w:p>
        </w:tc>
        <w:tc>
          <w:tcPr>
            <w:tcW w:w="1249" w:type="pct"/>
          </w:tcPr>
          <w:p w14:paraId="3476129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تشغيل المنصة الرقمية لمعمل الابتكار الاجتماعي</w:t>
            </w:r>
          </w:p>
        </w:tc>
        <w:tc>
          <w:tcPr>
            <w:tcW w:w="1250" w:type="pct"/>
          </w:tcPr>
          <w:p w14:paraId="0D27927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w:t>
            </w:r>
          </w:p>
        </w:tc>
        <w:tc>
          <w:tcPr>
            <w:tcW w:w="1250" w:type="pct"/>
          </w:tcPr>
          <w:p w14:paraId="342BCBF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ضمن المرحلة الثانية</w:t>
            </w:r>
          </w:p>
        </w:tc>
      </w:tr>
      <w:tr w14:paraId="63C717E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52F2CFA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معلم ختامي</w:t>
            </w:r>
          </w:p>
        </w:tc>
        <w:tc>
          <w:tcPr>
            <w:tcW w:w="1249" w:type="pct"/>
          </w:tcPr>
          <w:p w14:paraId="291B16C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اعتماد جميع المخرجات وتسليم التقارير النهائية</w:t>
            </w:r>
          </w:p>
        </w:tc>
        <w:tc>
          <w:tcPr>
            <w:tcW w:w="1250" w:type="pct"/>
          </w:tcPr>
          <w:p w14:paraId="12767DD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w:t>
            </w:r>
          </w:p>
        </w:tc>
        <w:tc>
          <w:tcPr>
            <w:tcW w:w="1250" w:type="pct"/>
          </w:tcPr>
          <w:p w14:paraId="1BA6C83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نهاية الشهر 12</w:t>
            </w:r>
          </w:p>
        </w:tc>
      </w:tr>
    </w:tbl>
    <w:p w14:paraId="72BAA83A">
      <w:pPr>
        <w:bidi w:val="0"/>
        <w:spacing w:after="120" w:line="240" w:lineRule="auto"/>
        <w:jc w:val="right"/>
        <w:rPr>
          <w:rFonts w:hint="default"/>
          <w:b w:val="0"/>
          <w:color w:val="4A4A4A"/>
          <w:sz w:val="22"/>
          <w:lang w:val="en-GB"/>
        </w:rPr>
      </w:pPr>
    </w:p>
    <w:p w14:paraId="42827489">
      <w:pPr>
        <w:pStyle w:val="2"/>
        <w:bidi w:val="0"/>
        <w:spacing w:before="0" w:after="120" w:line="240" w:lineRule="auto"/>
        <w:jc w:val="right"/>
        <w:rPr>
          <w:rFonts w:hint="default"/>
          <w:b/>
          <w:color w:val="2D2D2D"/>
          <w:sz w:val="28"/>
          <w:lang w:val="en-GB"/>
        </w:rPr>
      </w:pPr>
      <w:r>
        <w:rPr>
          <w:rFonts w:hint="default"/>
          <w:b/>
          <w:color w:val="2D2D2D"/>
          <w:sz w:val="28"/>
          <w:lang w:val="en-GB"/>
        </w:rPr>
        <w:t>ضمان الجودة وإدارة المخاطر</w:t>
      </w:r>
    </w:p>
    <w:p w14:paraId="028BCC0B">
      <w:pPr>
        <w:rPr>
          <w:rFonts w:hint="default"/>
          <w:lang w:val="en-GB"/>
        </w:rPr>
      </w:pPr>
    </w:p>
    <w:p w14:paraId="2493A77C">
      <w:pPr>
        <w:bidi w:val="0"/>
        <w:spacing w:after="120" w:line="240" w:lineRule="auto"/>
        <w:jc w:val="right"/>
        <w:rPr>
          <w:rFonts w:hint="default"/>
          <w:b w:val="0"/>
          <w:color w:val="4A4A4A"/>
          <w:sz w:val="22"/>
          <w:lang w:val="en-GB"/>
        </w:rPr>
      </w:pPr>
      <w:r>
        <w:rPr>
          <w:rFonts w:hint="default"/>
          <w:b w:val="0"/>
          <w:color w:val="4A4A4A"/>
          <w:sz w:val="22"/>
          <w:lang w:val="en-GB"/>
        </w:rPr>
        <w:t>تتضمن خطة ضمان الجودة إجراءات ضبط جودة على كل مخرج, ومراجعات فنية داخلية واعتمادات مرحلية من الجهة. تُدار المخاطر عبر سجل محدث يشمل: تأخر الاعتمادات, توفر البيانات, مشاركة أصحاب المصلحة, وتعقيد التنسيق. خطط الاستجابة تشمل: تخطيط توافقي مبكر, جداول ورش مجدولة, قنوات اعتماد واضحة, ومسارات إنعاش للمشاريع لضمان تحقيق الأثر. تُراعى متطلبات السلامة والبيئة وفق الأنظمة المطبقة, مع الالتزام بأعلى ممارسات مهنية خلال التنفيذ.</w:t>
      </w:r>
    </w:p>
    <w:p w14:paraId="6F42AB85">
      <w:pPr>
        <w:bidi w:val="0"/>
        <w:spacing w:after="120" w:line="240" w:lineRule="auto"/>
        <w:jc w:val="right"/>
        <w:rPr>
          <w:rFonts w:hint="default"/>
          <w:b w:val="0"/>
          <w:color w:val="4A4A4A"/>
          <w:sz w:val="22"/>
          <w:lang w:val="en-GB"/>
        </w:rPr>
      </w:pPr>
    </w:p>
    <w:p w14:paraId="40962475">
      <w:pPr>
        <w:pStyle w:val="2"/>
        <w:bidi w:val="0"/>
        <w:spacing w:before="0" w:after="120" w:line="240" w:lineRule="auto"/>
        <w:jc w:val="right"/>
        <w:rPr>
          <w:rFonts w:hint="default"/>
          <w:b/>
          <w:color w:val="2D2D2D"/>
          <w:sz w:val="28"/>
          <w:lang w:val="en-GB"/>
        </w:rPr>
      </w:pPr>
      <w:r>
        <w:rPr>
          <w:rFonts w:hint="default"/>
          <w:b/>
          <w:color w:val="2D2D2D"/>
          <w:sz w:val="28"/>
          <w:lang w:val="en-GB"/>
        </w:rPr>
        <w:t>مؤشرات الأداء ومستويات الخدمة</w:t>
      </w:r>
    </w:p>
    <w:p w14:paraId="499F6CDC">
      <w:pPr>
        <w:rPr>
          <w:rFonts w:hint="default"/>
          <w:lang w:val="en-GB"/>
        </w:rPr>
      </w:pPr>
    </w:p>
    <w:p w14:paraId="3C6D464D">
      <w:pPr>
        <w:bidi w:val="0"/>
        <w:spacing w:after="120" w:line="240" w:lineRule="auto"/>
        <w:jc w:val="right"/>
        <w:rPr>
          <w:rFonts w:hint="default"/>
          <w:b w:val="0"/>
          <w:color w:val="4A4A4A"/>
          <w:sz w:val="22"/>
          <w:lang w:val="en-GB"/>
        </w:rPr>
      </w:pPr>
      <w:r>
        <w:rPr>
          <w:rFonts w:hint="default"/>
          <w:b w:val="0"/>
          <w:color w:val="4A4A4A"/>
          <w:sz w:val="22"/>
          <w:lang w:val="en-GB"/>
        </w:rPr>
        <w:t>سيجري قياس الأداء عبر محفظة مؤشرات تغطي الالتزام الزمني والجودة وقابلية التنفيذ والأثر, بما يضمن تحقيق المستهدفات التنموية للقرى المختارة.</w:t>
      </w:r>
    </w:p>
    <w:p w14:paraId="12799EE6">
      <w:pPr>
        <w:bidi w:val="0"/>
        <w:spacing w:after="120" w:line="240" w:lineRule="auto"/>
        <w:jc w:val="right"/>
        <w:rPr>
          <w:rFonts w:hint="default"/>
          <w:b w:val="0"/>
          <w:color w:val="4A4A4A"/>
          <w:sz w:val="22"/>
          <w:lang w:val="en-GB"/>
        </w:rPr>
      </w:pPr>
    </w:p>
    <w:p w14:paraId="61C34C60">
      <w:pPr>
        <w:bidi w:val="0"/>
        <w:spacing w:after="120" w:line="240" w:lineRule="auto"/>
        <w:jc w:val="right"/>
        <w:rPr>
          <w:rFonts w:hint="default"/>
          <w:b w:val="0"/>
          <w:color w:val="4A4A4A"/>
          <w:sz w:val="22"/>
          <w:lang w:val="en-GB"/>
        </w:rPr>
      </w:pPr>
      <w:r>
        <w:rPr>
          <w:rFonts w:hint="default"/>
          <w:b w:val="0"/>
          <w:color w:val="4A4A4A"/>
          <w:sz w:val="22"/>
          <w:lang w:val="en-GB"/>
        </w:rPr>
        <w:t>- الالتزام بالمواعيد والمعالم المعتمدة للمخرجات.</w:t>
      </w:r>
    </w:p>
    <w:p w14:paraId="31A12138">
      <w:pPr>
        <w:bidi w:val="0"/>
        <w:spacing w:after="120" w:line="240" w:lineRule="auto"/>
        <w:jc w:val="right"/>
        <w:rPr>
          <w:rFonts w:hint="default"/>
          <w:b w:val="0"/>
          <w:color w:val="4A4A4A"/>
          <w:sz w:val="22"/>
          <w:lang w:val="en-GB"/>
        </w:rPr>
      </w:pPr>
    </w:p>
    <w:p w14:paraId="0F4F5CB8">
      <w:pPr>
        <w:bidi w:val="0"/>
        <w:spacing w:after="120" w:line="240" w:lineRule="auto"/>
        <w:jc w:val="right"/>
        <w:rPr>
          <w:rFonts w:hint="default"/>
          <w:b w:val="0"/>
          <w:color w:val="4A4A4A"/>
          <w:sz w:val="22"/>
          <w:lang w:val="en-GB"/>
        </w:rPr>
      </w:pPr>
      <w:r>
        <w:rPr>
          <w:rFonts w:hint="default"/>
          <w:b w:val="0"/>
          <w:color w:val="4A4A4A"/>
          <w:sz w:val="22"/>
          <w:lang w:val="en-GB"/>
        </w:rPr>
        <w:t>- قبول المخرجات دون ملاحظات جوهرية بعد المراجعة.</w:t>
      </w:r>
    </w:p>
    <w:p w14:paraId="241A8D7D">
      <w:pPr>
        <w:bidi w:val="0"/>
        <w:spacing w:after="120" w:line="240" w:lineRule="auto"/>
        <w:jc w:val="right"/>
        <w:rPr>
          <w:rFonts w:hint="default"/>
          <w:b w:val="0"/>
          <w:color w:val="4A4A4A"/>
          <w:sz w:val="22"/>
          <w:lang w:val="en-GB"/>
        </w:rPr>
      </w:pPr>
    </w:p>
    <w:p w14:paraId="72F24E13">
      <w:pPr>
        <w:bidi w:val="0"/>
        <w:spacing w:after="120" w:line="240" w:lineRule="auto"/>
        <w:jc w:val="right"/>
        <w:rPr>
          <w:rFonts w:hint="default"/>
          <w:b w:val="0"/>
          <w:color w:val="4A4A4A"/>
          <w:sz w:val="22"/>
          <w:lang w:val="en-GB"/>
        </w:rPr>
      </w:pPr>
      <w:r>
        <w:rPr>
          <w:rFonts w:hint="default"/>
          <w:b w:val="0"/>
          <w:color w:val="4A4A4A"/>
          <w:sz w:val="22"/>
          <w:lang w:val="en-GB"/>
        </w:rPr>
        <w:t>- اكتمال وثائق الإطار الاستراتيجي والخرائط والمؤشرات لكل قرية.</w:t>
      </w:r>
    </w:p>
    <w:p w14:paraId="5CEBFD84">
      <w:pPr>
        <w:bidi w:val="0"/>
        <w:spacing w:after="120" w:line="240" w:lineRule="auto"/>
        <w:jc w:val="right"/>
        <w:rPr>
          <w:rFonts w:hint="default"/>
          <w:b w:val="0"/>
          <w:color w:val="4A4A4A"/>
          <w:sz w:val="22"/>
          <w:lang w:val="en-GB"/>
        </w:rPr>
      </w:pPr>
    </w:p>
    <w:p w14:paraId="0609977D">
      <w:pPr>
        <w:bidi w:val="0"/>
        <w:spacing w:after="120" w:line="240" w:lineRule="auto"/>
        <w:jc w:val="right"/>
        <w:rPr>
          <w:rFonts w:hint="default"/>
          <w:b w:val="0"/>
          <w:color w:val="4A4A4A"/>
          <w:sz w:val="22"/>
          <w:lang w:val="en-GB"/>
        </w:rPr>
      </w:pPr>
      <w:r>
        <w:rPr>
          <w:rFonts w:hint="default"/>
          <w:b w:val="0"/>
          <w:color w:val="4A4A4A"/>
          <w:sz w:val="22"/>
          <w:lang w:val="en-GB"/>
        </w:rPr>
        <w:t>- تشغيل المنصة الرقمية لمعمل الابتكار الاجتماعي وإتاحة وظائفها الأساسية.</w:t>
      </w:r>
    </w:p>
    <w:p w14:paraId="687F44B4">
      <w:pPr>
        <w:bidi w:val="0"/>
        <w:spacing w:after="120" w:line="240" w:lineRule="auto"/>
        <w:jc w:val="right"/>
        <w:rPr>
          <w:rFonts w:hint="default"/>
          <w:b w:val="0"/>
          <w:color w:val="4A4A4A"/>
          <w:sz w:val="22"/>
          <w:lang w:val="en-GB"/>
        </w:rPr>
      </w:pPr>
    </w:p>
    <w:p w14:paraId="730D60CA">
      <w:pPr>
        <w:bidi w:val="0"/>
        <w:spacing w:after="120" w:line="240" w:lineRule="auto"/>
        <w:jc w:val="right"/>
        <w:rPr>
          <w:rFonts w:hint="default"/>
          <w:b w:val="0"/>
          <w:color w:val="4A4A4A"/>
          <w:sz w:val="22"/>
          <w:lang w:val="en-GB"/>
        </w:rPr>
      </w:pPr>
      <w:r>
        <w:rPr>
          <w:rFonts w:hint="default"/>
          <w:b w:val="0"/>
          <w:color w:val="4A4A4A"/>
          <w:sz w:val="22"/>
          <w:lang w:val="en-GB"/>
        </w:rPr>
        <w:t>- توثيق الشراكات وخطط التواصل ذات الصلة.</w:t>
      </w:r>
    </w:p>
    <w:p w14:paraId="3DEDCEBC">
      <w:pPr>
        <w:bidi w:val="0"/>
        <w:spacing w:after="120" w:line="240" w:lineRule="auto"/>
        <w:jc w:val="right"/>
        <w:rPr>
          <w:rFonts w:hint="default"/>
          <w:b w:val="0"/>
          <w:color w:val="4A4A4A"/>
          <w:sz w:val="22"/>
          <w:lang w:val="en-GB"/>
        </w:rPr>
      </w:pPr>
    </w:p>
    <w:p w14:paraId="6B43878A">
      <w:pPr>
        <w:bidi w:val="0"/>
        <w:spacing w:after="120" w:line="240" w:lineRule="auto"/>
        <w:jc w:val="right"/>
        <w:rPr>
          <w:rFonts w:hint="default"/>
          <w:b w:val="0"/>
          <w:color w:val="4A4A4A"/>
          <w:sz w:val="22"/>
          <w:lang w:val="en-GB"/>
        </w:rPr>
      </w:pPr>
      <w:r>
        <w:rPr>
          <w:rFonts w:hint="default"/>
          <w:b w:val="0"/>
          <w:color w:val="4A4A4A"/>
          <w:sz w:val="22"/>
          <w:lang w:val="en-GB"/>
        </w:rPr>
        <w:t>- تحقيق جاهزية المبادرات والمشاريع بمستندات تنفيذية ودراسات جدوى عند الحاجة.</w:t>
      </w:r>
    </w:p>
    <w:p w14:paraId="49AEE986">
      <w:pPr>
        <w:bidi w:val="0"/>
        <w:spacing w:after="120" w:line="240" w:lineRule="auto"/>
        <w:jc w:val="right"/>
        <w:rPr>
          <w:rFonts w:hint="default"/>
          <w:b w:val="0"/>
          <w:color w:val="4A4A4A"/>
          <w:sz w:val="22"/>
          <w:lang w:val="en-GB"/>
        </w:rPr>
      </w:pPr>
    </w:p>
    <w:p w14:paraId="257BD3D7">
      <w:pPr>
        <w:pStyle w:val="2"/>
        <w:bidi w:val="0"/>
        <w:spacing w:before="0" w:after="120" w:line="240" w:lineRule="auto"/>
        <w:jc w:val="right"/>
        <w:rPr>
          <w:rFonts w:hint="default"/>
          <w:b/>
          <w:color w:val="2D2D2D"/>
          <w:sz w:val="28"/>
          <w:lang w:val="en-GB"/>
        </w:rPr>
      </w:pPr>
      <w:r>
        <w:rPr>
          <w:rFonts w:hint="default"/>
          <w:b/>
          <w:color w:val="2D2D2D"/>
          <w:sz w:val="28"/>
          <w:lang w:val="en-GB"/>
        </w:rPr>
        <w:t>خصوصية البيانات والأمن وحقوق الملكية الفكرية</w:t>
      </w:r>
    </w:p>
    <w:p w14:paraId="352C6F9C">
      <w:pPr>
        <w:rPr>
          <w:rFonts w:hint="default"/>
          <w:lang w:val="en-GB"/>
        </w:rPr>
      </w:pPr>
    </w:p>
    <w:p w14:paraId="20EBDB8A">
      <w:pPr>
        <w:bidi w:val="0"/>
        <w:spacing w:after="120" w:line="240" w:lineRule="auto"/>
        <w:jc w:val="right"/>
        <w:rPr>
          <w:rFonts w:hint="default"/>
          <w:b w:val="0"/>
          <w:color w:val="4A4A4A"/>
          <w:sz w:val="22"/>
          <w:lang w:val="en-GB"/>
        </w:rPr>
      </w:pPr>
      <w:r>
        <w:rPr>
          <w:rFonts w:hint="default"/>
          <w:b w:val="0"/>
          <w:color w:val="4A4A4A"/>
          <w:sz w:val="22"/>
          <w:lang w:val="en-GB"/>
        </w:rPr>
        <w:t>تُدار جميع البيانات والمعلومات في حدود عقد المشروع ومقتضياته, مع استخدامها فقط لأغراض التنفيذ, وحفظها وتسليمها وفق ما يُتفق عليه تعاقديًا. تؤول حقوق الملكية الفكرية للمخرجات للجهة وفق شروط العقد. لا يتم الإفصاح عن المعلومات إلا بالقدر اللازم للتنفيذ وبعد موافقات الجهة.</w:t>
      </w:r>
    </w:p>
    <w:p w14:paraId="51FEFA65">
      <w:pPr>
        <w:bidi w:val="0"/>
        <w:spacing w:after="120" w:line="240" w:lineRule="auto"/>
        <w:jc w:val="right"/>
        <w:rPr>
          <w:rFonts w:hint="default"/>
          <w:b w:val="0"/>
          <w:color w:val="4A4A4A"/>
          <w:sz w:val="22"/>
          <w:lang w:val="en-GB"/>
        </w:rPr>
      </w:pPr>
    </w:p>
    <w:p w14:paraId="085FEADF">
      <w:pPr>
        <w:pStyle w:val="2"/>
        <w:bidi w:val="0"/>
        <w:spacing w:before="0" w:after="120" w:line="240" w:lineRule="auto"/>
        <w:jc w:val="right"/>
        <w:rPr>
          <w:rFonts w:hint="default"/>
          <w:b/>
          <w:color w:val="2D2D2D"/>
          <w:sz w:val="28"/>
          <w:lang w:val="en-GB"/>
        </w:rPr>
      </w:pPr>
      <w:r>
        <w:rPr>
          <w:rFonts w:hint="default"/>
          <w:b/>
          <w:color w:val="2D2D2D"/>
          <w:sz w:val="28"/>
          <w:lang w:val="en-GB"/>
        </w:rPr>
        <w:t>الامتثال لمتطلبات طلب تقديم العروض</w:t>
      </w:r>
    </w:p>
    <w:p w14:paraId="42311771">
      <w:pPr>
        <w:rPr>
          <w:rFonts w:hint="default"/>
          <w:lang w:val="en-GB"/>
        </w:rPr>
      </w:pPr>
    </w:p>
    <w:p w14:paraId="18846294">
      <w:pPr>
        <w:bidi w:val="0"/>
        <w:spacing w:after="120" w:line="240" w:lineRule="auto"/>
        <w:jc w:val="right"/>
        <w:rPr>
          <w:rFonts w:hint="default"/>
          <w:b w:val="0"/>
          <w:color w:val="4A4A4A"/>
          <w:sz w:val="22"/>
          <w:lang w:val="en-GB"/>
        </w:rPr>
      </w:pPr>
      <w:r>
        <w:rPr>
          <w:rFonts w:hint="default"/>
          <w:b w:val="0"/>
          <w:color w:val="4A4A4A"/>
          <w:sz w:val="22"/>
          <w:lang w:val="en-GB"/>
        </w:rPr>
        <w:t>يلتزم هذا العرض بمتطلبات العقد والمواصفات: مدة التنفيذ 12 شهرًا؛ مرحلتان وفق النسب المحددة؛ تسليم جميع الوثائق الواردة في نطاق العمل؛ تشكيل فريق بالمؤهلات والخبرات الدنيا المحددة؛ الالتزام بخطة ضمان الجودة والسلامة؛ القبول بالغرامات وآلية التعاقد والضمان النهائي وفق وثائق المنافسة.</w:t>
      </w:r>
    </w:p>
    <w:p w14:paraId="7A5977A3">
      <w:pPr>
        <w:bidi w:val="0"/>
        <w:spacing w:after="120" w:line="240" w:lineRule="auto"/>
        <w:jc w:val="right"/>
        <w:rPr>
          <w:rFonts w:hint="default"/>
          <w:b w:val="0"/>
          <w:color w:val="4A4A4A"/>
          <w:sz w:val="22"/>
          <w:lang w:val="en-GB"/>
        </w:rPr>
      </w:pPr>
    </w:p>
    <w:p w14:paraId="0AF067A9">
      <w:pPr>
        <w:pStyle w:val="2"/>
        <w:bidi w:val="0"/>
        <w:spacing w:before="0" w:after="120" w:line="240" w:lineRule="auto"/>
        <w:jc w:val="right"/>
        <w:rPr>
          <w:rFonts w:hint="default"/>
          <w:b/>
          <w:color w:val="2D2D2D"/>
          <w:sz w:val="28"/>
          <w:lang w:val="en-GB"/>
        </w:rPr>
      </w:pPr>
      <w:r>
        <w:rPr>
          <w:rFonts w:hint="default"/>
          <w:b/>
          <w:color w:val="2D2D2D"/>
          <w:sz w:val="28"/>
          <w:lang w:val="en-GB"/>
        </w:rPr>
        <w:t>ملخص المخرجات</w:t>
      </w:r>
    </w:p>
    <w:p w14:paraId="36EFA46A">
      <w:pPr>
        <w:rPr>
          <w:rFonts w:hint="default"/>
          <w:lang w:val="en-GB"/>
        </w:rPr>
      </w:pPr>
    </w:p>
    <w:p w14:paraId="3EAF0943">
      <w:pPr>
        <w:bidi w:val="0"/>
        <w:spacing w:after="120" w:line="240" w:lineRule="auto"/>
        <w:jc w:val="right"/>
        <w:rPr>
          <w:rFonts w:hint="default"/>
          <w:b w:val="0"/>
          <w:color w:val="4A4A4A"/>
          <w:sz w:val="22"/>
          <w:lang w:val="en-GB"/>
        </w:rPr>
      </w:pPr>
      <w:r>
        <w:rPr>
          <w:rFonts w:hint="default"/>
          <w:b w:val="0"/>
          <w:color w:val="4A4A4A"/>
          <w:sz w:val="22"/>
          <w:lang w:val="en-GB"/>
        </w:rPr>
        <w:t>سيتم إعداد وتسليم وثائق متكاملة بحسب نطاق العمل المفصل والجدول المعتمد.</w:t>
      </w:r>
    </w:p>
    <w:p w14:paraId="18441F13">
      <w:pPr>
        <w:bidi w:val="0"/>
        <w:spacing w:after="120" w:line="240" w:lineRule="auto"/>
        <w:jc w:val="right"/>
        <w:rPr>
          <w:rFonts w:hint="default"/>
          <w:b w:val="0"/>
          <w:color w:val="4A4A4A"/>
          <w:sz w:val="22"/>
          <w:lang w:val="en-GB"/>
        </w:rPr>
      </w:pPr>
    </w:p>
    <w:tbl>
      <w:tblPr>
        <w:tblStyle w:val="5"/>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63A3A23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1665" w:type="pct"/>
          </w:tcPr>
          <w:p w14:paraId="579CF2D4">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رقم</w:t>
            </w:r>
          </w:p>
        </w:tc>
        <w:tc>
          <w:tcPr>
            <w:tcW w:w="1667" w:type="pct"/>
          </w:tcPr>
          <w:p w14:paraId="653CC5A7">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المخرج</w:t>
            </w:r>
          </w:p>
        </w:tc>
        <w:tc>
          <w:tcPr>
            <w:tcW w:w="1667" w:type="pct"/>
          </w:tcPr>
          <w:p w14:paraId="14A90584">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وصف مختصر</w:t>
            </w:r>
          </w:p>
        </w:tc>
      </w:tr>
      <w:tr w14:paraId="4D9B7AF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1A0E0A4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c>
          <w:tcPr>
            <w:tcW w:w="1667" w:type="pct"/>
          </w:tcPr>
          <w:p w14:paraId="762A5B4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ربط مشروع دراسة الاحتياجات وتقييم القدرات</w:t>
            </w:r>
          </w:p>
        </w:tc>
        <w:tc>
          <w:tcPr>
            <w:tcW w:w="1667" w:type="pct"/>
          </w:tcPr>
          <w:p w14:paraId="43A7C8F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مواءمة المخرجات السابقة مع أهداف المشروع</w:t>
            </w:r>
          </w:p>
        </w:tc>
      </w:tr>
      <w:tr w14:paraId="24F9312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0688950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2</w:t>
            </w:r>
          </w:p>
        </w:tc>
        <w:tc>
          <w:tcPr>
            <w:tcW w:w="1667" w:type="pct"/>
          </w:tcPr>
          <w:p w14:paraId="16430C5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تحليل أصحاب المصلحة وإطار الحوكمة</w:t>
            </w:r>
          </w:p>
        </w:tc>
        <w:tc>
          <w:tcPr>
            <w:tcW w:w="1667" w:type="pct"/>
          </w:tcPr>
          <w:p w14:paraId="6FD253F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تحليل الجهات المؤثرة ومسارات الحوكمة للقرى المختارة</w:t>
            </w:r>
          </w:p>
        </w:tc>
      </w:tr>
      <w:tr w14:paraId="55A9CCA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2A60258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w:t>
            </w:r>
          </w:p>
        </w:tc>
        <w:tc>
          <w:tcPr>
            <w:tcW w:w="1667" w:type="pct"/>
          </w:tcPr>
          <w:p w14:paraId="3BAC627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حصر المبادرات والمشاريع ذات الصلة</w:t>
            </w:r>
          </w:p>
        </w:tc>
        <w:tc>
          <w:tcPr>
            <w:tcW w:w="1667" w:type="pct"/>
          </w:tcPr>
          <w:p w14:paraId="72CE7A3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توثيق الأعمال الحكومية وغيرها المرتبطة بالقرى</w:t>
            </w:r>
          </w:p>
        </w:tc>
      </w:tr>
      <w:tr w14:paraId="46EF28F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2965E49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4</w:t>
            </w:r>
          </w:p>
        </w:tc>
        <w:tc>
          <w:tcPr>
            <w:tcW w:w="1667" w:type="pct"/>
          </w:tcPr>
          <w:p w14:paraId="68C97D7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الإطار التصميمي للحلول المؤثرة</w:t>
            </w:r>
          </w:p>
        </w:tc>
        <w:tc>
          <w:tcPr>
            <w:tcW w:w="1667" w:type="pct"/>
          </w:tcPr>
          <w:p w14:paraId="0D70750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سجل مبادرات وحلول مقترحة لتحقيق مستهدفات القطاع غير الربحي</w:t>
            </w:r>
          </w:p>
        </w:tc>
      </w:tr>
      <w:tr w14:paraId="56C413A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63C8458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w:t>
            </w:r>
          </w:p>
        </w:tc>
        <w:tc>
          <w:tcPr>
            <w:tcW w:w="1667" w:type="pct"/>
          </w:tcPr>
          <w:p w14:paraId="3F8ADBD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إطار الاستراتيجية للقرى التنموية غير الربحية</w:t>
            </w:r>
          </w:p>
        </w:tc>
        <w:tc>
          <w:tcPr>
            <w:tcW w:w="1667" w:type="pct"/>
          </w:tcPr>
          <w:p w14:paraId="34692CE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إطار توجيهي وطني متكامل</w:t>
            </w:r>
          </w:p>
        </w:tc>
      </w:tr>
      <w:tr w14:paraId="3EFECFC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683C61B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6</w:t>
            </w:r>
          </w:p>
        </w:tc>
        <w:tc>
          <w:tcPr>
            <w:tcW w:w="1667" w:type="pct"/>
          </w:tcPr>
          <w:p w14:paraId="0F33940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الخريطة الاستراتيجية</w:t>
            </w:r>
          </w:p>
        </w:tc>
        <w:tc>
          <w:tcPr>
            <w:tcW w:w="1667" w:type="pct"/>
          </w:tcPr>
          <w:p w14:paraId="1691268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خرائط أهداف مترابطة لكل قرية</w:t>
            </w:r>
          </w:p>
        </w:tc>
      </w:tr>
      <w:tr w14:paraId="271547F0">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596CE11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7</w:t>
            </w:r>
          </w:p>
        </w:tc>
        <w:tc>
          <w:tcPr>
            <w:tcW w:w="1667" w:type="pct"/>
          </w:tcPr>
          <w:p w14:paraId="1CFB9F3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المبادرات الاستراتيجية والمشاريع</w:t>
            </w:r>
          </w:p>
        </w:tc>
        <w:tc>
          <w:tcPr>
            <w:tcW w:w="1667" w:type="pct"/>
          </w:tcPr>
          <w:p w14:paraId="43D35A2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قوائم مبادرات ومشاريع ومسارات إنعاش وخطط عمل</w:t>
            </w:r>
          </w:p>
        </w:tc>
      </w:tr>
      <w:tr w14:paraId="6D4206C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59809D4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8</w:t>
            </w:r>
          </w:p>
        </w:tc>
        <w:tc>
          <w:tcPr>
            <w:tcW w:w="1667" w:type="pct"/>
          </w:tcPr>
          <w:p w14:paraId="510B5CE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نموذج العمل</w:t>
            </w:r>
          </w:p>
        </w:tc>
        <w:tc>
          <w:tcPr>
            <w:tcW w:w="1667" w:type="pct"/>
          </w:tcPr>
          <w:p w14:paraId="5575B2F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بدائل ونموذج عمل أمثل لكل قرية</w:t>
            </w:r>
          </w:p>
        </w:tc>
      </w:tr>
      <w:tr w14:paraId="42C2CB5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0CCA091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9</w:t>
            </w:r>
          </w:p>
        </w:tc>
        <w:tc>
          <w:tcPr>
            <w:tcW w:w="1667" w:type="pct"/>
          </w:tcPr>
          <w:p w14:paraId="7E90A50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النموذج التشغيلي</w:t>
            </w:r>
          </w:p>
        </w:tc>
        <w:tc>
          <w:tcPr>
            <w:tcW w:w="1667" w:type="pct"/>
          </w:tcPr>
          <w:p w14:paraId="542C180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هيكلة تشغيلية وأدوار ومسؤوليات وممكنات</w:t>
            </w:r>
          </w:p>
        </w:tc>
      </w:tr>
      <w:tr w14:paraId="7AF592A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1CD1F57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w:t>
            </w:r>
          </w:p>
        </w:tc>
        <w:tc>
          <w:tcPr>
            <w:tcW w:w="1667" w:type="pct"/>
          </w:tcPr>
          <w:p w14:paraId="510FBB3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تقرير تصميم وتنفيذ معمل الابتكار الاجتماعي</w:t>
            </w:r>
          </w:p>
        </w:tc>
        <w:tc>
          <w:tcPr>
            <w:tcW w:w="1667" w:type="pct"/>
          </w:tcPr>
          <w:p w14:paraId="3AAF3DE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تصميم المعمل وبنيته الرقمية وخطة التشغيل</w:t>
            </w:r>
          </w:p>
        </w:tc>
      </w:tr>
      <w:tr w14:paraId="25FEDCF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0C09D23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11</w:t>
            </w:r>
          </w:p>
        </w:tc>
        <w:tc>
          <w:tcPr>
            <w:tcW w:w="1667" w:type="pct"/>
          </w:tcPr>
          <w:p w14:paraId="63B0BF3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تقرير خيارات تأسيس جهات غير ربحية</w:t>
            </w:r>
          </w:p>
        </w:tc>
        <w:tc>
          <w:tcPr>
            <w:tcW w:w="1667" w:type="pct"/>
          </w:tcPr>
          <w:p w14:paraId="04CDA9E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الخيارات القانونية والتنظيمية والتمويلية</w:t>
            </w:r>
          </w:p>
        </w:tc>
      </w:tr>
      <w:tr w14:paraId="23B800F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3430517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12</w:t>
            </w:r>
          </w:p>
        </w:tc>
        <w:tc>
          <w:tcPr>
            <w:tcW w:w="1667" w:type="pct"/>
          </w:tcPr>
          <w:p w14:paraId="03E3730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تقرير إطار الشراكات</w:t>
            </w:r>
          </w:p>
        </w:tc>
        <w:tc>
          <w:tcPr>
            <w:tcW w:w="1667" w:type="pct"/>
          </w:tcPr>
          <w:p w14:paraId="3B751C8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الشركاء المحتملون والأدوار وخطة التواصل</w:t>
            </w:r>
          </w:p>
        </w:tc>
      </w:tr>
    </w:tbl>
    <w:p w14:paraId="63AA525B">
      <w:pPr>
        <w:bidi w:val="0"/>
        <w:spacing w:after="120" w:line="240" w:lineRule="auto"/>
        <w:jc w:val="right"/>
        <w:rPr>
          <w:rFonts w:hint="default"/>
          <w:b w:val="0"/>
          <w:color w:val="4A4A4A"/>
          <w:sz w:val="22"/>
          <w:lang w:val="en-GB"/>
        </w:rPr>
      </w:pPr>
    </w:p>
    <w:p w14:paraId="3F65B412">
      <w:pPr>
        <w:pStyle w:val="2"/>
        <w:bidi w:val="0"/>
        <w:spacing w:before="0" w:after="120" w:line="240" w:lineRule="auto"/>
        <w:jc w:val="right"/>
        <w:rPr>
          <w:rFonts w:hint="default"/>
          <w:b/>
          <w:color w:val="2D2D2D"/>
          <w:sz w:val="28"/>
          <w:lang w:val="en-GB"/>
        </w:rPr>
      </w:pPr>
      <w:r>
        <w:rPr>
          <w:rFonts w:hint="default"/>
          <w:b/>
          <w:color w:val="2D2D2D"/>
          <w:sz w:val="28"/>
          <w:lang w:val="en-GB"/>
        </w:rPr>
        <w:t>الافتراضات</w:t>
      </w:r>
    </w:p>
    <w:p w14:paraId="2E60CB2D">
      <w:pPr>
        <w:rPr>
          <w:rFonts w:hint="default"/>
          <w:lang w:val="en-GB"/>
        </w:rPr>
      </w:pPr>
    </w:p>
    <w:p w14:paraId="429410C3">
      <w:pPr>
        <w:bidi w:val="0"/>
        <w:spacing w:after="120" w:line="240" w:lineRule="auto"/>
        <w:jc w:val="right"/>
        <w:rPr>
          <w:rFonts w:hint="default"/>
          <w:b w:val="0"/>
          <w:color w:val="4A4A4A"/>
          <w:sz w:val="22"/>
          <w:lang w:val="en-GB"/>
        </w:rPr>
      </w:pPr>
      <w:r>
        <w:rPr>
          <w:rFonts w:hint="default"/>
          <w:b w:val="0"/>
          <w:color w:val="4A4A4A"/>
          <w:sz w:val="22"/>
          <w:lang w:val="en-GB"/>
        </w:rPr>
        <w:t>نجاح التنفيذ يفترض توفر الوصول للمعلومات والمخرجات السابقة في الوقت المناسب, وتيسير التنسيق مع أصحاب المصلحة, واعتمادات مرحلية للمخرجات وفق الجدول, وإتاحة البيئة اللازمة لتفعيل المعمل الرقمي للابتكار الاجتماعي, وتخصيص نقطة اتصال مع الجهة لاعتمادات سريعة وواضحة.</w:t>
      </w:r>
    </w:p>
    <w:p w14:paraId="02C731A8">
      <w:pPr>
        <w:bidi w:val="0"/>
        <w:spacing w:after="120" w:line="240" w:lineRule="auto"/>
        <w:jc w:val="right"/>
        <w:rPr>
          <w:rFonts w:hint="default"/>
          <w:b w:val="0"/>
          <w:color w:val="4A4A4A"/>
          <w:sz w:val="22"/>
          <w:lang w:val="en-GB"/>
        </w:rPr>
      </w:pPr>
    </w:p>
    <w:p w14:paraId="0F8E9998">
      <w:pPr>
        <w:pStyle w:val="2"/>
        <w:bidi w:val="0"/>
        <w:spacing w:before="0" w:after="120" w:line="240" w:lineRule="auto"/>
        <w:jc w:val="right"/>
        <w:rPr>
          <w:rFonts w:hint="default"/>
          <w:b/>
          <w:color w:val="2D2D2D"/>
          <w:sz w:val="28"/>
          <w:lang w:val="en-GB"/>
        </w:rPr>
      </w:pPr>
      <w:r>
        <w:rPr>
          <w:rFonts w:hint="default"/>
          <w:b/>
          <w:color w:val="2D2D2D"/>
          <w:sz w:val="28"/>
          <w:lang w:val="en-GB"/>
        </w:rPr>
        <w:t>منهجية التسعير (ملخص)</w:t>
      </w:r>
    </w:p>
    <w:p w14:paraId="13CA59F6">
      <w:pPr>
        <w:rPr>
          <w:rFonts w:hint="default"/>
          <w:lang w:val="en-GB"/>
        </w:rPr>
      </w:pPr>
    </w:p>
    <w:p w14:paraId="0CA9FA6D">
      <w:pPr>
        <w:bidi w:val="0"/>
        <w:spacing w:after="120" w:line="240" w:lineRule="auto"/>
        <w:jc w:val="right"/>
        <w:rPr>
          <w:rFonts w:hint="default"/>
          <w:b w:val="0"/>
          <w:color w:val="4A4A4A"/>
          <w:sz w:val="22"/>
          <w:lang w:val="en-GB"/>
        </w:rPr>
      </w:pPr>
      <w:r>
        <w:rPr>
          <w:rFonts w:hint="default"/>
          <w:b w:val="0"/>
          <w:color w:val="4A4A4A"/>
          <w:sz w:val="22"/>
          <w:lang w:val="en-GB"/>
        </w:rPr>
        <w:t>تقترح الشركة تسعيرًا ثابتًا قائمًا على المخرجات والمعالم, مع ربط الدفعات بقبول المخرجات الرئيسية. تُخصّص الدفعات بما ينسجم مع نسب المرحلتين: 20% للمرحلة الأولى (عند اعتماد وثائقها) و80% للمرحلة الثانية (على دفعات مرتبطة باعتماد الإطار والخرائط والمؤشرات, والمبادرات والمشاريع, وتشغيل المعمل الرقمي, واعتماد النماذج والتقارير الختامية). جميع الأسعار تلتزم بشروط التعاقد المعتمدة.</w:t>
      </w:r>
    </w:p>
    <w:p w14:paraId="45616FFE">
      <w:pPr>
        <w:bidi w:val="0"/>
        <w:spacing w:after="120" w:line="240" w:lineRule="auto"/>
        <w:jc w:val="right"/>
        <w:rPr>
          <w:rFonts w:hint="default"/>
          <w:b w:val="0"/>
          <w:color w:val="4A4A4A"/>
          <w:sz w:val="22"/>
          <w:lang w:val="en-GB"/>
        </w:rPr>
      </w:pPr>
    </w:p>
    <w:p w14:paraId="5CE2F8D6">
      <w:pPr>
        <w:pStyle w:val="2"/>
        <w:bidi w:val="0"/>
        <w:spacing w:before="0" w:after="120" w:line="240" w:lineRule="auto"/>
        <w:jc w:val="right"/>
        <w:rPr>
          <w:rFonts w:hint="default"/>
          <w:b/>
          <w:color w:val="2D2D2D"/>
          <w:sz w:val="28"/>
          <w:lang w:val="en-GB"/>
        </w:rPr>
      </w:pPr>
      <w:r>
        <w:rPr>
          <w:rFonts w:hint="default"/>
          <w:b/>
          <w:color w:val="2D2D2D"/>
          <w:sz w:val="28"/>
          <w:lang w:val="en-GB"/>
        </w:rPr>
        <w:t>لماذا Impetus Strategy</w:t>
      </w:r>
    </w:p>
    <w:p w14:paraId="36BDD194">
      <w:pPr>
        <w:rPr>
          <w:rFonts w:hint="default"/>
          <w:lang w:val="en-GB"/>
        </w:rPr>
      </w:pPr>
    </w:p>
    <w:p w14:paraId="112E5A43">
      <w:pPr>
        <w:bidi w:val="0"/>
        <w:spacing w:after="120" w:line="240" w:lineRule="auto"/>
        <w:jc w:val="right"/>
        <w:rPr>
          <w:rFonts w:hint="default"/>
          <w:b w:val="0"/>
          <w:color w:val="4A4A4A"/>
          <w:sz w:val="22"/>
          <w:lang w:val="en-GB"/>
        </w:rPr>
      </w:pPr>
      <w:r>
        <w:rPr>
          <w:rFonts w:hint="default"/>
          <w:b w:val="0"/>
          <w:color w:val="4A4A4A"/>
          <w:sz w:val="22"/>
          <w:lang w:val="en-GB"/>
        </w:rPr>
        <w:t>لأننا نضع الأثر قبل الربحية, ونوظّف حلولًا معتمدة على البيانات بمقاربات تشاركية, مع خبرة عملية في دراسات واسعة النطاق ومبادرات تنموية ريفية؛ قيمنا في التنوع والتعاون والاستدامة تنعكس في تصميم استراتيجيات طويلة الأمد قابلة للتنفيذ والقياس. يمتلك فريقنا خبرة استشارية متعددة الاختصاصات ولغات عمل ملائمة, وشراكات معرفة مساندة, مع التزام كامل بمواصفات الفريق المطلوب وجودة التنفيذ.</w:t>
      </w:r>
    </w:p>
    <w:p w14:paraId="7A3474D7">
      <w:pPr>
        <w:bidi w:val="0"/>
        <w:spacing w:after="120" w:line="240" w:lineRule="auto"/>
        <w:jc w:val="right"/>
        <w:rPr>
          <w:rFonts w:hint="default"/>
          <w:b w:val="0"/>
          <w:color w:val="4A4A4A"/>
          <w:sz w:val="22"/>
          <w:lang w:val="en-GB"/>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1A1514"/>
    <w:rsid w:val="541A1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2025-10-03T11:51:00Z</dcterms:created>
  <dc:creator>Administrator</dc:creator>
  <cp:lastModifiedBy>Administrator</cp:lastModifiedBy>
  <dcterms:modified xsi:type="dcterms:W3CDTF">2025-10-03T11:51:24Z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6613D9CCFB8945FCA62CD07921FA4C38_11</vt:lpwstr>
  </property>
</Properties>
</file>