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D1C9F">
      <w:pPr>
        <w:rPr>
          <w:rFonts w:hint="cs"/>
          <w:lang w:bidi="ar-SA"/>
        </w:rPr>
      </w:pPr>
      <w:bookmarkStart w:id="0" w:name="_GoBack"/>
      <w:bookmarkEnd w:id="0"/>
    </w:p>
    <w:p w14:paraId="0A14DC7B">
      <w:pPr>
        <w:pStyle w:val="6"/>
        <w:bidi w:val="0"/>
        <w:spacing w:before="0" w:after="120" w:line="240" w:lineRule="auto"/>
        <w:jc w:val="right"/>
        <w:rPr>
          <w:rFonts w:hint="default"/>
          <w:b/>
          <w:color w:val="1A1A1A"/>
          <w:sz w:val="32"/>
          <w:lang w:val="en-GB" w:bidi="ar-SA"/>
        </w:rPr>
      </w:pPr>
      <w:r>
        <w:rPr>
          <w:rFonts w:hint="default"/>
          <w:b/>
          <w:color w:val="1A1A1A"/>
          <w:sz w:val="32"/>
          <w:lang w:val="en-GB" w:bidi="ar-SA"/>
        </w:rPr>
        <w:t>عرض تنفيذ بناء الاستراتيجية التنموية الريفية للمناطق المختارة – إعداد Strategy Impetus</w:t>
      </w:r>
    </w:p>
    <w:p w14:paraId="32D1AECD">
      <w:pPr>
        <w:pStyle w:val="6"/>
        <w:bidi w:val="0"/>
        <w:spacing w:before="0" w:after="120" w:line="240" w:lineRule="auto"/>
        <w:jc w:val="right"/>
        <w:rPr>
          <w:rFonts w:hint="default"/>
          <w:b/>
          <w:color w:val="1A1A1A"/>
          <w:sz w:val="32"/>
          <w:lang w:val="en-GB" w:bidi="ar-SA"/>
        </w:rPr>
      </w:pPr>
    </w:p>
    <w:p w14:paraId="0F6C4191">
      <w:pPr>
        <w:pStyle w:val="2"/>
        <w:bidi w:val="0"/>
        <w:spacing w:before="0" w:after="120" w:line="240" w:lineRule="auto"/>
        <w:jc w:val="right"/>
        <w:rPr>
          <w:rFonts w:hint="default"/>
          <w:b/>
          <w:color w:val="2D2D2D"/>
          <w:sz w:val="28"/>
          <w:lang w:val="en-GB" w:bidi="ar-SA"/>
        </w:rPr>
      </w:pPr>
      <w:r>
        <w:rPr>
          <w:rFonts w:hint="default"/>
          <w:b/>
          <w:color w:val="2D2D2D"/>
          <w:sz w:val="28"/>
          <w:lang w:val="en-GB" w:bidi="ar-SA"/>
        </w:rPr>
        <w:t>الملخص التنفيذي</w:t>
      </w:r>
    </w:p>
    <w:p w14:paraId="685AE297">
      <w:pPr>
        <w:rPr>
          <w:rFonts w:hint="default"/>
          <w:lang w:val="en-GB"/>
        </w:rPr>
      </w:pPr>
    </w:p>
    <w:p w14:paraId="78CD3B75">
      <w:pPr>
        <w:bidi w:val="0"/>
        <w:spacing w:after="120" w:line="240" w:lineRule="auto"/>
        <w:jc w:val="right"/>
        <w:rPr>
          <w:rFonts w:hint="default"/>
          <w:b w:val="0"/>
          <w:color w:val="4A4A4A"/>
          <w:sz w:val="22"/>
          <w:lang w:val="en-GB"/>
        </w:rPr>
      </w:pPr>
      <w:r>
        <w:rPr>
          <w:rFonts w:hint="default"/>
          <w:b w:val="0"/>
          <w:color w:val="4A4A4A"/>
          <w:sz w:val="22"/>
          <w:lang w:val="en-GB"/>
        </w:rPr>
        <w:t>تقترح Strategy Impetus نهجاً متكاملاً لبناء الاستراتيجية التنموية الريفية للمناطق المختارة خلال 12 شهراً, يرتكز على مرحلتين متتاليتين: الدراسة والتحليل ثم التصميم والمواءمة. يرتبط العمل بمخرجات محددة قابلة للقياس والقبول, ويعتمد على أدوات تحليل معتمدة مثل SWOT وPESTEL وتحليل الأصول ومصفوفة الأهمية/الأداء وتحليل NOISE, مع إشراك أصحاب المصلحة, وتصميم نظرية التغيير, والخارطة الاستراتيجية, والمبادرات والمشروعات ومسارات الإنعاش, والنموذجين التشغيلي والمالي, ومعمل ابتكار اجتماعي, وخيارات الشراكات والكيانات. سنلتزم بمتطلبات التعاقد والغرامات وآليات الاستلام, ونوفّر فريقاً مؤهلاً وفق المواصفات الواردة, مع منظومة جودة ومخاطر وسلامة لضمان تسليم كافة المخرجات في الوقت والجودة المتفق عليهما.</w:t>
      </w:r>
    </w:p>
    <w:p w14:paraId="50D7E3F9">
      <w:pPr>
        <w:bidi w:val="0"/>
        <w:spacing w:after="120" w:line="240" w:lineRule="auto"/>
        <w:jc w:val="right"/>
        <w:rPr>
          <w:rFonts w:hint="default"/>
          <w:b w:val="0"/>
          <w:color w:val="4A4A4A"/>
          <w:sz w:val="22"/>
          <w:lang w:val="en-GB"/>
        </w:rPr>
      </w:pPr>
    </w:p>
    <w:p w14:paraId="61218D7B">
      <w:pPr>
        <w:bidi w:val="0"/>
        <w:spacing w:after="120" w:line="240" w:lineRule="auto"/>
        <w:jc w:val="right"/>
        <w:rPr>
          <w:rFonts w:hint="default"/>
          <w:b w:val="0"/>
          <w:color w:val="4A4A4A"/>
          <w:sz w:val="22"/>
          <w:lang w:val="en-GB"/>
        </w:rPr>
      </w:pPr>
      <w:r>
        <w:rPr>
          <w:rFonts w:hint="default"/>
          <w:b w:val="0"/>
          <w:color w:val="4A4A4A"/>
          <w:sz w:val="22"/>
          <w:lang w:val="en-GB"/>
        </w:rPr>
        <w:t>- مدة التنفيذ: 12 شهراً بنسب 20% للمرحلة الأولى و80% للمرحلة الثانية.</w:t>
      </w:r>
    </w:p>
    <w:p w14:paraId="46E4DCBB">
      <w:pPr>
        <w:bidi w:val="0"/>
        <w:spacing w:after="120" w:line="240" w:lineRule="auto"/>
        <w:jc w:val="right"/>
        <w:rPr>
          <w:rFonts w:hint="default"/>
          <w:b w:val="0"/>
          <w:color w:val="4A4A4A"/>
          <w:sz w:val="22"/>
          <w:lang w:val="en-GB"/>
        </w:rPr>
      </w:pPr>
    </w:p>
    <w:p w14:paraId="38FC3303">
      <w:pPr>
        <w:bidi w:val="0"/>
        <w:spacing w:after="120" w:line="240" w:lineRule="auto"/>
        <w:jc w:val="right"/>
        <w:rPr>
          <w:rFonts w:hint="default"/>
          <w:b w:val="0"/>
          <w:color w:val="4A4A4A"/>
          <w:sz w:val="22"/>
          <w:lang w:val="en-GB"/>
        </w:rPr>
      </w:pPr>
      <w:r>
        <w:rPr>
          <w:rFonts w:hint="default"/>
          <w:b w:val="0"/>
          <w:color w:val="4A4A4A"/>
          <w:sz w:val="22"/>
          <w:lang w:val="en-GB"/>
        </w:rPr>
        <w:t>- تسليم 12 مخرجاً رئيسياً محدداً في جدول الكميات.</w:t>
      </w:r>
    </w:p>
    <w:p w14:paraId="64972E2B">
      <w:pPr>
        <w:bidi w:val="0"/>
        <w:spacing w:after="120" w:line="240" w:lineRule="auto"/>
        <w:jc w:val="right"/>
        <w:rPr>
          <w:rFonts w:hint="default"/>
          <w:b w:val="0"/>
          <w:color w:val="4A4A4A"/>
          <w:sz w:val="22"/>
          <w:lang w:val="en-GB"/>
        </w:rPr>
      </w:pPr>
    </w:p>
    <w:p w14:paraId="4408298A">
      <w:pPr>
        <w:bidi w:val="0"/>
        <w:spacing w:after="120" w:line="240" w:lineRule="auto"/>
        <w:jc w:val="right"/>
        <w:rPr>
          <w:rFonts w:hint="default"/>
          <w:b w:val="0"/>
          <w:color w:val="4A4A4A"/>
          <w:sz w:val="22"/>
          <w:lang w:val="en-GB"/>
        </w:rPr>
      </w:pPr>
      <w:r>
        <w:rPr>
          <w:rFonts w:hint="default"/>
          <w:b w:val="0"/>
          <w:color w:val="4A4A4A"/>
          <w:sz w:val="22"/>
          <w:lang w:val="en-GB"/>
        </w:rPr>
        <w:t>- تنفيذ العمل في جميع مناطق المملكة وفق نطاق العمل.</w:t>
      </w:r>
    </w:p>
    <w:p w14:paraId="2BF0A3FD">
      <w:pPr>
        <w:bidi w:val="0"/>
        <w:spacing w:after="120" w:line="240" w:lineRule="auto"/>
        <w:jc w:val="right"/>
        <w:rPr>
          <w:rFonts w:hint="default"/>
          <w:b w:val="0"/>
          <w:color w:val="4A4A4A"/>
          <w:sz w:val="22"/>
          <w:lang w:val="en-GB"/>
        </w:rPr>
      </w:pPr>
    </w:p>
    <w:p w14:paraId="5230C122">
      <w:pPr>
        <w:bidi w:val="0"/>
        <w:spacing w:after="120" w:line="240" w:lineRule="auto"/>
        <w:jc w:val="right"/>
        <w:rPr>
          <w:rFonts w:hint="default"/>
          <w:b w:val="0"/>
          <w:color w:val="4A4A4A"/>
          <w:sz w:val="22"/>
          <w:lang w:val="en-GB"/>
        </w:rPr>
      </w:pPr>
      <w:r>
        <w:rPr>
          <w:rFonts w:hint="default"/>
          <w:b w:val="0"/>
          <w:color w:val="4A4A4A"/>
          <w:sz w:val="22"/>
          <w:lang w:val="en-GB"/>
        </w:rPr>
        <w:t>- التزام بمنهجية تشاركية قائمة على الأدلة وقياس الأثر.</w:t>
      </w:r>
    </w:p>
    <w:p w14:paraId="3541C1E4">
      <w:pPr>
        <w:bidi w:val="0"/>
        <w:spacing w:after="120" w:line="240" w:lineRule="auto"/>
        <w:jc w:val="right"/>
        <w:rPr>
          <w:rFonts w:hint="default"/>
          <w:b w:val="0"/>
          <w:color w:val="4A4A4A"/>
          <w:sz w:val="22"/>
          <w:lang w:val="en-GB"/>
        </w:rPr>
      </w:pPr>
    </w:p>
    <w:p w14:paraId="2047331F">
      <w:pPr>
        <w:pStyle w:val="2"/>
        <w:bidi w:val="0"/>
        <w:spacing w:before="0" w:after="120" w:line="240" w:lineRule="auto"/>
        <w:jc w:val="right"/>
        <w:rPr>
          <w:rFonts w:hint="default"/>
          <w:b/>
          <w:color w:val="2D2D2D"/>
          <w:sz w:val="28"/>
          <w:lang w:val="en-GB"/>
        </w:rPr>
      </w:pPr>
      <w:r>
        <w:rPr>
          <w:rFonts w:hint="default"/>
          <w:b/>
          <w:color w:val="2D2D2D"/>
          <w:sz w:val="28"/>
          <w:lang w:val="en-GB"/>
        </w:rPr>
        <w:t>التعريف بالشركة</w:t>
      </w:r>
    </w:p>
    <w:p w14:paraId="58985505">
      <w:pPr>
        <w:rPr>
          <w:rFonts w:hint="default"/>
          <w:lang w:val="en-GB"/>
        </w:rPr>
      </w:pPr>
    </w:p>
    <w:p w14:paraId="32FECE06">
      <w:pPr>
        <w:bidi w:val="0"/>
        <w:spacing w:after="120" w:line="240" w:lineRule="auto"/>
        <w:jc w:val="right"/>
        <w:rPr>
          <w:rFonts w:hint="default"/>
          <w:b w:val="0"/>
          <w:color w:val="4A4A4A"/>
          <w:sz w:val="22"/>
          <w:lang w:val="en-GB"/>
        </w:rPr>
      </w:pPr>
      <w:r>
        <w:rPr>
          <w:rFonts w:hint="default"/>
          <w:b w:val="0"/>
          <w:color w:val="4A4A4A"/>
          <w:sz w:val="22"/>
          <w:lang w:val="en-GB"/>
        </w:rPr>
        <w:t>Strategy Impetus شركة استشارية مقرها الرياض, تضع الأثر المجتمعي فوق الربحية, وتستند قيمها إلى التنوع والتعاون والاندماج المجتمعي. تعمل عبر مجالات التنمية الاجتماعية والأثر الاقتصادي والحوكمة والأنظمة البيئية, وتقدم خدمات الاستشارات والبحوث وقياس الأثر, بمنهجيات التفكير التحليلي والمقاربات التشاركية. تمتلك الشركة فريقاً يضم 120 باحثاً وخبرة تراكمية تمتد لأربع سنوات عبر 15 مشروعاً مبتكراً, وتتقن العمل باللغتين العربية والإنجليزية.</w:t>
      </w:r>
    </w:p>
    <w:p w14:paraId="73B5A869">
      <w:pPr>
        <w:bidi w:val="0"/>
        <w:spacing w:after="120" w:line="240" w:lineRule="auto"/>
        <w:jc w:val="right"/>
        <w:rPr>
          <w:rFonts w:hint="default"/>
          <w:b w:val="0"/>
          <w:color w:val="4A4A4A"/>
          <w:sz w:val="22"/>
          <w:lang w:val="en-GB"/>
        </w:rPr>
      </w:pPr>
    </w:p>
    <w:p w14:paraId="7C4A43B9">
      <w:pPr>
        <w:bidi w:val="0"/>
        <w:spacing w:after="120" w:line="240" w:lineRule="auto"/>
        <w:jc w:val="right"/>
        <w:rPr>
          <w:rFonts w:hint="default"/>
          <w:b w:val="0"/>
          <w:color w:val="4A4A4A"/>
          <w:sz w:val="22"/>
          <w:lang w:val="en-GB"/>
        </w:rPr>
      </w:pPr>
      <w:r>
        <w:rPr>
          <w:rFonts w:hint="default"/>
          <w:b w:val="0"/>
          <w:color w:val="4A4A4A"/>
          <w:sz w:val="22"/>
          <w:lang w:val="en-GB"/>
        </w:rPr>
        <w:t>- المقر: الرياض, المملكة العربية السعودية.</w:t>
      </w:r>
    </w:p>
    <w:p w14:paraId="5CBB3BB9">
      <w:pPr>
        <w:bidi w:val="0"/>
        <w:spacing w:after="120" w:line="240" w:lineRule="auto"/>
        <w:jc w:val="right"/>
        <w:rPr>
          <w:rFonts w:hint="default"/>
          <w:b w:val="0"/>
          <w:color w:val="4A4A4A"/>
          <w:sz w:val="22"/>
          <w:lang w:val="en-GB"/>
        </w:rPr>
      </w:pPr>
    </w:p>
    <w:p w14:paraId="38BBB4C6">
      <w:pPr>
        <w:bidi w:val="0"/>
        <w:spacing w:after="120" w:line="240" w:lineRule="auto"/>
        <w:jc w:val="right"/>
        <w:rPr>
          <w:rFonts w:hint="default"/>
          <w:b w:val="0"/>
          <w:color w:val="4A4A4A"/>
          <w:sz w:val="22"/>
          <w:lang w:val="en-GB"/>
        </w:rPr>
      </w:pPr>
      <w:r>
        <w:rPr>
          <w:rFonts w:hint="default"/>
          <w:b w:val="0"/>
          <w:color w:val="4A4A4A"/>
          <w:sz w:val="22"/>
          <w:lang w:val="en-GB"/>
        </w:rPr>
        <w:t>- الرسالة: نعطي الأولوية للأثر بما يتجاوز الربحية.</w:t>
      </w:r>
    </w:p>
    <w:p w14:paraId="6CE18568">
      <w:pPr>
        <w:bidi w:val="0"/>
        <w:spacing w:after="120" w:line="240" w:lineRule="auto"/>
        <w:jc w:val="right"/>
        <w:rPr>
          <w:rFonts w:hint="default"/>
          <w:b w:val="0"/>
          <w:color w:val="4A4A4A"/>
          <w:sz w:val="22"/>
          <w:lang w:val="en-GB"/>
        </w:rPr>
      </w:pPr>
    </w:p>
    <w:p w14:paraId="1D0F193C">
      <w:pPr>
        <w:bidi w:val="0"/>
        <w:spacing w:after="120" w:line="240" w:lineRule="auto"/>
        <w:jc w:val="right"/>
        <w:rPr>
          <w:rFonts w:hint="default"/>
          <w:b w:val="0"/>
          <w:color w:val="4A4A4A"/>
          <w:sz w:val="22"/>
          <w:lang w:val="en-GB"/>
        </w:rPr>
      </w:pPr>
      <w:r>
        <w:rPr>
          <w:rFonts w:hint="default"/>
          <w:b w:val="0"/>
          <w:color w:val="4A4A4A"/>
          <w:sz w:val="22"/>
          <w:lang w:val="en-GB"/>
        </w:rPr>
        <w:t>- الخدمات: الاستشارات والبحث وقياس الأثر.</w:t>
      </w:r>
    </w:p>
    <w:p w14:paraId="403DCE29">
      <w:pPr>
        <w:bidi w:val="0"/>
        <w:spacing w:after="120" w:line="240" w:lineRule="auto"/>
        <w:jc w:val="right"/>
        <w:rPr>
          <w:rFonts w:hint="default"/>
          <w:b w:val="0"/>
          <w:color w:val="4A4A4A"/>
          <w:sz w:val="22"/>
          <w:lang w:val="en-GB"/>
        </w:rPr>
      </w:pPr>
    </w:p>
    <w:p w14:paraId="3BE9A6CE">
      <w:pPr>
        <w:bidi w:val="0"/>
        <w:spacing w:after="120" w:line="240" w:lineRule="auto"/>
        <w:jc w:val="right"/>
        <w:rPr>
          <w:rFonts w:hint="default"/>
          <w:b w:val="0"/>
          <w:color w:val="4A4A4A"/>
          <w:sz w:val="22"/>
          <w:lang w:val="en-GB"/>
        </w:rPr>
      </w:pPr>
      <w:r>
        <w:rPr>
          <w:rFonts w:hint="default"/>
          <w:b w:val="0"/>
          <w:color w:val="4A4A4A"/>
          <w:sz w:val="22"/>
          <w:lang w:val="en-GB"/>
        </w:rPr>
        <w:t>- المجالات: التنمية الاجتماعية, الأثر الاقتصادي, الحوكمة, الأنظمة البيئية.</w:t>
      </w:r>
    </w:p>
    <w:p w14:paraId="14071EAF">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60BF29B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EEBC9D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القيم</w:t>
            </w:r>
          </w:p>
        </w:tc>
        <w:tc>
          <w:tcPr>
            <w:tcW w:w="1667" w:type="pct"/>
          </w:tcPr>
          <w:p w14:paraId="0CA8F43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المنهجيات</w:t>
            </w:r>
          </w:p>
        </w:tc>
        <w:tc>
          <w:tcPr>
            <w:tcW w:w="1667" w:type="pct"/>
          </w:tcPr>
          <w:p w14:paraId="4777DB7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اللغات</w:t>
            </w:r>
          </w:p>
        </w:tc>
      </w:tr>
      <w:tr w14:paraId="7FB8687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0FB33B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التنوع, التعاون, الاندماج المجتمعي</w:t>
            </w:r>
          </w:p>
        </w:tc>
        <w:tc>
          <w:tcPr>
            <w:tcW w:w="1667" w:type="pct"/>
          </w:tcPr>
          <w:p w14:paraId="4D585FB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تفكير تحليلي, مقاربات تشاركية</w:t>
            </w:r>
          </w:p>
        </w:tc>
        <w:tc>
          <w:tcPr>
            <w:tcW w:w="1667" w:type="pct"/>
          </w:tcPr>
          <w:p w14:paraId="61728C8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العربية, الإنجليزية</w:t>
            </w:r>
          </w:p>
        </w:tc>
      </w:tr>
    </w:tbl>
    <w:p w14:paraId="0DEC26B5">
      <w:pPr>
        <w:bidi w:val="0"/>
        <w:spacing w:after="120" w:line="240" w:lineRule="auto"/>
        <w:jc w:val="right"/>
        <w:rPr>
          <w:rFonts w:hint="default"/>
          <w:b w:val="0"/>
          <w:color w:val="4A4A4A"/>
          <w:sz w:val="22"/>
          <w:lang w:val="en-GB"/>
        </w:rPr>
      </w:pPr>
    </w:p>
    <w:p w14:paraId="0F77B043">
      <w:pPr>
        <w:pStyle w:val="2"/>
        <w:bidi w:val="0"/>
        <w:spacing w:before="0" w:after="120" w:line="240" w:lineRule="auto"/>
        <w:jc w:val="right"/>
        <w:rPr>
          <w:rFonts w:hint="default"/>
          <w:b/>
          <w:color w:val="2D2D2D"/>
          <w:sz w:val="28"/>
          <w:lang w:val="en-GB"/>
        </w:rPr>
      </w:pPr>
      <w:r>
        <w:rPr>
          <w:rFonts w:hint="default"/>
          <w:b/>
          <w:color w:val="2D2D2D"/>
          <w:sz w:val="28"/>
          <w:lang w:val="en-GB"/>
        </w:rPr>
        <w:t>فهم المتطلبات والأهداف</w:t>
      </w:r>
    </w:p>
    <w:p w14:paraId="4F0713DD">
      <w:pPr>
        <w:rPr>
          <w:rFonts w:hint="default"/>
          <w:lang w:val="en-GB"/>
        </w:rPr>
      </w:pPr>
    </w:p>
    <w:p w14:paraId="46C3B8F0">
      <w:pPr>
        <w:bidi w:val="0"/>
        <w:spacing w:after="120" w:line="240" w:lineRule="auto"/>
        <w:jc w:val="right"/>
        <w:rPr>
          <w:rFonts w:hint="default"/>
          <w:b w:val="0"/>
          <w:color w:val="4A4A4A"/>
          <w:sz w:val="22"/>
          <w:lang w:val="en-GB"/>
        </w:rPr>
      </w:pPr>
      <w:r>
        <w:rPr>
          <w:rFonts w:hint="default"/>
          <w:b w:val="0"/>
          <w:color w:val="4A4A4A"/>
          <w:sz w:val="22"/>
          <w:lang w:val="en-GB"/>
        </w:rPr>
        <w:t>يهدف المشروع إلى تصميم استراتيجية تنمية ريفية من منظور القطاع غير الربحي, تستند إلى تحليل معمّق للقرى المختارة وربط نتائج الدراسات السابقة بأهداف المشروع, ثم تصميم استراتيجيات منفصلة لكل قرية تشمل نظرية التغيير والخارطة الاستراتيجية والأهداف والمؤشرات والمبادرات وخطط العمل ومسارات الإنعاش. كما يشمل تصميم نموذج العمل والنموذج التشغيلي والنموذج المالي, وتأسيس معمل ابتكار اجتماعي ومنصة رقمية تفاعلية, وتحديد خيارات تأسيس كيانات غير ربحية والشراكات الممكنة. يتطلب ذلك تسليم مخرجات محددة خلال 12 شهراً عبر مسارات عمل منظمة وبحوكمة واضحة.</w:t>
      </w:r>
    </w:p>
    <w:p w14:paraId="2116148B">
      <w:pPr>
        <w:bidi w:val="0"/>
        <w:spacing w:after="120" w:line="240" w:lineRule="auto"/>
        <w:jc w:val="right"/>
        <w:rPr>
          <w:rFonts w:hint="default"/>
          <w:b w:val="0"/>
          <w:color w:val="4A4A4A"/>
          <w:sz w:val="22"/>
          <w:lang w:val="en-GB"/>
        </w:rPr>
      </w:pPr>
    </w:p>
    <w:p w14:paraId="3F1D4323">
      <w:pPr>
        <w:bidi w:val="0"/>
        <w:spacing w:after="120" w:line="240" w:lineRule="auto"/>
        <w:jc w:val="right"/>
        <w:rPr>
          <w:rFonts w:hint="default"/>
          <w:b w:val="0"/>
          <w:color w:val="4A4A4A"/>
          <w:sz w:val="22"/>
          <w:lang w:val="en-GB"/>
        </w:rPr>
      </w:pPr>
      <w:r>
        <w:rPr>
          <w:rFonts w:hint="default"/>
          <w:b w:val="0"/>
          <w:color w:val="4A4A4A"/>
          <w:sz w:val="22"/>
          <w:lang w:val="en-GB"/>
        </w:rPr>
        <w:t>- تحليل وربط المخرجات السابقة مع أهداف المشروع.</w:t>
      </w:r>
    </w:p>
    <w:p w14:paraId="0B03ADB4">
      <w:pPr>
        <w:bidi w:val="0"/>
        <w:spacing w:after="120" w:line="240" w:lineRule="auto"/>
        <w:jc w:val="right"/>
        <w:rPr>
          <w:rFonts w:hint="default"/>
          <w:b w:val="0"/>
          <w:color w:val="4A4A4A"/>
          <w:sz w:val="22"/>
          <w:lang w:val="en-GB"/>
        </w:rPr>
      </w:pPr>
    </w:p>
    <w:p w14:paraId="00F38209">
      <w:pPr>
        <w:bidi w:val="0"/>
        <w:spacing w:after="120" w:line="240" w:lineRule="auto"/>
        <w:jc w:val="right"/>
        <w:rPr>
          <w:rFonts w:hint="default"/>
          <w:b w:val="0"/>
          <w:color w:val="4A4A4A"/>
          <w:sz w:val="22"/>
          <w:lang w:val="en-GB"/>
        </w:rPr>
      </w:pPr>
      <w:r>
        <w:rPr>
          <w:rFonts w:hint="default"/>
          <w:b w:val="0"/>
          <w:color w:val="4A4A4A"/>
          <w:sz w:val="22"/>
          <w:lang w:val="en-GB"/>
        </w:rPr>
        <w:t>- استراتيجيات قرى ريفية غير ربحية قائمة على نظرية التغيير.</w:t>
      </w:r>
    </w:p>
    <w:p w14:paraId="1F00C11F">
      <w:pPr>
        <w:bidi w:val="0"/>
        <w:spacing w:after="120" w:line="240" w:lineRule="auto"/>
        <w:jc w:val="right"/>
        <w:rPr>
          <w:rFonts w:hint="default"/>
          <w:b w:val="0"/>
          <w:color w:val="4A4A4A"/>
          <w:sz w:val="22"/>
          <w:lang w:val="en-GB"/>
        </w:rPr>
      </w:pPr>
    </w:p>
    <w:p w14:paraId="73E58A82">
      <w:pPr>
        <w:bidi w:val="0"/>
        <w:spacing w:after="120" w:line="240" w:lineRule="auto"/>
        <w:jc w:val="right"/>
        <w:rPr>
          <w:rFonts w:hint="default"/>
          <w:b w:val="0"/>
          <w:color w:val="4A4A4A"/>
          <w:sz w:val="22"/>
          <w:lang w:val="en-GB"/>
        </w:rPr>
      </w:pPr>
      <w:r>
        <w:rPr>
          <w:rFonts w:hint="default"/>
          <w:b w:val="0"/>
          <w:color w:val="4A4A4A"/>
          <w:sz w:val="22"/>
          <w:lang w:val="en-GB"/>
        </w:rPr>
        <w:t>- مبادرات ومشاريع ذات أولويات وخطط تنفيذ ومؤشرات قابلة للقياس.</w:t>
      </w:r>
    </w:p>
    <w:p w14:paraId="31E42880">
      <w:pPr>
        <w:bidi w:val="0"/>
        <w:spacing w:after="120" w:line="240" w:lineRule="auto"/>
        <w:jc w:val="right"/>
        <w:rPr>
          <w:rFonts w:hint="default"/>
          <w:b w:val="0"/>
          <w:color w:val="4A4A4A"/>
          <w:sz w:val="22"/>
          <w:lang w:val="en-GB"/>
        </w:rPr>
      </w:pPr>
    </w:p>
    <w:p w14:paraId="6D4F2ACA">
      <w:pPr>
        <w:bidi w:val="0"/>
        <w:spacing w:after="120" w:line="240" w:lineRule="auto"/>
        <w:jc w:val="right"/>
        <w:rPr>
          <w:rFonts w:hint="default"/>
          <w:b w:val="0"/>
          <w:color w:val="4A4A4A"/>
          <w:sz w:val="22"/>
          <w:lang w:val="en-GB"/>
        </w:rPr>
      </w:pPr>
      <w:r>
        <w:rPr>
          <w:rFonts w:hint="default"/>
          <w:b w:val="0"/>
          <w:color w:val="4A4A4A"/>
          <w:sz w:val="22"/>
          <w:lang w:val="en-GB"/>
        </w:rPr>
        <w:t>- نموذج عمل وتشغيلي ومالي, ومعمل ابتكار اجتماعي, وخيارات شراكات وكيانات.</w:t>
      </w:r>
    </w:p>
    <w:p w14:paraId="2B8D59B8">
      <w:pPr>
        <w:bidi w:val="0"/>
        <w:spacing w:after="120" w:line="240" w:lineRule="auto"/>
        <w:jc w:val="right"/>
        <w:rPr>
          <w:rFonts w:hint="default"/>
          <w:b w:val="0"/>
          <w:color w:val="4A4A4A"/>
          <w:sz w:val="22"/>
          <w:lang w:val="en-GB"/>
        </w:rPr>
      </w:pPr>
    </w:p>
    <w:p w14:paraId="37B361EB">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الفنية ومنهجية العمل</w:t>
      </w:r>
    </w:p>
    <w:p w14:paraId="499BFE43">
      <w:pPr>
        <w:rPr>
          <w:rFonts w:hint="default"/>
          <w:lang w:val="en-GB"/>
        </w:rPr>
      </w:pPr>
    </w:p>
    <w:p w14:paraId="3D63F617">
      <w:pPr>
        <w:bidi w:val="0"/>
        <w:spacing w:after="120" w:line="240" w:lineRule="auto"/>
        <w:jc w:val="right"/>
        <w:rPr>
          <w:rFonts w:hint="default"/>
          <w:b w:val="0"/>
          <w:color w:val="4A4A4A"/>
          <w:sz w:val="22"/>
          <w:lang w:val="en-GB"/>
        </w:rPr>
      </w:pPr>
      <w:r>
        <w:rPr>
          <w:rFonts w:hint="default"/>
          <w:b w:val="0"/>
          <w:color w:val="4A4A4A"/>
          <w:sz w:val="22"/>
          <w:lang w:val="en-GB"/>
        </w:rPr>
        <w:t>تعتمد المنهجية على التحليل المبني على الأدلة, والمشاركة المنهجية لأصحاب المصلحة, وبناء مكونات الاستراتيجية والمبادرات والنماذج التشغيلية والمالية ومعمل الابتكار وفق مخرجات محددة. يتم إنجاز الأعمال عبر مراحل متسلسلة, بمصفوفات قرار واضحة, ومعايير قبول لكل مخرج, وحوكمة تنفيذ تتضمن آليات تحديث ومتابعة.</w:t>
      </w:r>
    </w:p>
    <w:p w14:paraId="796BE8DD">
      <w:pPr>
        <w:bidi w:val="0"/>
        <w:spacing w:after="120" w:line="240" w:lineRule="auto"/>
        <w:jc w:val="right"/>
        <w:rPr>
          <w:rFonts w:hint="default"/>
          <w:b w:val="0"/>
          <w:color w:val="4A4A4A"/>
          <w:sz w:val="22"/>
          <w:lang w:val="en-GB"/>
        </w:rPr>
      </w:pPr>
    </w:p>
    <w:p w14:paraId="3538245D">
      <w:pPr>
        <w:bidi w:val="0"/>
        <w:spacing w:after="120" w:line="240" w:lineRule="auto"/>
        <w:jc w:val="right"/>
        <w:rPr>
          <w:rFonts w:hint="default"/>
          <w:b w:val="0"/>
          <w:color w:val="4A4A4A"/>
          <w:sz w:val="22"/>
          <w:lang w:val="en-GB"/>
        </w:rPr>
      </w:pPr>
      <w:r>
        <w:rPr>
          <w:rFonts w:hint="default"/>
          <w:b w:val="0"/>
          <w:color w:val="4A4A4A"/>
          <w:sz w:val="22"/>
          <w:lang w:val="en-GB"/>
        </w:rPr>
        <w:t>- تحليل متعدد الأدوات: SWOT, PESTEL, تحليل الأصول, مصفوفة الأهمية/الأداء, NOISE.</w:t>
      </w:r>
    </w:p>
    <w:p w14:paraId="5D575A2C">
      <w:pPr>
        <w:bidi w:val="0"/>
        <w:spacing w:after="120" w:line="240" w:lineRule="auto"/>
        <w:jc w:val="right"/>
        <w:rPr>
          <w:rFonts w:hint="default"/>
          <w:b w:val="0"/>
          <w:color w:val="4A4A4A"/>
          <w:sz w:val="22"/>
          <w:lang w:val="en-GB"/>
        </w:rPr>
      </w:pPr>
    </w:p>
    <w:p w14:paraId="28592B6A">
      <w:pPr>
        <w:bidi w:val="0"/>
        <w:spacing w:after="120" w:line="240" w:lineRule="auto"/>
        <w:jc w:val="right"/>
        <w:rPr>
          <w:rFonts w:hint="default"/>
          <w:b w:val="0"/>
          <w:color w:val="4A4A4A"/>
          <w:sz w:val="22"/>
          <w:lang w:val="en-GB"/>
        </w:rPr>
      </w:pPr>
      <w:r>
        <w:rPr>
          <w:rFonts w:hint="default"/>
          <w:b w:val="0"/>
          <w:color w:val="4A4A4A"/>
          <w:sz w:val="22"/>
          <w:lang w:val="en-GB"/>
        </w:rPr>
        <w:t>- تصميم نظرية التغيير وخارطة استراتيجية متكاملة.</w:t>
      </w:r>
    </w:p>
    <w:p w14:paraId="5F012E15">
      <w:pPr>
        <w:bidi w:val="0"/>
        <w:spacing w:after="120" w:line="240" w:lineRule="auto"/>
        <w:jc w:val="right"/>
        <w:rPr>
          <w:rFonts w:hint="default"/>
          <w:b w:val="0"/>
          <w:color w:val="4A4A4A"/>
          <w:sz w:val="22"/>
          <w:lang w:val="en-GB"/>
        </w:rPr>
      </w:pPr>
    </w:p>
    <w:p w14:paraId="3FF92FFA">
      <w:pPr>
        <w:bidi w:val="0"/>
        <w:spacing w:after="120" w:line="240" w:lineRule="auto"/>
        <w:jc w:val="right"/>
        <w:rPr>
          <w:rFonts w:hint="default"/>
          <w:b w:val="0"/>
          <w:color w:val="4A4A4A"/>
          <w:sz w:val="22"/>
          <w:lang w:val="en-GB"/>
        </w:rPr>
      </w:pPr>
      <w:r>
        <w:rPr>
          <w:rFonts w:hint="default"/>
          <w:b w:val="0"/>
          <w:color w:val="4A4A4A"/>
          <w:sz w:val="22"/>
          <w:lang w:val="en-GB"/>
        </w:rPr>
        <w:t>- قياس أداء عبر مؤشرات رئيسية لكل قرية وربطها بلوحة بيانات.</w:t>
      </w:r>
    </w:p>
    <w:p w14:paraId="6F044B56">
      <w:pPr>
        <w:bidi w:val="0"/>
        <w:spacing w:after="120" w:line="240" w:lineRule="auto"/>
        <w:jc w:val="right"/>
        <w:rPr>
          <w:rFonts w:hint="default"/>
          <w:b w:val="0"/>
          <w:color w:val="4A4A4A"/>
          <w:sz w:val="22"/>
          <w:lang w:val="en-GB"/>
        </w:rPr>
      </w:pPr>
    </w:p>
    <w:p w14:paraId="4FDF8B12">
      <w:pPr>
        <w:bidi w:val="0"/>
        <w:spacing w:after="120" w:line="240" w:lineRule="auto"/>
        <w:jc w:val="right"/>
        <w:rPr>
          <w:rFonts w:hint="default"/>
          <w:b w:val="0"/>
          <w:color w:val="4A4A4A"/>
          <w:sz w:val="22"/>
          <w:lang w:val="en-GB"/>
        </w:rPr>
      </w:pPr>
      <w:r>
        <w:rPr>
          <w:rFonts w:hint="default"/>
          <w:b w:val="0"/>
          <w:color w:val="4A4A4A"/>
          <w:sz w:val="22"/>
          <w:lang w:val="en-GB"/>
        </w:rPr>
        <w:t>- حوكمة تنفيذ تشمل أدواراً ومسؤوليات وآليات متابعة وتحديث.</w:t>
      </w:r>
    </w:p>
    <w:p w14:paraId="4F04D43D">
      <w:pPr>
        <w:bidi w:val="0"/>
        <w:spacing w:after="120" w:line="240" w:lineRule="auto"/>
        <w:jc w:val="right"/>
        <w:rPr>
          <w:rFonts w:hint="default"/>
          <w:b w:val="0"/>
          <w:color w:val="4A4A4A"/>
          <w:sz w:val="22"/>
          <w:lang w:val="en-GB"/>
        </w:rPr>
      </w:pPr>
    </w:p>
    <w:p w14:paraId="2966B517">
      <w:pPr>
        <w:pStyle w:val="2"/>
        <w:bidi w:val="0"/>
        <w:spacing w:before="0" w:after="120" w:line="240" w:lineRule="auto"/>
        <w:jc w:val="right"/>
        <w:rPr>
          <w:rFonts w:hint="default"/>
          <w:b/>
          <w:color w:val="2D2D2D"/>
          <w:sz w:val="28"/>
          <w:lang w:val="en-GB"/>
        </w:rPr>
      </w:pPr>
      <w:r>
        <w:rPr>
          <w:rFonts w:hint="default"/>
          <w:b/>
          <w:color w:val="2D2D2D"/>
          <w:sz w:val="28"/>
          <w:lang w:val="en-GB"/>
        </w:rPr>
        <w:t>نظرة عامة على الإطار</w:t>
      </w:r>
    </w:p>
    <w:p w14:paraId="31279357">
      <w:pPr>
        <w:rPr>
          <w:rFonts w:hint="default"/>
          <w:lang w:val="en-GB"/>
        </w:rPr>
      </w:pPr>
    </w:p>
    <w:p w14:paraId="2FDEDDFF">
      <w:pPr>
        <w:bidi w:val="0"/>
        <w:spacing w:after="120" w:line="240" w:lineRule="auto"/>
        <w:jc w:val="right"/>
        <w:rPr>
          <w:rFonts w:hint="default"/>
          <w:b w:val="0"/>
          <w:color w:val="4A4A4A"/>
          <w:sz w:val="22"/>
          <w:lang w:val="en-GB"/>
        </w:rPr>
      </w:pPr>
      <w:r>
        <w:rPr>
          <w:rFonts w:hint="default"/>
          <w:b w:val="0"/>
          <w:color w:val="4A4A4A"/>
          <w:sz w:val="22"/>
          <w:lang w:val="en-GB"/>
        </w:rPr>
        <w:t>إطار العمل المقترح يربط بين التحليل الشامل, وبناء الاستراتيجية, وتطوير المبادرات, والنماذج التشغيلية والمالية, وتفعيل الابتكار الاجتماعي, ضمن حوكمة واضحة للأدوار والمتابعة. يرتكز الإطار على توافق الجهود بين الجهات المعنية لتحقيق تنمية ريفية مستدامة وممكنة.</w:t>
      </w:r>
    </w:p>
    <w:p w14:paraId="13A1BF35">
      <w:pPr>
        <w:bidi w:val="0"/>
        <w:spacing w:after="120" w:line="240" w:lineRule="auto"/>
        <w:jc w:val="right"/>
        <w:rPr>
          <w:rFonts w:hint="default"/>
          <w:b w:val="0"/>
          <w:color w:val="4A4A4A"/>
          <w:sz w:val="22"/>
          <w:lang w:val="en-GB"/>
        </w:rPr>
      </w:pPr>
    </w:p>
    <w:p w14:paraId="6D3B29CA">
      <w:pPr>
        <w:bidi w:val="0"/>
        <w:spacing w:after="120" w:line="240" w:lineRule="auto"/>
        <w:jc w:val="right"/>
        <w:rPr>
          <w:rFonts w:hint="default"/>
          <w:b w:val="0"/>
          <w:color w:val="4A4A4A"/>
          <w:sz w:val="22"/>
          <w:lang w:val="en-GB"/>
        </w:rPr>
      </w:pPr>
      <w:r>
        <w:rPr>
          <w:rFonts w:hint="default"/>
          <w:b w:val="0"/>
          <w:color w:val="4A4A4A"/>
          <w:sz w:val="22"/>
          <w:lang w:val="en-GB"/>
        </w:rPr>
        <w:t>- محاور الإطار: التحليل, الاستراتيجية, المبادرات, النماذج, الابتكار, الشراكات.</w:t>
      </w:r>
    </w:p>
    <w:p w14:paraId="23B06E71">
      <w:pPr>
        <w:bidi w:val="0"/>
        <w:spacing w:after="120" w:line="240" w:lineRule="auto"/>
        <w:jc w:val="right"/>
        <w:rPr>
          <w:rFonts w:hint="default"/>
          <w:b w:val="0"/>
          <w:color w:val="4A4A4A"/>
          <w:sz w:val="22"/>
          <w:lang w:val="en-GB"/>
        </w:rPr>
      </w:pPr>
    </w:p>
    <w:p w14:paraId="0DE981E1">
      <w:pPr>
        <w:bidi w:val="0"/>
        <w:spacing w:after="120" w:line="240" w:lineRule="auto"/>
        <w:jc w:val="right"/>
        <w:rPr>
          <w:rFonts w:hint="default"/>
          <w:b w:val="0"/>
          <w:color w:val="4A4A4A"/>
          <w:sz w:val="22"/>
          <w:lang w:val="en-GB"/>
        </w:rPr>
      </w:pPr>
      <w:r>
        <w:rPr>
          <w:rFonts w:hint="default"/>
          <w:b w:val="0"/>
          <w:color w:val="4A4A4A"/>
          <w:sz w:val="22"/>
          <w:lang w:val="en-GB"/>
        </w:rPr>
        <w:t>- حوكمة تحدد الأدوار وآليات اتخاذ القرار والمتابعة.</w:t>
      </w:r>
    </w:p>
    <w:p w14:paraId="7583C548">
      <w:pPr>
        <w:bidi w:val="0"/>
        <w:spacing w:after="120" w:line="240" w:lineRule="auto"/>
        <w:jc w:val="right"/>
        <w:rPr>
          <w:rFonts w:hint="default"/>
          <w:b w:val="0"/>
          <w:color w:val="4A4A4A"/>
          <w:sz w:val="22"/>
          <w:lang w:val="en-GB"/>
        </w:rPr>
      </w:pPr>
    </w:p>
    <w:p w14:paraId="6D28EEF5">
      <w:pPr>
        <w:bidi w:val="0"/>
        <w:spacing w:after="120" w:line="240" w:lineRule="auto"/>
        <w:jc w:val="right"/>
        <w:rPr>
          <w:rFonts w:hint="default"/>
          <w:b w:val="0"/>
          <w:color w:val="4A4A4A"/>
          <w:sz w:val="22"/>
          <w:lang w:val="en-GB"/>
        </w:rPr>
      </w:pPr>
      <w:r>
        <w:rPr>
          <w:rFonts w:hint="default"/>
          <w:b w:val="0"/>
          <w:color w:val="4A4A4A"/>
          <w:sz w:val="22"/>
          <w:lang w:val="en-GB"/>
        </w:rPr>
        <w:t>- لوحات متابعة للمؤشرات والمخاطر وخطط الاستجابة.</w:t>
      </w:r>
    </w:p>
    <w:p w14:paraId="217C0E6F">
      <w:pPr>
        <w:bidi w:val="0"/>
        <w:spacing w:after="120" w:line="240" w:lineRule="auto"/>
        <w:jc w:val="right"/>
        <w:rPr>
          <w:rFonts w:hint="default"/>
          <w:b w:val="0"/>
          <w:color w:val="4A4A4A"/>
          <w:sz w:val="22"/>
          <w:lang w:val="en-GB"/>
        </w:rPr>
      </w:pPr>
    </w:p>
    <w:p w14:paraId="52797D6F">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المرحلية</w:t>
      </w:r>
    </w:p>
    <w:p w14:paraId="6C719DFC">
      <w:pPr>
        <w:rPr>
          <w:rFonts w:hint="default"/>
          <w:lang w:val="en-GB"/>
        </w:rPr>
      </w:pPr>
    </w:p>
    <w:p w14:paraId="710F8D51">
      <w:pPr>
        <w:bidi w:val="0"/>
        <w:spacing w:after="120" w:line="240" w:lineRule="auto"/>
        <w:jc w:val="right"/>
        <w:rPr>
          <w:rFonts w:hint="default"/>
          <w:b w:val="0"/>
          <w:color w:val="4A4A4A"/>
          <w:sz w:val="22"/>
          <w:lang w:val="en-GB"/>
        </w:rPr>
      </w:pPr>
      <w:r>
        <w:rPr>
          <w:rFonts w:hint="default"/>
          <w:b w:val="0"/>
          <w:color w:val="4A4A4A"/>
          <w:sz w:val="22"/>
          <w:lang w:val="en-GB"/>
        </w:rPr>
        <w:t>تنفذ الأعمال على مرحلتين مترابطتين. الأولى للربط والتحليل, والثانية للتصميم والمواءمة حتى الجاهزية للتنفيذ عبر خطط ومشاريع ومسارات إنعاش محددة.</w:t>
      </w:r>
    </w:p>
    <w:p w14:paraId="29280D16">
      <w:pPr>
        <w:bidi w:val="0"/>
        <w:spacing w:after="120" w:line="240" w:lineRule="auto"/>
        <w:jc w:val="right"/>
        <w:rPr>
          <w:rFonts w:hint="default"/>
          <w:b w:val="0"/>
          <w:color w:val="4A4A4A"/>
          <w:sz w:val="22"/>
          <w:lang w:val="en-GB"/>
        </w:rPr>
      </w:pPr>
    </w:p>
    <w:p w14:paraId="09489C74">
      <w:pPr>
        <w:bidi w:val="0"/>
        <w:spacing w:after="120" w:line="240" w:lineRule="auto"/>
        <w:jc w:val="right"/>
        <w:rPr>
          <w:rFonts w:hint="default"/>
          <w:b w:val="0"/>
          <w:color w:val="4A4A4A"/>
          <w:sz w:val="22"/>
          <w:lang w:val="en-GB"/>
        </w:rPr>
      </w:pPr>
      <w:r>
        <w:rPr>
          <w:rFonts w:hint="default"/>
          <w:b w:val="0"/>
          <w:color w:val="4A4A4A"/>
          <w:sz w:val="22"/>
          <w:lang w:val="en-GB"/>
        </w:rPr>
        <w:t>- المرحلة الأولى (الدراسة والتحليل – 20%): ربط المخرجات السابقة, تحليل أصحاب المصلحة, توثيق الحوكمة, مراجعات مجتمعية, مقارنة مرجعية, وإطار تصميمي للحلول.</w:t>
      </w:r>
    </w:p>
    <w:p w14:paraId="6A3CE2DB">
      <w:pPr>
        <w:bidi w:val="0"/>
        <w:spacing w:after="120" w:line="240" w:lineRule="auto"/>
        <w:jc w:val="right"/>
        <w:rPr>
          <w:rFonts w:hint="default"/>
          <w:b w:val="0"/>
          <w:color w:val="4A4A4A"/>
          <w:sz w:val="22"/>
          <w:lang w:val="en-GB"/>
        </w:rPr>
      </w:pPr>
    </w:p>
    <w:p w14:paraId="0EDF1D3E">
      <w:pPr>
        <w:bidi w:val="0"/>
        <w:spacing w:after="120" w:line="240" w:lineRule="auto"/>
        <w:jc w:val="right"/>
        <w:rPr>
          <w:rFonts w:hint="default"/>
          <w:b w:val="0"/>
          <w:color w:val="4A4A4A"/>
          <w:sz w:val="22"/>
          <w:lang w:val="en-GB"/>
        </w:rPr>
      </w:pPr>
      <w:r>
        <w:rPr>
          <w:rFonts w:hint="default"/>
          <w:b w:val="0"/>
          <w:color w:val="4A4A4A"/>
          <w:sz w:val="22"/>
          <w:lang w:val="en-GB"/>
        </w:rPr>
        <w:t>- المرحلة الثانية (التصميم والمواءمة – 80%): إطار الاستراتيجية الوطني, نظرية التغيير, الخارطة الاستراتيجية والأهداف والمؤشرات, المبادرات وخطط العمل ومسارات الإنعاش ودراسات الجدوى, نماذج العمل والتشغيل والتمويل, معمل الابتكار الاجتماعي ومنصته الرقمية, خيارات الكيانات, إطار الشراكات.</w:t>
      </w:r>
    </w:p>
    <w:p w14:paraId="27054549">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69D5026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3A140B1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514DD77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التركيز</w:t>
            </w:r>
          </w:p>
        </w:tc>
        <w:tc>
          <w:tcPr>
            <w:tcW w:w="1667" w:type="pct"/>
          </w:tcPr>
          <w:p w14:paraId="7187348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النسبة الإرشادية</w:t>
            </w:r>
          </w:p>
        </w:tc>
      </w:tr>
      <w:tr w14:paraId="43D0EF3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D2C5DA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الدراسة والتحليل</w:t>
            </w:r>
          </w:p>
        </w:tc>
        <w:tc>
          <w:tcPr>
            <w:tcW w:w="1667" w:type="pct"/>
          </w:tcPr>
          <w:p w14:paraId="379CC55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الربط والتحليل المقارن وإطار الحلول</w:t>
            </w:r>
          </w:p>
        </w:tc>
        <w:tc>
          <w:tcPr>
            <w:tcW w:w="1667" w:type="pct"/>
          </w:tcPr>
          <w:p w14:paraId="3946B91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r>
      <w:tr w14:paraId="4378CFC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D5CBD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التصميم والمواءمة</w:t>
            </w:r>
          </w:p>
        </w:tc>
        <w:tc>
          <w:tcPr>
            <w:tcW w:w="1667" w:type="pct"/>
          </w:tcPr>
          <w:p w14:paraId="221532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بناء الاستراتيجية والمبادرات والنماذج والتفعيل</w:t>
            </w:r>
          </w:p>
        </w:tc>
        <w:tc>
          <w:tcPr>
            <w:tcW w:w="1667" w:type="pct"/>
          </w:tcPr>
          <w:p w14:paraId="320532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80%</w:t>
            </w:r>
          </w:p>
        </w:tc>
      </w:tr>
    </w:tbl>
    <w:p w14:paraId="0BFB5BB2">
      <w:pPr>
        <w:bidi w:val="0"/>
        <w:spacing w:after="120" w:line="240" w:lineRule="auto"/>
        <w:jc w:val="right"/>
        <w:rPr>
          <w:rFonts w:hint="default"/>
          <w:b w:val="0"/>
          <w:color w:val="4A4A4A"/>
          <w:sz w:val="22"/>
          <w:lang w:val="en-GB"/>
        </w:rPr>
      </w:pPr>
    </w:p>
    <w:p w14:paraId="7D78F2D7">
      <w:pPr>
        <w:pStyle w:val="2"/>
        <w:bidi w:val="0"/>
        <w:spacing w:before="0" w:after="120" w:line="240" w:lineRule="auto"/>
        <w:jc w:val="right"/>
        <w:rPr>
          <w:rFonts w:hint="default"/>
          <w:b/>
          <w:color w:val="2D2D2D"/>
          <w:sz w:val="28"/>
          <w:lang w:val="en-GB"/>
        </w:rPr>
      </w:pPr>
      <w:r>
        <w:rPr>
          <w:rFonts w:hint="default"/>
          <w:b/>
          <w:color w:val="2D2D2D"/>
          <w:sz w:val="28"/>
          <w:lang w:val="en-GB"/>
        </w:rPr>
        <w:t>ركائز المنهجية</w:t>
      </w:r>
    </w:p>
    <w:p w14:paraId="617341A7">
      <w:pPr>
        <w:rPr>
          <w:rFonts w:hint="default"/>
          <w:lang w:val="en-GB"/>
        </w:rPr>
      </w:pPr>
    </w:p>
    <w:p w14:paraId="4B9FACA3">
      <w:pPr>
        <w:bidi w:val="0"/>
        <w:spacing w:after="120" w:line="240" w:lineRule="auto"/>
        <w:jc w:val="right"/>
        <w:rPr>
          <w:rFonts w:hint="default"/>
          <w:b w:val="0"/>
          <w:color w:val="4A4A4A"/>
          <w:sz w:val="22"/>
          <w:lang w:val="en-GB"/>
        </w:rPr>
      </w:pPr>
      <w:r>
        <w:rPr>
          <w:rFonts w:hint="default"/>
          <w:b w:val="0"/>
          <w:color w:val="4A4A4A"/>
          <w:sz w:val="22"/>
          <w:lang w:val="en-GB"/>
        </w:rPr>
        <w:t>تركز المنهجية على مشاركة أصحاب المصلحة, والاعتماد على الأدلة, وضمان الجودة, وإدارة المخاطر, وتوطين المعرفة, وتمكين التنفيذ عبر نماذج عمل وتشغيل قابلة للتطبيق.</w:t>
      </w:r>
    </w:p>
    <w:p w14:paraId="0B1D30A0">
      <w:pPr>
        <w:bidi w:val="0"/>
        <w:spacing w:after="120" w:line="240" w:lineRule="auto"/>
        <w:jc w:val="right"/>
        <w:rPr>
          <w:rFonts w:hint="default"/>
          <w:b w:val="0"/>
          <w:color w:val="4A4A4A"/>
          <w:sz w:val="22"/>
          <w:lang w:val="en-GB"/>
        </w:rPr>
      </w:pPr>
    </w:p>
    <w:p w14:paraId="078C2BCF">
      <w:pPr>
        <w:bidi w:val="0"/>
        <w:spacing w:after="120" w:line="240" w:lineRule="auto"/>
        <w:jc w:val="right"/>
        <w:rPr>
          <w:rFonts w:hint="default"/>
          <w:b w:val="0"/>
          <w:color w:val="4A4A4A"/>
          <w:sz w:val="22"/>
          <w:lang w:val="en-GB"/>
        </w:rPr>
      </w:pPr>
      <w:r>
        <w:rPr>
          <w:rFonts w:hint="default"/>
          <w:b w:val="0"/>
          <w:color w:val="4A4A4A"/>
          <w:sz w:val="22"/>
          <w:lang w:val="en-GB"/>
        </w:rPr>
        <w:t>- التشاركية والاندماج المجتمعي.</w:t>
      </w:r>
    </w:p>
    <w:p w14:paraId="4521F9F5">
      <w:pPr>
        <w:bidi w:val="0"/>
        <w:spacing w:after="120" w:line="240" w:lineRule="auto"/>
        <w:jc w:val="right"/>
        <w:rPr>
          <w:rFonts w:hint="default"/>
          <w:b w:val="0"/>
          <w:color w:val="4A4A4A"/>
          <w:sz w:val="22"/>
          <w:lang w:val="en-GB"/>
        </w:rPr>
      </w:pPr>
    </w:p>
    <w:p w14:paraId="6CC0CE84">
      <w:pPr>
        <w:bidi w:val="0"/>
        <w:spacing w:after="120" w:line="240" w:lineRule="auto"/>
        <w:jc w:val="right"/>
        <w:rPr>
          <w:rFonts w:hint="default"/>
          <w:b w:val="0"/>
          <w:color w:val="4A4A4A"/>
          <w:sz w:val="22"/>
          <w:lang w:val="en-GB"/>
        </w:rPr>
      </w:pPr>
      <w:r>
        <w:rPr>
          <w:rFonts w:hint="default"/>
          <w:b w:val="0"/>
          <w:color w:val="4A4A4A"/>
          <w:sz w:val="22"/>
          <w:lang w:val="en-GB"/>
        </w:rPr>
        <w:t>- الاستناد إلى البيانات والتحليل المقارن.</w:t>
      </w:r>
    </w:p>
    <w:p w14:paraId="04BB5FD1">
      <w:pPr>
        <w:bidi w:val="0"/>
        <w:spacing w:after="120" w:line="240" w:lineRule="auto"/>
        <w:jc w:val="right"/>
        <w:rPr>
          <w:rFonts w:hint="default"/>
          <w:b w:val="0"/>
          <w:color w:val="4A4A4A"/>
          <w:sz w:val="22"/>
          <w:lang w:val="en-GB"/>
        </w:rPr>
      </w:pPr>
    </w:p>
    <w:p w14:paraId="1BE39F14">
      <w:pPr>
        <w:bidi w:val="0"/>
        <w:spacing w:after="120" w:line="240" w:lineRule="auto"/>
        <w:jc w:val="right"/>
        <w:rPr>
          <w:rFonts w:hint="default"/>
          <w:b w:val="0"/>
          <w:color w:val="4A4A4A"/>
          <w:sz w:val="22"/>
          <w:lang w:val="en-GB"/>
        </w:rPr>
      </w:pPr>
      <w:r>
        <w:rPr>
          <w:rFonts w:hint="default"/>
          <w:b w:val="0"/>
          <w:color w:val="4A4A4A"/>
          <w:sz w:val="22"/>
          <w:lang w:val="en-GB"/>
        </w:rPr>
        <w:t>- إدارة جودة قائمة على بوابات قبول للمخرجات.</w:t>
      </w:r>
    </w:p>
    <w:p w14:paraId="6926FD3E">
      <w:pPr>
        <w:bidi w:val="0"/>
        <w:spacing w:after="120" w:line="240" w:lineRule="auto"/>
        <w:jc w:val="right"/>
        <w:rPr>
          <w:rFonts w:hint="default"/>
          <w:b w:val="0"/>
          <w:color w:val="4A4A4A"/>
          <w:sz w:val="22"/>
          <w:lang w:val="en-GB"/>
        </w:rPr>
      </w:pPr>
    </w:p>
    <w:p w14:paraId="14B7739D">
      <w:pPr>
        <w:bidi w:val="0"/>
        <w:spacing w:after="120" w:line="240" w:lineRule="auto"/>
        <w:jc w:val="right"/>
        <w:rPr>
          <w:rFonts w:hint="default"/>
          <w:b w:val="0"/>
          <w:color w:val="4A4A4A"/>
          <w:sz w:val="22"/>
          <w:lang w:val="en-GB"/>
        </w:rPr>
      </w:pPr>
      <w:r>
        <w:rPr>
          <w:rFonts w:hint="default"/>
          <w:b w:val="0"/>
          <w:color w:val="4A4A4A"/>
          <w:sz w:val="22"/>
          <w:lang w:val="en-GB"/>
        </w:rPr>
        <w:t>- إدارة مخاطر استباقية وخطط استجابة.</w:t>
      </w:r>
    </w:p>
    <w:p w14:paraId="67327065">
      <w:pPr>
        <w:bidi w:val="0"/>
        <w:spacing w:after="120" w:line="240" w:lineRule="auto"/>
        <w:jc w:val="right"/>
        <w:rPr>
          <w:rFonts w:hint="default"/>
          <w:b w:val="0"/>
          <w:color w:val="4A4A4A"/>
          <w:sz w:val="22"/>
          <w:lang w:val="en-GB"/>
        </w:rPr>
      </w:pPr>
    </w:p>
    <w:p w14:paraId="4E13F102">
      <w:pPr>
        <w:bidi w:val="0"/>
        <w:spacing w:after="120" w:line="240" w:lineRule="auto"/>
        <w:jc w:val="right"/>
        <w:rPr>
          <w:rFonts w:hint="default"/>
          <w:b w:val="0"/>
          <w:color w:val="4A4A4A"/>
          <w:sz w:val="22"/>
          <w:lang w:val="en-GB"/>
        </w:rPr>
      </w:pPr>
      <w:r>
        <w:rPr>
          <w:rFonts w:hint="default"/>
          <w:b w:val="0"/>
          <w:color w:val="4A4A4A"/>
          <w:sz w:val="22"/>
          <w:lang w:val="en-GB"/>
        </w:rPr>
        <w:t>- نقل المعرفة وبناء القدرات.</w:t>
      </w:r>
    </w:p>
    <w:p w14:paraId="42968D97">
      <w:pPr>
        <w:bidi w:val="0"/>
        <w:spacing w:after="120" w:line="240" w:lineRule="auto"/>
        <w:jc w:val="right"/>
        <w:rPr>
          <w:rFonts w:hint="default"/>
          <w:b w:val="0"/>
          <w:color w:val="4A4A4A"/>
          <w:sz w:val="22"/>
          <w:lang w:val="en-GB"/>
        </w:rPr>
      </w:pPr>
    </w:p>
    <w:p w14:paraId="70C44E96">
      <w:pPr>
        <w:pStyle w:val="2"/>
        <w:bidi w:val="0"/>
        <w:spacing w:before="0" w:after="120" w:line="240" w:lineRule="auto"/>
        <w:jc w:val="right"/>
        <w:rPr>
          <w:rFonts w:hint="default"/>
          <w:b/>
          <w:color w:val="2D2D2D"/>
          <w:sz w:val="28"/>
          <w:lang w:val="en-GB"/>
        </w:rPr>
      </w:pPr>
      <w:r>
        <w:rPr>
          <w:rFonts w:hint="default"/>
          <w:b/>
          <w:color w:val="2D2D2D"/>
          <w:sz w:val="28"/>
          <w:lang w:val="en-GB"/>
        </w:rPr>
        <w:t>هيكلية المشروع</w:t>
      </w:r>
    </w:p>
    <w:p w14:paraId="706B1F78">
      <w:pPr>
        <w:rPr>
          <w:rFonts w:hint="default"/>
          <w:lang w:val="en-GB"/>
        </w:rPr>
      </w:pPr>
    </w:p>
    <w:p w14:paraId="22518CC8">
      <w:pPr>
        <w:bidi w:val="0"/>
        <w:spacing w:after="120" w:line="240" w:lineRule="auto"/>
        <w:jc w:val="right"/>
        <w:rPr>
          <w:rFonts w:hint="default"/>
          <w:b w:val="0"/>
          <w:color w:val="4A4A4A"/>
          <w:sz w:val="22"/>
          <w:lang w:val="en-GB"/>
        </w:rPr>
      </w:pPr>
      <w:r>
        <w:rPr>
          <w:rFonts w:hint="default"/>
          <w:b w:val="0"/>
          <w:color w:val="4A4A4A"/>
          <w:sz w:val="22"/>
          <w:lang w:val="en-GB"/>
        </w:rPr>
        <w:t>يقوم الهيكل على برنامج مركزي يضم مسارات متخصصة: الاستراتيجية, المبادرات والمشاريع, النماذج (العمل/التشغيلي/المالي), الابتكار الاجتماعي, الشراكات والكيانات. تُدار المسارات عبر حوكمة تشغيلية واضحة تربط فريق المشروع بالجهة المستفيدة.</w:t>
      </w:r>
    </w:p>
    <w:p w14:paraId="136EF73B">
      <w:pPr>
        <w:bidi w:val="0"/>
        <w:spacing w:after="120" w:line="240" w:lineRule="auto"/>
        <w:jc w:val="right"/>
        <w:rPr>
          <w:rFonts w:hint="default"/>
          <w:b w:val="0"/>
          <w:color w:val="4A4A4A"/>
          <w:sz w:val="22"/>
          <w:lang w:val="en-GB"/>
        </w:rPr>
      </w:pPr>
    </w:p>
    <w:p w14:paraId="2C4AD42B">
      <w:pPr>
        <w:bidi w:val="0"/>
        <w:spacing w:after="120" w:line="240" w:lineRule="auto"/>
        <w:jc w:val="right"/>
        <w:rPr>
          <w:rFonts w:hint="default"/>
          <w:b w:val="0"/>
          <w:color w:val="4A4A4A"/>
          <w:sz w:val="22"/>
          <w:lang w:val="en-GB"/>
        </w:rPr>
      </w:pPr>
      <w:r>
        <w:rPr>
          <w:rFonts w:hint="default"/>
          <w:b w:val="0"/>
          <w:color w:val="4A4A4A"/>
          <w:sz w:val="22"/>
          <w:lang w:val="en-GB"/>
        </w:rPr>
        <w:t>- برنامج مركزي ومسارات متخصصة لكل مجموعة مخرجات.</w:t>
      </w:r>
    </w:p>
    <w:p w14:paraId="1BA3BBD8">
      <w:pPr>
        <w:bidi w:val="0"/>
        <w:spacing w:after="120" w:line="240" w:lineRule="auto"/>
        <w:jc w:val="right"/>
        <w:rPr>
          <w:rFonts w:hint="default"/>
          <w:b w:val="0"/>
          <w:color w:val="4A4A4A"/>
          <w:sz w:val="22"/>
          <w:lang w:val="en-GB"/>
        </w:rPr>
      </w:pPr>
    </w:p>
    <w:p w14:paraId="1106DE4D">
      <w:pPr>
        <w:bidi w:val="0"/>
        <w:spacing w:after="120" w:line="240" w:lineRule="auto"/>
        <w:jc w:val="right"/>
        <w:rPr>
          <w:rFonts w:hint="default"/>
          <w:b w:val="0"/>
          <w:color w:val="4A4A4A"/>
          <w:sz w:val="22"/>
          <w:lang w:val="en-GB"/>
        </w:rPr>
      </w:pPr>
      <w:r>
        <w:rPr>
          <w:rFonts w:hint="default"/>
          <w:b w:val="0"/>
          <w:color w:val="4A4A4A"/>
          <w:sz w:val="22"/>
          <w:lang w:val="en-GB"/>
        </w:rPr>
        <w:t>- لجنة قيادة ومكتب مشروع للتنسيق والمتابعة.</w:t>
      </w:r>
    </w:p>
    <w:p w14:paraId="1626B847">
      <w:pPr>
        <w:bidi w:val="0"/>
        <w:spacing w:after="120" w:line="240" w:lineRule="auto"/>
        <w:jc w:val="right"/>
        <w:rPr>
          <w:rFonts w:hint="default"/>
          <w:b w:val="0"/>
          <w:color w:val="4A4A4A"/>
          <w:sz w:val="22"/>
          <w:lang w:val="en-GB"/>
        </w:rPr>
      </w:pPr>
    </w:p>
    <w:p w14:paraId="5D481690">
      <w:pPr>
        <w:bidi w:val="0"/>
        <w:spacing w:after="120" w:line="240" w:lineRule="auto"/>
        <w:jc w:val="right"/>
        <w:rPr>
          <w:rFonts w:hint="default"/>
          <w:b w:val="0"/>
          <w:color w:val="4A4A4A"/>
          <w:sz w:val="22"/>
          <w:lang w:val="en-GB"/>
        </w:rPr>
      </w:pPr>
      <w:r>
        <w:rPr>
          <w:rFonts w:hint="default"/>
          <w:b w:val="0"/>
          <w:color w:val="4A4A4A"/>
          <w:sz w:val="22"/>
          <w:lang w:val="en-GB"/>
        </w:rPr>
        <w:t>- دوائر مراجعة فنية لقبول المخرجات.</w:t>
      </w:r>
    </w:p>
    <w:p w14:paraId="27722D12">
      <w:pPr>
        <w:bidi w:val="0"/>
        <w:spacing w:after="120" w:line="240" w:lineRule="auto"/>
        <w:jc w:val="right"/>
        <w:rPr>
          <w:rFonts w:hint="default"/>
          <w:b w:val="0"/>
          <w:color w:val="4A4A4A"/>
          <w:sz w:val="22"/>
          <w:lang w:val="en-GB"/>
        </w:rPr>
      </w:pPr>
    </w:p>
    <w:p w14:paraId="6C6E5996">
      <w:pPr>
        <w:pStyle w:val="2"/>
        <w:bidi w:val="0"/>
        <w:spacing w:before="0" w:after="120" w:line="240" w:lineRule="auto"/>
        <w:jc w:val="right"/>
        <w:rPr>
          <w:rFonts w:hint="default"/>
          <w:b/>
          <w:color w:val="2D2D2D"/>
          <w:sz w:val="28"/>
          <w:lang w:val="en-GB"/>
        </w:rPr>
      </w:pPr>
      <w:r>
        <w:rPr>
          <w:rFonts w:hint="default"/>
          <w:b/>
          <w:color w:val="2D2D2D"/>
          <w:sz w:val="28"/>
          <w:lang w:val="en-GB"/>
        </w:rPr>
        <w:t>المكونات النظامية</w:t>
      </w:r>
    </w:p>
    <w:p w14:paraId="1ADB8423">
      <w:pPr>
        <w:rPr>
          <w:rFonts w:hint="default"/>
          <w:lang w:val="en-GB"/>
        </w:rPr>
      </w:pPr>
    </w:p>
    <w:p w14:paraId="5A3EDB57">
      <w:pPr>
        <w:bidi w:val="0"/>
        <w:spacing w:after="120" w:line="240" w:lineRule="auto"/>
        <w:jc w:val="right"/>
        <w:rPr>
          <w:rFonts w:hint="default"/>
          <w:b w:val="0"/>
          <w:color w:val="4A4A4A"/>
          <w:sz w:val="22"/>
          <w:lang w:val="en-GB"/>
        </w:rPr>
      </w:pPr>
      <w:r>
        <w:rPr>
          <w:rFonts w:hint="default"/>
          <w:b w:val="0"/>
          <w:color w:val="4A4A4A"/>
          <w:sz w:val="22"/>
          <w:lang w:val="en-GB"/>
        </w:rPr>
        <w:t>المكونات النظامية للمشروع خدماتية-استشارية وتشمل: إدارة البرنامج, مسارات العمل المتخصصة, حوكمة القرارات, إدارة الوثائق, وإطار المتابعة للمؤشرات والمخاطر.</w:t>
      </w:r>
    </w:p>
    <w:p w14:paraId="0526E9B6">
      <w:pPr>
        <w:bidi w:val="0"/>
        <w:spacing w:after="120" w:line="240" w:lineRule="auto"/>
        <w:jc w:val="right"/>
        <w:rPr>
          <w:rFonts w:hint="default"/>
          <w:b w:val="0"/>
          <w:color w:val="4A4A4A"/>
          <w:sz w:val="22"/>
          <w:lang w:val="en-GB"/>
        </w:rPr>
      </w:pPr>
    </w:p>
    <w:p w14:paraId="5B4AA907">
      <w:pPr>
        <w:bidi w:val="0"/>
        <w:spacing w:after="120" w:line="240" w:lineRule="auto"/>
        <w:jc w:val="right"/>
        <w:rPr>
          <w:rFonts w:hint="default"/>
          <w:b w:val="0"/>
          <w:color w:val="4A4A4A"/>
          <w:sz w:val="22"/>
          <w:lang w:val="en-GB"/>
        </w:rPr>
      </w:pPr>
      <w:r>
        <w:rPr>
          <w:rFonts w:hint="default"/>
          <w:b w:val="0"/>
          <w:color w:val="4A4A4A"/>
          <w:sz w:val="22"/>
          <w:lang w:val="en-GB"/>
        </w:rPr>
        <w:t>- إدارة برنامج ومكتب مشروع.</w:t>
      </w:r>
    </w:p>
    <w:p w14:paraId="73CFB5B8">
      <w:pPr>
        <w:bidi w:val="0"/>
        <w:spacing w:after="120" w:line="240" w:lineRule="auto"/>
        <w:jc w:val="right"/>
        <w:rPr>
          <w:rFonts w:hint="default"/>
          <w:b w:val="0"/>
          <w:color w:val="4A4A4A"/>
          <w:sz w:val="22"/>
          <w:lang w:val="en-GB"/>
        </w:rPr>
      </w:pPr>
    </w:p>
    <w:p w14:paraId="7B9EACA2">
      <w:pPr>
        <w:bidi w:val="0"/>
        <w:spacing w:after="120" w:line="240" w:lineRule="auto"/>
        <w:jc w:val="right"/>
        <w:rPr>
          <w:rFonts w:hint="default"/>
          <w:b w:val="0"/>
          <w:color w:val="4A4A4A"/>
          <w:sz w:val="22"/>
          <w:lang w:val="en-GB"/>
        </w:rPr>
      </w:pPr>
      <w:r>
        <w:rPr>
          <w:rFonts w:hint="default"/>
          <w:b w:val="0"/>
          <w:color w:val="4A4A4A"/>
          <w:sz w:val="22"/>
          <w:lang w:val="en-GB"/>
        </w:rPr>
        <w:t>- مسارات: التحليل, الاستراتيجية, المبادرات, النماذج, الابتكار, الشراكات.</w:t>
      </w:r>
    </w:p>
    <w:p w14:paraId="3E81EC7A">
      <w:pPr>
        <w:bidi w:val="0"/>
        <w:spacing w:after="120" w:line="240" w:lineRule="auto"/>
        <w:jc w:val="right"/>
        <w:rPr>
          <w:rFonts w:hint="default"/>
          <w:b w:val="0"/>
          <w:color w:val="4A4A4A"/>
          <w:sz w:val="22"/>
          <w:lang w:val="en-GB"/>
        </w:rPr>
      </w:pPr>
    </w:p>
    <w:p w14:paraId="7C3E9076">
      <w:pPr>
        <w:bidi w:val="0"/>
        <w:spacing w:after="120" w:line="240" w:lineRule="auto"/>
        <w:jc w:val="right"/>
        <w:rPr>
          <w:rFonts w:hint="default"/>
          <w:b w:val="0"/>
          <w:color w:val="4A4A4A"/>
          <w:sz w:val="22"/>
          <w:lang w:val="en-GB"/>
        </w:rPr>
      </w:pPr>
      <w:r>
        <w:rPr>
          <w:rFonts w:hint="default"/>
          <w:b w:val="0"/>
          <w:color w:val="4A4A4A"/>
          <w:sz w:val="22"/>
          <w:lang w:val="en-GB"/>
        </w:rPr>
        <w:t>- مستودع وثائقي موحد وإجراءات إصدار/اعتماد.</w:t>
      </w:r>
    </w:p>
    <w:p w14:paraId="50BCB567">
      <w:pPr>
        <w:bidi w:val="0"/>
        <w:spacing w:after="120" w:line="240" w:lineRule="auto"/>
        <w:jc w:val="right"/>
        <w:rPr>
          <w:rFonts w:hint="default"/>
          <w:b w:val="0"/>
          <w:color w:val="4A4A4A"/>
          <w:sz w:val="22"/>
          <w:lang w:val="en-GB"/>
        </w:rPr>
      </w:pPr>
    </w:p>
    <w:p w14:paraId="494D3807">
      <w:pPr>
        <w:pStyle w:val="2"/>
        <w:bidi w:val="0"/>
        <w:spacing w:before="0" w:after="120" w:line="240" w:lineRule="auto"/>
        <w:jc w:val="right"/>
        <w:rPr>
          <w:rFonts w:hint="default"/>
          <w:b/>
          <w:color w:val="2D2D2D"/>
          <w:sz w:val="28"/>
          <w:lang w:val="en-GB"/>
        </w:rPr>
      </w:pPr>
      <w:r>
        <w:rPr>
          <w:rFonts w:hint="default"/>
          <w:b/>
          <w:color w:val="2D2D2D"/>
          <w:sz w:val="28"/>
          <w:lang w:val="en-GB"/>
        </w:rPr>
        <w:t>تدفق البيانات والتكامل</w:t>
      </w:r>
    </w:p>
    <w:p w14:paraId="7053FF64">
      <w:pPr>
        <w:rPr>
          <w:rFonts w:hint="default"/>
          <w:lang w:val="en-GB"/>
        </w:rPr>
      </w:pPr>
    </w:p>
    <w:p w14:paraId="185677B9">
      <w:pPr>
        <w:bidi w:val="0"/>
        <w:spacing w:after="120" w:line="240" w:lineRule="auto"/>
        <w:jc w:val="right"/>
        <w:rPr>
          <w:rFonts w:hint="default"/>
          <w:b w:val="0"/>
          <w:color w:val="4A4A4A"/>
          <w:sz w:val="22"/>
          <w:lang w:val="en-GB"/>
        </w:rPr>
      </w:pPr>
      <w:r>
        <w:rPr>
          <w:rFonts w:hint="default"/>
          <w:b w:val="0"/>
          <w:color w:val="4A4A4A"/>
          <w:sz w:val="22"/>
          <w:lang w:val="en-GB"/>
        </w:rPr>
        <w:t>يبدأ التدفق من مصادر البيانات المتاحة لدى الجهة ومخرجات الدراسات السابقة, مروراً بتحليلات مرحلية موثقة, وينتهي إلى وثائق استراتيجية ونماذج تشغيلية ومالية قابلة للتنفيذ, مع تتبع للمخاطر والمؤشرات وخطط الاستجابة.</w:t>
      </w:r>
    </w:p>
    <w:p w14:paraId="0DB7D8D3">
      <w:pPr>
        <w:bidi w:val="0"/>
        <w:spacing w:after="120" w:line="240" w:lineRule="auto"/>
        <w:jc w:val="right"/>
        <w:rPr>
          <w:rFonts w:hint="default"/>
          <w:b w:val="0"/>
          <w:color w:val="4A4A4A"/>
          <w:sz w:val="22"/>
          <w:lang w:val="en-GB"/>
        </w:rPr>
      </w:pPr>
    </w:p>
    <w:p w14:paraId="5501B26D">
      <w:pPr>
        <w:bidi w:val="0"/>
        <w:spacing w:after="120" w:line="240" w:lineRule="auto"/>
        <w:jc w:val="right"/>
        <w:rPr>
          <w:rFonts w:hint="default"/>
          <w:b w:val="0"/>
          <w:color w:val="4A4A4A"/>
          <w:sz w:val="22"/>
          <w:lang w:val="en-GB"/>
        </w:rPr>
      </w:pPr>
      <w:r>
        <w:rPr>
          <w:rFonts w:hint="default"/>
          <w:b w:val="0"/>
          <w:color w:val="4A4A4A"/>
          <w:sz w:val="22"/>
          <w:lang w:val="en-GB"/>
        </w:rPr>
        <w:t>- تجميع وربط وتحليل البيانات من المصادر المتاحة.</w:t>
      </w:r>
    </w:p>
    <w:p w14:paraId="70A008C6">
      <w:pPr>
        <w:bidi w:val="0"/>
        <w:spacing w:after="120" w:line="240" w:lineRule="auto"/>
        <w:jc w:val="right"/>
        <w:rPr>
          <w:rFonts w:hint="default"/>
          <w:b w:val="0"/>
          <w:color w:val="4A4A4A"/>
          <w:sz w:val="22"/>
          <w:lang w:val="en-GB"/>
        </w:rPr>
      </w:pPr>
    </w:p>
    <w:p w14:paraId="1AA6088D">
      <w:pPr>
        <w:bidi w:val="0"/>
        <w:spacing w:after="120" w:line="240" w:lineRule="auto"/>
        <w:jc w:val="right"/>
        <w:rPr>
          <w:rFonts w:hint="default"/>
          <w:b w:val="0"/>
          <w:color w:val="4A4A4A"/>
          <w:sz w:val="22"/>
          <w:lang w:val="en-GB"/>
        </w:rPr>
      </w:pPr>
      <w:r>
        <w:rPr>
          <w:rFonts w:hint="default"/>
          <w:b w:val="0"/>
          <w:color w:val="4A4A4A"/>
          <w:sz w:val="22"/>
          <w:lang w:val="en-GB"/>
        </w:rPr>
        <w:t>- إجراءات تحقق وجودة على المدخلات والمخرجات.</w:t>
      </w:r>
    </w:p>
    <w:p w14:paraId="4C302CFF">
      <w:pPr>
        <w:bidi w:val="0"/>
        <w:spacing w:after="120" w:line="240" w:lineRule="auto"/>
        <w:jc w:val="right"/>
        <w:rPr>
          <w:rFonts w:hint="default"/>
          <w:b w:val="0"/>
          <w:color w:val="4A4A4A"/>
          <w:sz w:val="22"/>
          <w:lang w:val="en-GB"/>
        </w:rPr>
      </w:pPr>
    </w:p>
    <w:p w14:paraId="29FA8223">
      <w:pPr>
        <w:bidi w:val="0"/>
        <w:spacing w:after="120" w:line="240" w:lineRule="auto"/>
        <w:jc w:val="right"/>
        <w:rPr>
          <w:rFonts w:hint="default"/>
          <w:b w:val="0"/>
          <w:color w:val="4A4A4A"/>
          <w:sz w:val="22"/>
          <w:lang w:val="en-GB"/>
        </w:rPr>
      </w:pPr>
      <w:r>
        <w:rPr>
          <w:rFonts w:hint="default"/>
          <w:b w:val="0"/>
          <w:color w:val="4A4A4A"/>
          <w:sz w:val="22"/>
          <w:lang w:val="en-GB"/>
        </w:rPr>
        <w:t>- ربط منطقي بين الأهداف والمؤشرات والمبادرات ومسارات الإنعاش.</w:t>
      </w:r>
    </w:p>
    <w:p w14:paraId="4107AE7B">
      <w:pPr>
        <w:bidi w:val="0"/>
        <w:spacing w:after="120" w:line="240" w:lineRule="auto"/>
        <w:jc w:val="right"/>
        <w:rPr>
          <w:rFonts w:hint="default"/>
          <w:b w:val="0"/>
          <w:color w:val="4A4A4A"/>
          <w:sz w:val="22"/>
          <w:lang w:val="en-GB"/>
        </w:rPr>
      </w:pPr>
    </w:p>
    <w:p w14:paraId="05403708">
      <w:pPr>
        <w:pStyle w:val="2"/>
        <w:bidi w:val="0"/>
        <w:spacing w:before="0" w:after="120" w:line="240" w:lineRule="auto"/>
        <w:jc w:val="right"/>
        <w:rPr>
          <w:rFonts w:hint="default"/>
          <w:b/>
          <w:color w:val="2D2D2D"/>
          <w:sz w:val="28"/>
          <w:lang w:val="en-GB"/>
        </w:rPr>
      </w:pPr>
      <w:r>
        <w:rPr>
          <w:rFonts w:hint="default"/>
          <w:b/>
          <w:color w:val="2D2D2D"/>
          <w:sz w:val="28"/>
          <w:lang w:val="en-GB"/>
        </w:rPr>
        <w:t>البنية التقنية</w:t>
      </w:r>
    </w:p>
    <w:p w14:paraId="60295D11">
      <w:pPr>
        <w:rPr>
          <w:rFonts w:hint="default"/>
          <w:lang w:val="en-GB"/>
        </w:rPr>
      </w:pPr>
    </w:p>
    <w:p w14:paraId="657B89F4">
      <w:pPr>
        <w:bidi w:val="0"/>
        <w:spacing w:after="120" w:line="240" w:lineRule="auto"/>
        <w:jc w:val="right"/>
        <w:rPr>
          <w:rFonts w:hint="default"/>
          <w:b w:val="0"/>
          <w:color w:val="4A4A4A"/>
          <w:sz w:val="22"/>
          <w:lang w:val="en-GB"/>
        </w:rPr>
      </w:pPr>
      <w:r>
        <w:rPr>
          <w:rFonts w:hint="default"/>
          <w:b w:val="0"/>
          <w:color w:val="4A4A4A"/>
          <w:sz w:val="22"/>
          <w:lang w:val="en-GB"/>
        </w:rPr>
        <w:t>لا يتطلب التنفيذ تطوير بنية تقنية مخصصة؛ سيتم استخدام أدوات قياسية متاحة لدى الجهة أو المرخصة لديها لإدارة المشاريع والوثائق ولوحات المتابعة, مع الالتزام بسياسات أمن المعلومات المعمول بها لدى الجهة.</w:t>
      </w:r>
    </w:p>
    <w:p w14:paraId="3E7D4D30">
      <w:pPr>
        <w:bidi w:val="0"/>
        <w:spacing w:after="120" w:line="240" w:lineRule="auto"/>
        <w:jc w:val="right"/>
        <w:rPr>
          <w:rFonts w:hint="default"/>
          <w:b w:val="0"/>
          <w:color w:val="4A4A4A"/>
          <w:sz w:val="22"/>
          <w:lang w:val="en-GB"/>
        </w:rPr>
      </w:pPr>
    </w:p>
    <w:p w14:paraId="1342DF1F">
      <w:pPr>
        <w:bidi w:val="0"/>
        <w:spacing w:after="120" w:line="240" w:lineRule="auto"/>
        <w:jc w:val="right"/>
        <w:rPr>
          <w:rFonts w:hint="default"/>
          <w:b w:val="0"/>
          <w:color w:val="4A4A4A"/>
          <w:sz w:val="22"/>
          <w:lang w:val="en-GB"/>
        </w:rPr>
      </w:pPr>
      <w:r>
        <w:rPr>
          <w:rFonts w:hint="default"/>
          <w:b w:val="0"/>
          <w:color w:val="4A4A4A"/>
          <w:sz w:val="22"/>
          <w:lang w:val="en-GB"/>
        </w:rPr>
        <w:t>- اعتماد أدوات قياسية لإدارة المشروع والوثائق.</w:t>
      </w:r>
    </w:p>
    <w:p w14:paraId="09866667">
      <w:pPr>
        <w:bidi w:val="0"/>
        <w:spacing w:after="120" w:line="240" w:lineRule="auto"/>
        <w:jc w:val="right"/>
        <w:rPr>
          <w:rFonts w:hint="default"/>
          <w:b w:val="0"/>
          <w:color w:val="4A4A4A"/>
          <w:sz w:val="22"/>
          <w:lang w:val="en-GB"/>
        </w:rPr>
      </w:pPr>
    </w:p>
    <w:p w14:paraId="58AB7011">
      <w:pPr>
        <w:bidi w:val="0"/>
        <w:spacing w:after="120" w:line="240" w:lineRule="auto"/>
        <w:jc w:val="right"/>
        <w:rPr>
          <w:rFonts w:hint="default"/>
          <w:b w:val="0"/>
          <w:color w:val="4A4A4A"/>
          <w:sz w:val="22"/>
          <w:lang w:val="en-GB"/>
        </w:rPr>
      </w:pPr>
      <w:r>
        <w:rPr>
          <w:rFonts w:hint="default"/>
          <w:b w:val="0"/>
          <w:color w:val="4A4A4A"/>
          <w:sz w:val="22"/>
          <w:lang w:val="en-GB"/>
        </w:rPr>
        <w:t>- لوحات متابعة للمؤشرات والمخاطر وفق احتياج الجهة.</w:t>
      </w:r>
    </w:p>
    <w:p w14:paraId="6589BA65">
      <w:pPr>
        <w:bidi w:val="0"/>
        <w:spacing w:after="120" w:line="240" w:lineRule="auto"/>
        <w:jc w:val="right"/>
        <w:rPr>
          <w:rFonts w:hint="default"/>
          <w:b w:val="0"/>
          <w:color w:val="4A4A4A"/>
          <w:sz w:val="22"/>
          <w:lang w:val="en-GB"/>
        </w:rPr>
      </w:pPr>
    </w:p>
    <w:p w14:paraId="2AE91B9C">
      <w:pPr>
        <w:bidi w:val="0"/>
        <w:spacing w:after="120" w:line="240" w:lineRule="auto"/>
        <w:jc w:val="right"/>
        <w:rPr>
          <w:rFonts w:hint="default"/>
          <w:b w:val="0"/>
          <w:color w:val="4A4A4A"/>
          <w:sz w:val="22"/>
          <w:lang w:val="en-GB"/>
        </w:rPr>
      </w:pPr>
      <w:r>
        <w:rPr>
          <w:rFonts w:hint="default"/>
          <w:b w:val="0"/>
          <w:color w:val="4A4A4A"/>
          <w:sz w:val="22"/>
          <w:lang w:val="en-GB"/>
        </w:rPr>
        <w:t>- الامتثال لإرشادات أمن المعلومات لدى الجهة.</w:t>
      </w:r>
    </w:p>
    <w:p w14:paraId="0AA8230A">
      <w:pPr>
        <w:bidi w:val="0"/>
        <w:spacing w:after="120" w:line="240" w:lineRule="auto"/>
        <w:jc w:val="right"/>
        <w:rPr>
          <w:rFonts w:hint="default"/>
          <w:b w:val="0"/>
          <w:color w:val="4A4A4A"/>
          <w:sz w:val="22"/>
          <w:lang w:val="en-GB"/>
        </w:rPr>
      </w:pPr>
    </w:p>
    <w:p w14:paraId="5E976AAC">
      <w:pPr>
        <w:pStyle w:val="2"/>
        <w:bidi w:val="0"/>
        <w:spacing w:before="0" w:after="120" w:line="240" w:lineRule="auto"/>
        <w:jc w:val="right"/>
        <w:rPr>
          <w:rFonts w:hint="default"/>
          <w:b/>
          <w:color w:val="2D2D2D"/>
          <w:sz w:val="28"/>
          <w:lang w:val="en-GB"/>
        </w:rPr>
      </w:pPr>
      <w:r>
        <w:rPr>
          <w:rFonts w:hint="default"/>
          <w:b/>
          <w:color w:val="2D2D2D"/>
          <w:sz w:val="28"/>
          <w:lang w:val="en-GB"/>
        </w:rPr>
        <w:t>الخبرة ذات الصلة وأمثلة المشاريع</w:t>
      </w:r>
    </w:p>
    <w:p w14:paraId="295A82D1">
      <w:pPr>
        <w:rPr>
          <w:rFonts w:hint="default"/>
          <w:lang w:val="en-GB"/>
        </w:rPr>
      </w:pPr>
    </w:p>
    <w:p w14:paraId="66BE4DFF">
      <w:pPr>
        <w:bidi w:val="0"/>
        <w:spacing w:after="120" w:line="240" w:lineRule="auto"/>
        <w:jc w:val="right"/>
        <w:rPr>
          <w:rFonts w:hint="default"/>
          <w:b w:val="0"/>
          <w:color w:val="4A4A4A"/>
          <w:sz w:val="22"/>
          <w:lang w:val="en-GB"/>
        </w:rPr>
      </w:pPr>
      <w:r>
        <w:rPr>
          <w:rFonts w:hint="default"/>
          <w:b w:val="0"/>
          <w:color w:val="4A4A4A"/>
          <w:sz w:val="22"/>
          <w:lang w:val="en-GB"/>
        </w:rPr>
        <w:t>لدى Strategy Impetus سجل عملي داعم لنطاق المشروع المقترح, يشمل مسوحات اجتماعية واقتصادية وتقييم احتياجات ريفية على نطاق واسع وببيانات ضخمة, ما يعزز القدرة على التحليل والتصميم وربط النتائج بالأثر.</w:t>
      </w:r>
    </w:p>
    <w:p w14:paraId="12050A38">
      <w:pPr>
        <w:bidi w:val="0"/>
        <w:spacing w:after="120" w:line="240" w:lineRule="auto"/>
        <w:jc w:val="right"/>
        <w:rPr>
          <w:rFonts w:hint="default"/>
          <w:b w:val="0"/>
          <w:color w:val="4A4A4A"/>
          <w:sz w:val="22"/>
          <w:lang w:val="en-GB"/>
        </w:rPr>
      </w:pPr>
    </w:p>
    <w:p w14:paraId="6BC2BF2D">
      <w:pPr>
        <w:bidi w:val="0"/>
        <w:spacing w:after="120" w:line="240" w:lineRule="auto"/>
        <w:jc w:val="right"/>
        <w:rPr>
          <w:rFonts w:hint="default"/>
          <w:b w:val="0"/>
          <w:color w:val="4A4A4A"/>
          <w:sz w:val="22"/>
          <w:lang w:val="en-GB"/>
        </w:rPr>
      </w:pPr>
      <w:r>
        <w:rPr>
          <w:rFonts w:hint="default"/>
          <w:b w:val="0"/>
          <w:color w:val="4A4A4A"/>
          <w:sz w:val="22"/>
          <w:lang w:val="en-GB"/>
        </w:rPr>
        <w:t>- مسوحات اجتماعية واقتصادية للمناطق ذات الأولوية (المرحلة الأولى): 5 ملايين نقطة بيانات, 6 مسوحات منفذة.</w:t>
      </w:r>
    </w:p>
    <w:p w14:paraId="28265498">
      <w:pPr>
        <w:bidi w:val="0"/>
        <w:spacing w:after="120" w:line="240" w:lineRule="auto"/>
        <w:jc w:val="right"/>
        <w:rPr>
          <w:rFonts w:hint="default"/>
          <w:b w:val="0"/>
          <w:color w:val="4A4A4A"/>
          <w:sz w:val="22"/>
          <w:lang w:val="en-GB"/>
        </w:rPr>
      </w:pPr>
    </w:p>
    <w:p w14:paraId="1A30540A">
      <w:pPr>
        <w:bidi w:val="0"/>
        <w:spacing w:after="120" w:line="240" w:lineRule="auto"/>
        <w:jc w:val="right"/>
        <w:rPr>
          <w:rFonts w:hint="default"/>
          <w:b w:val="0"/>
          <w:color w:val="4A4A4A"/>
          <w:sz w:val="22"/>
          <w:lang w:val="en-GB"/>
        </w:rPr>
      </w:pPr>
      <w:r>
        <w:rPr>
          <w:rFonts w:hint="default"/>
          <w:b w:val="0"/>
          <w:color w:val="4A4A4A"/>
          <w:sz w:val="22"/>
          <w:lang w:val="en-GB"/>
        </w:rPr>
        <w:t>- تقييم احتياجات المجتمع للقرى الريفية: 7 ملايين نقطة بيانات, 12 مسحاً منفذاً.</w:t>
      </w:r>
    </w:p>
    <w:p w14:paraId="6247ACB4">
      <w:pPr>
        <w:bidi w:val="0"/>
        <w:spacing w:after="120" w:line="240" w:lineRule="auto"/>
        <w:jc w:val="right"/>
        <w:rPr>
          <w:rFonts w:hint="default"/>
          <w:b w:val="0"/>
          <w:color w:val="4A4A4A"/>
          <w:sz w:val="22"/>
          <w:lang w:val="en-GB"/>
        </w:rPr>
      </w:pPr>
    </w:p>
    <w:p w14:paraId="4D344B92">
      <w:pPr>
        <w:bidi w:val="0"/>
        <w:spacing w:after="120" w:line="240" w:lineRule="auto"/>
        <w:jc w:val="right"/>
        <w:rPr>
          <w:rFonts w:hint="default"/>
          <w:b w:val="0"/>
          <w:color w:val="4A4A4A"/>
          <w:sz w:val="22"/>
          <w:lang w:val="en-GB"/>
        </w:rPr>
      </w:pPr>
      <w:r>
        <w:rPr>
          <w:rFonts w:hint="default"/>
          <w:b w:val="0"/>
          <w:color w:val="4A4A4A"/>
          <w:sz w:val="22"/>
          <w:lang w:val="en-GB"/>
        </w:rPr>
        <w:t>- شبكة معرفية مع شركاء دوليين (IDR Australia, Arthur D. Little, PEMANDU Associates, Simon-Kucher) دون الإخلال بنطاق هذا المشروع.</w:t>
      </w:r>
    </w:p>
    <w:p w14:paraId="0E57AF95">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1827E37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8C8983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المشروع</w:t>
            </w:r>
          </w:p>
        </w:tc>
        <w:tc>
          <w:tcPr>
            <w:tcW w:w="1667" w:type="pct"/>
          </w:tcPr>
          <w:p w14:paraId="2CC39CF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المجال</w:t>
            </w:r>
          </w:p>
        </w:tc>
        <w:tc>
          <w:tcPr>
            <w:tcW w:w="1667" w:type="pct"/>
          </w:tcPr>
          <w:p w14:paraId="22E3951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النتائج</w:t>
            </w:r>
          </w:p>
        </w:tc>
      </w:tr>
      <w:tr w14:paraId="3281B00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195155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مسوحات اجتماعية واقتصادية</w:t>
            </w:r>
          </w:p>
        </w:tc>
        <w:tc>
          <w:tcPr>
            <w:tcW w:w="1667" w:type="pct"/>
          </w:tcPr>
          <w:p w14:paraId="5D6E9A5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جمع وتحليل بيانات</w:t>
            </w:r>
          </w:p>
        </w:tc>
        <w:tc>
          <w:tcPr>
            <w:tcW w:w="1667" w:type="pct"/>
          </w:tcPr>
          <w:p w14:paraId="7145A95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5M نقطة بيانات, 6 مسوحات</w:t>
            </w:r>
          </w:p>
        </w:tc>
      </w:tr>
      <w:tr w14:paraId="5999F78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214FDA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تقييم احتياجات القرى الريفية</w:t>
            </w:r>
          </w:p>
        </w:tc>
        <w:tc>
          <w:tcPr>
            <w:tcW w:w="1667" w:type="pct"/>
          </w:tcPr>
          <w:p w14:paraId="4DA145B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احتياجات وقدرات</w:t>
            </w:r>
          </w:p>
        </w:tc>
        <w:tc>
          <w:tcPr>
            <w:tcW w:w="1667" w:type="pct"/>
          </w:tcPr>
          <w:p w14:paraId="2A1B1CB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7M نقطة بيانات, 12 مسحاً</w:t>
            </w:r>
          </w:p>
        </w:tc>
      </w:tr>
    </w:tbl>
    <w:p w14:paraId="153C6D8D">
      <w:pPr>
        <w:bidi w:val="0"/>
        <w:spacing w:after="120" w:line="240" w:lineRule="auto"/>
        <w:jc w:val="right"/>
        <w:rPr>
          <w:rFonts w:hint="default"/>
          <w:b w:val="0"/>
          <w:color w:val="4A4A4A"/>
          <w:sz w:val="22"/>
          <w:lang w:val="en-GB"/>
        </w:rPr>
      </w:pPr>
    </w:p>
    <w:p w14:paraId="0AAB96DE">
      <w:pPr>
        <w:pStyle w:val="2"/>
        <w:bidi w:val="0"/>
        <w:spacing w:before="0" w:after="120" w:line="240" w:lineRule="auto"/>
        <w:jc w:val="right"/>
        <w:rPr>
          <w:rFonts w:hint="default"/>
          <w:b/>
          <w:color w:val="2D2D2D"/>
          <w:sz w:val="28"/>
          <w:lang w:val="en-GB"/>
        </w:rPr>
      </w:pPr>
      <w:r>
        <w:rPr>
          <w:rFonts w:hint="default"/>
          <w:b/>
          <w:color w:val="2D2D2D"/>
          <w:sz w:val="28"/>
          <w:lang w:val="en-GB"/>
        </w:rPr>
        <w:t>فريق المشروع والأدوار</w:t>
      </w:r>
    </w:p>
    <w:p w14:paraId="162F41EF">
      <w:pPr>
        <w:rPr>
          <w:rFonts w:hint="default"/>
          <w:lang w:val="en-GB"/>
        </w:rPr>
      </w:pPr>
    </w:p>
    <w:p w14:paraId="671F01EF">
      <w:pPr>
        <w:bidi w:val="0"/>
        <w:spacing w:after="120" w:line="240" w:lineRule="auto"/>
        <w:jc w:val="right"/>
        <w:rPr>
          <w:rFonts w:hint="default"/>
          <w:b w:val="0"/>
          <w:color w:val="4A4A4A"/>
          <w:sz w:val="22"/>
          <w:lang w:val="en-GB"/>
        </w:rPr>
      </w:pPr>
      <w:r>
        <w:rPr>
          <w:rFonts w:hint="default"/>
          <w:b w:val="0"/>
          <w:color w:val="4A4A4A"/>
          <w:sz w:val="22"/>
          <w:lang w:val="en-GB"/>
        </w:rPr>
        <w:t>سيتم مواءمة تشكيل الفريق وفق المواصفات المطلوبة, مع توفير الخبرات والاعتمادات العلمية والعملية والقدرة على إدارة مشاريع مركبة وضمان الجودة والدراسات, وإجادة العربية والإنجليزية.</w:t>
      </w:r>
    </w:p>
    <w:p w14:paraId="16772FDF">
      <w:pPr>
        <w:bidi w:val="0"/>
        <w:spacing w:after="120" w:line="240" w:lineRule="auto"/>
        <w:jc w:val="right"/>
        <w:rPr>
          <w:rFonts w:hint="default"/>
          <w:b w:val="0"/>
          <w:color w:val="4A4A4A"/>
          <w:sz w:val="22"/>
          <w:lang w:val="en-GB"/>
        </w:rPr>
      </w:pPr>
    </w:p>
    <w:p w14:paraId="57D37678">
      <w:pPr>
        <w:bidi w:val="0"/>
        <w:spacing w:after="120" w:line="240" w:lineRule="auto"/>
        <w:jc w:val="right"/>
        <w:rPr>
          <w:rFonts w:hint="default"/>
          <w:b w:val="0"/>
          <w:color w:val="4A4A4A"/>
          <w:sz w:val="22"/>
          <w:lang w:val="en-GB"/>
        </w:rPr>
      </w:pPr>
      <w:r>
        <w:rPr>
          <w:rFonts w:hint="default"/>
          <w:b w:val="0"/>
          <w:color w:val="4A4A4A"/>
          <w:sz w:val="22"/>
          <w:lang w:val="en-GB"/>
        </w:rPr>
        <w:t>- تخصيص قيادة برنامج وخبرات استراتيجية وتنموية وتمويلية.</w:t>
      </w:r>
    </w:p>
    <w:p w14:paraId="2DE804EA">
      <w:pPr>
        <w:bidi w:val="0"/>
        <w:spacing w:after="120" w:line="240" w:lineRule="auto"/>
        <w:jc w:val="right"/>
        <w:rPr>
          <w:rFonts w:hint="default"/>
          <w:b w:val="0"/>
          <w:color w:val="4A4A4A"/>
          <w:sz w:val="22"/>
          <w:lang w:val="en-GB"/>
        </w:rPr>
      </w:pPr>
    </w:p>
    <w:p w14:paraId="413EC978">
      <w:pPr>
        <w:bidi w:val="0"/>
        <w:spacing w:after="120" w:line="240" w:lineRule="auto"/>
        <w:jc w:val="right"/>
        <w:rPr>
          <w:rFonts w:hint="default"/>
          <w:b w:val="0"/>
          <w:color w:val="4A4A4A"/>
          <w:sz w:val="22"/>
          <w:lang w:val="en-GB"/>
        </w:rPr>
      </w:pPr>
      <w:r>
        <w:rPr>
          <w:rFonts w:hint="default"/>
          <w:b w:val="0"/>
          <w:color w:val="4A4A4A"/>
          <w:sz w:val="22"/>
          <w:lang w:val="en-GB"/>
        </w:rPr>
        <w:t>- مواءمة الأعداد والمؤهلات وسنوات الخبرة مع المواصفات.</w:t>
      </w:r>
    </w:p>
    <w:p w14:paraId="19839384">
      <w:pPr>
        <w:bidi w:val="0"/>
        <w:spacing w:after="120" w:line="240" w:lineRule="auto"/>
        <w:jc w:val="right"/>
        <w:rPr>
          <w:rFonts w:hint="default"/>
          <w:b w:val="0"/>
          <w:color w:val="4A4A4A"/>
          <w:sz w:val="22"/>
          <w:lang w:val="en-GB"/>
        </w:rPr>
      </w:pPr>
    </w:p>
    <w:p w14:paraId="239319E0">
      <w:pPr>
        <w:bidi w:val="0"/>
        <w:spacing w:after="120" w:line="240" w:lineRule="auto"/>
        <w:jc w:val="right"/>
        <w:rPr>
          <w:rFonts w:hint="default"/>
          <w:b w:val="0"/>
          <w:color w:val="4A4A4A"/>
          <w:sz w:val="22"/>
          <w:lang w:val="en-GB"/>
        </w:rPr>
      </w:pPr>
      <w:r>
        <w:rPr>
          <w:rFonts w:hint="default"/>
          <w:b w:val="0"/>
          <w:color w:val="4A4A4A"/>
          <w:sz w:val="22"/>
          <w:lang w:val="en-GB"/>
        </w:rPr>
        <w:t>- تفعيل إدارة مشروع احترافية وشهادات PMP للأدوار المحددة.</w:t>
      </w:r>
    </w:p>
    <w:p w14:paraId="7D7CC265">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03FC59B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EB3004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المسمى</w:t>
            </w:r>
          </w:p>
        </w:tc>
        <w:tc>
          <w:tcPr>
            <w:tcW w:w="1249" w:type="pct"/>
          </w:tcPr>
          <w:p w14:paraId="3E95764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أقل مؤهل</w:t>
            </w:r>
          </w:p>
        </w:tc>
        <w:tc>
          <w:tcPr>
            <w:tcW w:w="1250" w:type="pct"/>
          </w:tcPr>
          <w:p w14:paraId="6F520D8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الخبرة (حد أدنى)</w:t>
            </w:r>
          </w:p>
        </w:tc>
        <w:tc>
          <w:tcPr>
            <w:tcW w:w="1250" w:type="pct"/>
          </w:tcPr>
          <w:p w14:paraId="5134308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العدد</w:t>
            </w:r>
          </w:p>
        </w:tc>
      </w:tr>
      <w:tr w14:paraId="7CBBC8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1DB2B8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محفظة</w:t>
            </w:r>
          </w:p>
        </w:tc>
        <w:tc>
          <w:tcPr>
            <w:tcW w:w="1249" w:type="pct"/>
          </w:tcPr>
          <w:p w14:paraId="6744C9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إدارة أعمال أو ما شابه</w:t>
            </w:r>
          </w:p>
        </w:tc>
        <w:tc>
          <w:tcPr>
            <w:tcW w:w="1250" w:type="pct"/>
          </w:tcPr>
          <w:p w14:paraId="320E9C0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374C887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30B796C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F83E4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مشاريع</w:t>
            </w:r>
          </w:p>
        </w:tc>
        <w:tc>
          <w:tcPr>
            <w:tcW w:w="1249" w:type="pct"/>
          </w:tcPr>
          <w:p w14:paraId="4B14499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w:t>
            </w:r>
          </w:p>
        </w:tc>
        <w:tc>
          <w:tcPr>
            <w:tcW w:w="1250" w:type="pct"/>
          </w:tcPr>
          <w:p w14:paraId="519811E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 سنوات</w:t>
            </w:r>
          </w:p>
        </w:tc>
        <w:tc>
          <w:tcPr>
            <w:tcW w:w="1250" w:type="pct"/>
          </w:tcPr>
          <w:p w14:paraId="13EC46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1937D5E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A281F6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مشاريع</w:t>
            </w:r>
          </w:p>
        </w:tc>
        <w:tc>
          <w:tcPr>
            <w:tcW w:w="1249" w:type="pct"/>
          </w:tcPr>
          <w:p w14:paraId="037A50D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w:t>
            </w:r>
          </w:p>
        </w:tc>
        <w:tc>
          <w:tcPr>
            <w:tcW w:w="1250" w:type="pct"/>
          </w:tcPr>
          <w:p w14:paraId="4459E6C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061E73F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72E3071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E6DF2C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استراتيجية</w:t>
            </w:r>
          </w:p>
        </w:tc>
        <w:tc>
          <w:tcPr>
            <w:tcW w:w="1249" w:type="pct"/>
          </w:tcPr>
          <w:p w14:paraId="79FD2C9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 أو ماجستير</w:t>
            </w:r>
          </w:p>
        </w:tc>
        <w:tc>
          <w:tcPr>
            <w:tcW w:w="1250" w:type="pct"/>
          </w:tcPr>
          <w:p w14:paraId="520D91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171248D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7F66498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FE8F6A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في التنمية المجتمعية والقطاع غير الربحي</w:t>
            </w:r>
          </w:p>
        </w:tc>
        <w:tc>
          <w:tcPr>
            <w:tcW w:w="1249" w:type="pct"/>
          </w:tcPr>
          <w:p w14:paraId="782CF15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 أو ماجستير</w:t>
            </w:r>
          </w:p>
        </w:tc>
        <w:tc>
          <w:tcPr>
            <w:tcW w:w="1250" w:type="pct"/>
          </w:tcPr>
          <w:p w14:paraId="6F5DDCA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0C84AD8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6FA179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2F5483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تخطيط استراتيجي</w:t>
            </w:r>
          </w:p>
        </w:tc>
        <w:tc>
          <w:tcPr>
            <w:tcW w:w="1249" w:type="pct"/>
          </w:tcPr>
          <w:p w14:paraId="7DCCAA7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73E195D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6FE6AD7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23C0BE6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156C0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الابتكار الاجتماعي</w:t>
            </w:r>
          </w:p>
        </w:tc>
        <w:tc>
          <w:tcPr>
            <w:tcW w:w="1249" w:type="pct"/>
          </w:tcPr>
          <w:p w14:paraId="0DBE200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في الابتكار وريادة الأعمال أو ما شابه</w:t>
            </w:r>
          </w:p>
        </w:tc>
        <w:tc>
          <w:tcPr>
            <w:tcW w:w="1250" w:type="pct"/>
          </w:tcPr>
          <w:p w14:paraId="559E3A8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7F3026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79F0E09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B1F0DD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محلل مالي/مطور أعمال</w:t>
            </w:r>
          </w:p>
        </w:tc>
        <w:tc>
          <w:tcPr>
            <w:tcW w:w="1249" w:type="pct"/>
          </w:tcPr>
          <w:p w14:paraId="15A626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مالية/اقتصاد/إدارة</w:t>
            </w:r>
          </w:p>
        </w:tc>
        <w:tc>
          <w:tcPr>
            <w:tcW w:w="1250" w:type="pct"/>
          </w:tcPr>
          <w:p w14:paraId="42AB3C1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1FFE91D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bl>
    <w:p w14:paraId="39D17A7C">
      <w:pPr>
        <w:bidi w:val="0"/>
        <w:spacing w:after="120" w:line="240" w:lineRule="auto"/>
        <w:jc w:val="right"/>
        <w:rPr>
          <w:rFonts w:hint="default"/>
          <w:b w:val="0"/>
          <w:color w:val="4A4A4A"/>
          <w:sz w:val="22"/>
          <w:lang w:val="en-GB"/>
        </w:rPr>
      </w:pPr>
    </w:p>
    <w:p w14:paraId="79BF9BA8">
      <w:pPr>
        <w:pStyle w:val="2"/>
        <w:bidi w:val="0"/>
        <w:spacing w:before="0" w:after="120" w:line="240" w:lineRule="auto"/>
        <w:jc w:val="right"/>
        <w:rPr>
          <w:rFonts w:hint="default"/>
          <w:b/>
          <w:color w:val="2D2D2D"/>
          <w:sz w:val="28"/>
          <w:lang w:val="en-GB"/>
        </w:rPr>
      </w:pPr>
      <w:r>
        <w:rPr>
          <w:rFonts w:hint="default"/>
          <w:b/>
          <w:color w:val="2D2D2D"/>
          <w:sz w:val="28"/>
          <w:lang w:val="en-GB"/>
        </w:rPr>
        <w:t>خطة العمل والجدول الزمني والمعالم</w:t>
      </w:r>
    </w:p>
    <w:p w14:paraId="5A66F1EF">
      <w:pPr>
        <w:rPr>
          <w:rFonts w:hint="default"/>
          <w:lang w:val="en-GB"/>
        </w:rPr>
      </w:pPr>
    </w:p>
    <w:p w14:paraId="77D07B6F">
      <w:pPr>
        <w:bidi w:val="0"/>
        <w:spacing w:after="120" w:line="240" w:lineRule="auto"/>
        <w:jc w:val="right"/>
        <w:rPr>
          <w:rFonts w:hint="default"/>
          <w:b w:val="0"/>
          <w:color w:val="4A4A4A"/>
          <w:sz w:val="22"/>
          <w:lang w:val="en-GB"/>
        </w:rPr>
      </w:pPr>
      <w:r>
        <w:rPr>
          <w:rFonts w:hint="default"/>
          <w:b w:val="0"/>
          <w:color w:val="4A4A4A"/>
          <w:sz w:val="22"/>
          <w:lang w:val="en-GB"/>
        </w:rPr>
        <w:t>تنفذ الأعمال خلال 12 شهراً تقويماً ميلادياً من توقيع العقد, وفق نسب إنجاز مرحلية ومخرجات محددة القبول. ترتبط الدفعات بالقبول الرسمي لكل مرحلة ومخرجاتها.</w:t>
      </w:r>
    </w:p>
    <w:p w14:paraId="19ADDC28">
      <w:pPr>
        <w:bidi w:val="0"/>
        <w:spacing w:after="120" w:line="240" w:lineRule="auto"/>
        <w:jc w:val="right"/>
        <w:rPr>
          <w:rFonts w:hint="default"/>
          <w:b w:val="0"/>
          <w:color w:val="4A4A4A"/>
          <w:sz w:val="22"/>
          <w:lang w:val="en-GB"/>
        </w:rPr>
      </w:pPr>
    </w:p>
    <w:p w14:paraId="23EA993B">
      <w:pPr>
        <w:bidi w:val="0"/>
        <w:spacing w:after="120" w:line="240" w:lineRule="auto"/>
        <w:jc w:val="right"/>
        <w:rPr>
          <w:rFonts w:hint="default"/>
          <w:b w:val="0"/>
          <w:color w:val="4A4A4A"/>
          <w:sz w:val="22"/>
          <w:lang w:val="en-GB"/>
        </w:rPr>
      </w:pPr>
      <w:r>
        <w:rPr>
          <w:rFonts w:hint="default"/>
          <w:b w:val="0"/>
          <w:color w:val="4A4A4A"/>
          <w:sz w:val="22"/>
          <w:lang w:val="en-GB"/>
        </w:rPr>
        <w:t>- المرحلة الأولى (الدراسة والتحليل): ربط وتحليل وتسليم 4 وثائق أساسية.</w:t>
      </w:r>
    </w:p>
    <w:p w14:paraId="61D65F5A">
      <w:pPr>
        <w:bidi w:val="0"/>
        <w:spacing w:after="120" w:line="240" w:lineRule="auto"/>
        <w:jc w:val="right"/>
        <w:rPr>
          <w:rFonts w:hint="default"/>
          <w:b w:val="0"/>
          <w:color w:val="4A4A4A"/>
          <w:sz w:val="22"/>
          <w:lang w:val="en-GB"/>
        </w:rPr>
      </w:pPr>
    </w:p>
    <w:p w14:paraId="66930D27">
      <w:pPr>
        <w:bidi w:val="0"/>
        <w:spacing w:after="120" w:line="240" w:lineRule="auto"/>
        <w:jc w:val="right"/>
        <w:rPr>
          <w:rFonts w:hint="default"/>
          <w:b w:val="0"/>
          <w:color w:val="4A4A4A"/>
          <w:sz w:val="22"/>
          <w:lang w:val="en-GB"/>
        </w:rPr>
      </w:pPr>
      <w:r>
        <w:rPr>
          <w:rFonts w:hint="default"/>
          <w:b w:val="0"/>
          <w:color w:val="4A4A4A"/>
          <w:sz w:val="22"/>
          <w:lang w:val="en-GB"/>
        </w:rPr>
        <w:t>- المرحلة الثانية (التصميم والمواءمة): تسليم 8 وثائق تشمل الاستراتيجية والمبادرات والنماذج ومعمل الابتكار والشراكات.</w:t>
      </w:r>
    </w:p>
    <w:p w14:paraId="221D38B2">
      <w:pPr>
        <w:bidi w:val="0"/>
        <w:spacing w:after="120" w:line="240" w:lineRule="auto"/>
        <w:jc w:val="right"/>
        <w:rPr>
          <w:rFonts w:hint="default"/>
          <w:b w:val="0"/>
          <w:color w:val="4A4A4A"/>
          <w:sz w:val="22"/>
          <w:lang w:val="en-GB"/>
        </w:rPr>
      </w:pPr>
    </w:p>
    <w:p w14:paraId="101B2697">
      <w:pPr>
        <w:bidi w:val="0"/>
        <w:spacing w:after="120" w:line="240" w:lineRule="auto"/>
        <w:jc w:val="right"/>
        <w:rPr>
          <w:rFonts w:hint="default"/>
          <w:b w:val="0"/>
          <w:color w:val="4A4A4A"/>
          <w:sz w:val="22"/>
          <w:lang w:val="en-GB"/>
        </w:rPr>
      </w:pPr>
      <w:r>
        <w:rPr>
          <w:rFonts w:hint="default"/>
          <w:b w:val="0"/>
          <w:color w:val="4A4A4A"/>
          <w:sz w:val="22"/>
          <w:lang w:val="en-GB"/>
        </w:rPr>
        <w:t>- آلية قبول: مراجعات فنية, معالجة ملاحظات, ومحاضر اعتماد.</w:t>
      </w:r>
    </w:p>
    <w:p w14:paraId="5CB5AA30">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1847"/>
        <w:gridCol w:w="1847"/>
        <w:gridCol w:w="1847"/>
        <w:gridCol w:w="1849"/>
        <w:gridCol w:w="1850"/>
      </w:tblGrid>
      <w:tr w14:paraId="78EBC45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999" w:type="pct"/>
          </w:tcPr>
          <w:p w14:paraId="733C169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999" w:type="pct"/>
          </w:tcPr>
          <w:p w14:paraId="5ED5AA7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الوصف</w:t>
            </w:r>
          </w:p>
        </w:tc>
        <w:tc>
          <w:tcPr>
            <w:tcW w:w="999" w:type="pct"/>
          </w:tcPr>
          <w:p w14:paraId="6EDE48A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النسبة من المشروع</w:t>
            </w:r>
          </w:p>
        </w:tc>
        <w:tc>
          <w:tcPr>
            <w:tcW w:w="1000" w:type="pct"/>
          </w:tcPr>
          <w:p w14:paraId="7470F9E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 التقريبية</w:t>
            </w:r>
          </w:p>
        </w:tc>
        <w:tc>
          <w:tcPr>
            <w:tcW w:w="1000" w:type="pct"/>
          </w:tcPr>
          <w:p w14:paraId="20AB929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المعالم الرئيسية</w:t>
            </w:r>
          </w:p>
        </w:tc>
      </w:tr>
      <w:tr w14:paraId="1DCCDE3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999" w:type="pct"/>
          </w:tcPr>
          <w:p w14:paraId="7D8D50E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الدراسة والتحليل</w:t>
            </w:r>
          </w:p>
        </w:tc>
        <w:tc>
          <w:tcPr>
            <w:tcW w:w="999" w:type="pct"/>
          </w:tcPr>
          <w:p w14:paraId="4DB7FCF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وربط المخرجات السابقة وإطار الحلول</w:t>
            </w:r>
          </w:p>
        </w:tc>
        <w:tc>
          <w:tcPr>
            <w:tcW w:w="999" w:type="pct"/>
          </w:tcPr>
          <w:p w14:paraId="38697AA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000" w:type="pct"/>
          </w:tcPr>
          <w:p w14:paraId="004B53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حوالي 2–3 أشهر</w:t>
            </w:r>
          </w:p>
        </w:tc>
        <w:tc>
          <w:tcPr>
            <w:tcW w:w="1000" w:type="pct"/>
          </w:tcPr>
          <w:p w14:paraId="5C8055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وثائق الربط, أصحاب المصلحة والحوكمة, المبادرات ذات الصلة, الإطار التصميمي</w:t>
            </w:r>
          </w:p>
        </w:tc>
      </w:tr>
      <w:tr w14:paraId="1636030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999" w:type="pct"/>
          </w:tcPr>
          <w:p w14:paraId="7D2A35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التصميم والمواءمة</w:t>
            </w:r>
          </w:p>
        </w:tc>
        <w:tc>
          <w:tcPr>
            <w:tcW w:w="999" w:type="pct"/>
          </w:tcPr>
          <w:p w14:paraId="6BDBAF7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إطار الاستراتيجية, مبادرات ومشاريع, نماذج, معمل ابتكار, شراكات وكيانات</w:t>
            </w:r>
          </w:p>
        </w:tc>
        <w:tc>
          <w:tcPr>
            <w:tcW w:w="999" w:type="pct"/>
          </w:tcPr>
          <w:p w14:paraId="7CE5698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80%</w:t>
            </w:r>
          </w:p>
        </w:tc>
        <w:tc>
          <w:tcPr>
            <w:tcW w:w="1000" w:type="pct"/>
          </w:tcPr>
          <w:p w14:paraId="5168B0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حوالي 9–10 أشهر</w:t>
            </w:r>
          </w:p>
        </w:tc>
        <w:tc>
          <w:tcPr>
            <w:tcW w:w="1000" w:type="pct"/>
          </w:tcPr>
          <w:p w14:paraId="1522069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الخارطة والأهداف والمؤشرات, خطط المبادرات ومسارات الإنعاش, النماذج, تقارير الابتكار والشراكات والكيانات</w:t>
            </w:r>
          </w:p>
        </w:tc>
      </w:tr>
    </w:tbl>
    <w:p w14:paraId="5699C962">
      <w:pPr>
        <w:bidi w:val="0"/>
        <w:spacing w:after="120" w:line="240" w:lineRule="auto"/>
        <w:jc w:val="right"/>
        <w:rPr>
          <w:rFonts w:hint="default"/>
          <w:b w:val="0"/>
          <w:color w:val="4A4A4A"/>
          <w:sz w:val="22"/>
          <w:lang w:val="en-GB"/>
        </w:rPr>
      </w:pPr>
    </w:p>
    <w:p w14:paraId="1650EB90">
      <w:pPr>
        <w:pStyle w:val="2"/>
        <w:bidi w:val="0"/>
        <w:spacing w:before="0" w:after="120" w:line="240" w:lineRule="auto"/>
        <w:jc w:val="right"/>
        <w:rPr>
          <w:rFonts w:hint="default"/>
          <w:b/>
          <w:color w:val="2D2D2D"/>
          <w:sz w:val="28"/>
          <w:lang w:val="en-GB"/>
        </w:rPr>
      </w:pPr>
      <w:r>
        <w:rPr>
          <w:rFonts w:hint="default"/>
          <w:b/>
          <w:color w:val="2D2D2D"/>
          <w:sz w:val="28"/>
          <w:lang w:val="en-GB"/>
        </w:rPr>
        <w:t>ضمان الجودة وإدارة المخاطر</w:t>
      </w:r>
    </w:p>
    <w:p w14:paraId="4A6AAF58">
      <w:pPr>
        <w:rPr>
          <w:rFonts w:hint="default"/>
          <w:lang w:val="en-GB"/>
        </w:rPr>
      </w:pPr>
    </w:p>
    <w:p w14:paraId="25761D05">
      <w:pPr>
        <w:bidi w:val="0"/>
        <w:spacing w:after="120" w:line="240" w:lineRule="auto"/>
        <w:jc w:val="right"/>
        <w:rPr>
          <w:rFonts w:hint="default"/>
          <w:b w:val="0"/>
          <w:color w:val="4A4A4A"/>
          <w:sz w:val="22"/>
          <w:lang w:val="en-GB"/>
        </w:rPr>
      </w:pPr>
      <w:r>
        <w:rPr>
          <w:rFonts w:hint="default"/>
          <w:b w:val="0"/>
          <w:color w:val="4A4A4A"/>
          <w:sz w:val="22"/>
          <w:lang w:val="en-GB"/>
        </w:rPr>
        <w:t>نطبق خطة ضمان جودة بمستويات مراجعة متعددة, ومعايير قبول لكل مخرج, وآلية تتبع للملاحظات والإغلاق. تُدار المخاطر عبر سجل محدث وخطط استجابة تشمل المنع والتخفيف والمعالجة, مع الالتزام بمواصفات السلامة والبيئة والصحة في جميع مراحل التنفيذ.</w:t>
      </w:r>
    </w:p>
    <w:p w14:paraId="49BBC9F2">
      <w:pPr>
        <w:bidi w:val="0"/>
        <w:spacing w:after="120" w:line="240" w:lineRule="auto"/>
        <w:jc w:val="right"/>
        <w:rPr>
          <w:rFonts w:hint="default"/>
          <w:b w:val="0"/>
          <w:color w:val="4A4A4A"/>
          <w:sz w:val="22"/>
          <w:lang w:val="en-GB"/>
        </w:rPr>
      </w:pPr>
    </w:p>
    <w:p w14:paraId="7109F7C3">
      <w:pPr>
        <w:bidi w:val="0"/>
        <w:spacing w:after="120" w:line="240" w:lineRule="auto"/>
        <w:jc w:val="right"/>
        <w:rPr>
          <w:rFonts w:hint="default"/>
          <w:b w:val="0"/>
          <w:color w:val="4A4A4A"/>
          <w:sz w:val="22"/>
          <w:lang w:val="en-GB"/>
        </w:rPr>
      </w:pPr>
      <w:r>
        <w:rPr>
          <w:rFonts w:hint="default"/>
          <w:b w:val="0"/>
          <w:color w:val="4A4A4A"/>
          <w:sz w:val="22"/>
          <w:lang w:val="en-GB"/>
        </w:rPr>
        <w:t>- بوابات جودة لكل مخرج: فحص داخلي, مراجعة مشتركة, اعتماد نهائي.</w:t>
      </w:r>
    </w:p>
    <w:p w14:paraId="4A517DC6">
      <w:pPr>
        <w:bidi w:val="0"/>
        <w:spacing w:after="120" w:line="240" w:lineRule="auto"/>
        <w:jc w:val="right"/>
        <w:rPr>
          <w:rFonts w:hint="default"/>
          <w:b w:val="0"/>
          <w:color w:val="4A4A4A"/>
          <w:sz w:val="22"/>
          <w:lang w:val="en-GB"/>
        </w:rPr>
      </w:pPr>
    </w:p>
    <w:p w14:paraId="135BEF97">
      <w:pPr>
        <w:bidi w:val="0"/>
        <w:spacing w:after="120" w:line="240" w:lineRule="auto"/>
        <w:jc w:val="right"/>
        <w:rPr>
          <w:rFonts w:hint="default"/>
          <w:b w:val="0"/>
          <w:color w:val="4A4A4A"/>
          <w:sz w:val="22"/>
          <w:lang w:val="en-GB"/>
        </w:rPr>
      </w:pPr>
      <w:r>
        <w:rPr>
          <w:rFonts w:hint="default"/>
          <w:b w:val="0"/>
          <w:color w:val="4A4A4A"/>
          <w:sz w:val="22"/>
          <w:lang w:val="en-GB"/>
        </w:rPr>
        <w:t>- سجل مخاطر مع مصفوفة تصنيف واحتمال/أثر وخطط استجابة.</w:t>
      </w:r>
    </w:p>
    <w:p w14:paraId="13BFAFC7">
      <w:pPr>
        <w:bidi w:val="0"/>
        <w:spacing w:after="120" w:line="240" w:lineRule="auto"/>
        <w:jc w:val="right"/>
        <w:rPr>
          <w:rFonts w:hint="default"/>
          <w:b w:val="0"/>
          <w:color w:val="4A4A4A"/>
          <w:sz w:val="22"/>
          <w:lang w:val="en-GB"/>
        </w:rPr>
      </w:pPr>
    </w:p>
    <w:p w14:paraId="3AF7F7A7">
      <w:pPr>
        <w:bidi w:val="0"/>
        <w:spacing w:after="120" w:line="240" w:lineRule="auto"/>
        <w:jc w:val="right"/>
        <w:rPr>
          <w:rFonts w:hint="default"/>
          <w:b w:val="0"/>
          <w:color w:val="4A4A4A"/>
          <w:sz w:val="22"/>
          <w:lang w:val="en-GB"/>
        </w:rPr>
      </w:pPr>
      <w:r>
        <w:rPr>
          <w:rFonts w:hint="default"/>
          <w:b w:val="0"/>
          <w:color w:val="4A4A4A"/>
          <w:sz w:val="22"/>
          <w:lang w:val="en-GB"/>
        </w:rPr>
        <w:t>- التزام بمواصفات السلامة والصحة والبيئة المطبقة في المملكة.</w:t>
      </w:r>
    </w:p>
    <w:p w14:paraId="00840816">
      <w:pPr>
        <w:bidi w:val="0"/>
        <w:spacing w:after="120" w:line="240" w:lineRule="auto"/>
        <w:jc w:val="right"/>
        <w:rPr>
          <w:rFonts w:hint="default"/>
          <w:b w:val="0"/>
          <w:color w:val="4A4A4A"/>
          <w:sz w:val="22"/>
          <w:lang w:val="en-GB"/>
        </w:rPr>
      </w:pPr>
    </w:p>
    <w:p w14:paraId="39D12682">
      <w:pPr>
        <w:bidi w:val="0"/>
        <w:spacing w:after="120" w:line="240" w:lineRule="auto"/>
        <w:jc w:val="right"/>
        <w:rPr>
          <w:rFonts w:hint="default"/>
          <w:b w:val="0"/>
          <w:color w:val="4A4A4A"/>
          <w:sz w:val="22"/>
          <w:lang w:val="en-GB"/>
        </w:rPr>
      </w:pPr>
      <w:r>
        <w:rPr>
          <w:rFonts w:hint="default"/>
          <w:b w:val="0"/>
          <w:color w:val="4A4A4A"/>
          <w:sz w:val="22"/>
          <w:lang w:val="en-GB"/>
        </w:rPr>
        <w:t>- تقارير دورية مرحلية عن التقدم والجودة والمخاطر.</w:t>
      </w:r>
    </w:p>
    <w:p w14:paraId="6B740C05">
      <w:pPr>
        <w:bidi w:val="0"/>
        <w:spacing w:after="120" w:line="240" w:lineRule="auto"/>
        <w:jc w:val="right"/>
        <w:rPr>
          <w:rFonts w:hint="default"/>
          <w:b w:val="0"/>
          <w:color w:val="4A4A4A"/>
          <w:sz w:val="22"/>
          <w:lang w:val="en-GB"/>
        </w:rPr>
      </w:pPr>
    </w:p>
    <w:p w14:paraId="2986C571">
      <w:pPr>
        <w:pStyle w:val="2"/>
        <w:bidi w:val="0"/>
        <w:spacing w:before="0" w:after="120" w:line="240" w:lineRule="auto"/>
        <w:jc w:val="right"/>
        <w:rPr>
          <w:rFonts w:hint="default"/>
          <w:b/>
          <w:color w:val="2D2D2D"/>
          <w:sz w:val="28"/>
          <w:lang w:val="en-GB"/>
        </w:rPr>
      </w:pPr>
      <w:r>
        <w:rPr>
          <w:rFonts w:hint="default"/>
          <w:b/>
          <w:color w:val="2D2D2D"/>
          <w:sz w:val="28"/>
          <w:lang w:val="en-GB"/>
        </w:rPr>
        <w:t>مؤشرات الأداء ومستويات الخدمة</w:t>
      </w:r>
    </w:p>
    <w:p w14:paraId="667B52C5">
      <w:pPr>
        <w:rPr>
          <w:rFonts w:hint="default"/>
          <w:lang w:val="en-GB"/>
        </w:rPr>
      </w:pPr>
    </w:p>
    <w:p w14:paraId="5E4D5BAA">
      <w:pPr>
        <w:bidi w:val="0"/>
        <w:spacing w:after="120" w:line="240" w:lineRule="auto"/>
        <w:jc w:val="right"/>
        <w:rPr>
          <w:rFonts w:hint="default"/>
          <w:b w:val="0"/>
          <w:color w:val="4A4A4A"/>
          <w:sz w:val="22"/>
          <w:lang w:val="en-GB"/>
        </w:rPr>
      </w:pPr>
      <w:r>
        <w:rPr>
          <w:rFonts w:hint="default"/>
          <w:b w:val="0"/>
          <w:color w:val="4A4A4A"/>
          <w:sz w:val="22"/>
          <w:lang w:val="en-GB"/>
        </w:rPr>
        <w:t>تقاس مستويات الخدمة بمؤشرات واضحة مرتبطة بالوقت والجودة والامتثال ومتابعة الملاحظات, وتُراجع دورياً وتُرفع في تقارير مرحلية.</w:t>
      </w:r>
    </w:p>
    <w:p w14:paraId="5236FABF">
      <w:pPr>
        <w:bidi w:val="0"/>
        <w:spacing w:after="120" w:line="240" w:lineRule="auto"/>
        <w:jc w:val="right"/>
        <w:rPr>
          <w:rFonts w:hint="default"/>
          <w:b w:val="0"/>
          <w:color w:val="4A4A4A"/>
          <w:sz w:val="22"/>
          <w:lang w:val="en-GB"/>
        </w:rPr>
      </w:pPr>
    </w:p>
    <w:p w14:paraId="57EAC6C9">
      <w:pPr>
        <w:bidi w:val="0"/>
        <w:spacing w:after="120" w:line="240" w:lineRule="auto"/>
        <w:jc w:val="right"/>
        <w:rPr>
          <w:rFonts w:hint="default"/>
          <w:b w:val="0"/>
          <w:color w:val="4A4A4A"/>
          <w:sz w:val="22"/>
          <w:lang w:val="en-GB"/>
        </w:rPr>
      </w:pPr>
      <w:r>
        <w:rPr>
          <w:rFonts w:hint="default"/>
          <w:b w:val="0"/>
          <w:color w:val="4A4A4A"/>
          <w:sz w:val="22"/>
          <w:lang w:val="en-GB"/>
        </w:rPr>
        <w:t>- الالتزام بالجدول الزمني, وجودة المخرجات, وإغلاق الملاحظات.</w:t>
      </w:r>
    </w:p>
    <w:p w14:paraId="60533406">
      <w:pPr>
        <w:bidi w:val="0"/>
        <w:spacing w:after="120" w:line="240" w:lineRule="auto"/>
        <w:jc w:val="right"/>
        <w:rPr>
          <w:rFonts w:hint="default"/>
          <w:b w:val="0"/>
          <w:color w:val="4A4A4A"/>
          <w:sz w:val="22"/>
          <w:lang w:val="en-GB"/>
        </w:rPr>
      </w:pPr>
    </w:p>
    <w:p w14:paraId="125A2502">
      <w:pPr>
        <w:bidi w:val="0"/>
        <w:spacing w:after="120" w:line="240" w:lineRule="auto"/>
        <w:jc w:val="right"/>
        <w:rPr>
          <w:rFonts w:hint="default"/>
          <w:b w:val="0"/>
          <w:color w:val="4A4A4A"/>
          <w:sz w:val="22"/>
          <w:lang w:val="en-GB"/>
        </w:rPr>
      </w:pPr>
      <w:r>
        <w:rPr>
          <w:rFonts w:hint="default"/>
          <w:b w:val="0"/>
          <w:color w:val="4A4A4A"/>
          <w:sz w:val="22"/>
          <w:lang w:val="en-GB"/>
        </w:rPr>
        <w:t>- جاهزية فريق العمل وفق المواصفات.</w:t>
      </w:r>
    </w:p>
    <w:p w14:paraId="111C9A5E">
      <w:pPr>
        <w:bidi w:val="0"/>
        <w:spacing w:after="120" w:line="240" w:lineRule="auto"/>
        <w:jc w:val="right"/>
        <w:rPr>
          <w:rFonts w:hint="default"/>
          <w:b w:val="0"/>
          <w:color w:val="4A4A4A"/>
          <w:sz w:val="22"/>
          <w:lang w:val="en-GB"/>
        </w:rPr>
      </w:pPr>
    </w:p>
    <w:p w14:paraId="7D445F6A">
      <w:pPr>
        <w:bidi w:val="0"/>
        <w:spacing w:after="120" w:line="240" w:lineRule="auto"/>
        <w:jc w:val="right"/>
        <w:rPr>
          <w:rFonts w:hint="default"/>
          <w:b w:val="0"/>
          <w:color w:val="4A4A4A"/>
          <w:sz w:val="22"/>
          <w:lang w:val="en-GB"/>
        </w:rPr>
      </w:pPr>
      <w:r>
        <w:rPr>
          <w:rFonts w:hint="default"/>
          <w:b w:val="0"/>
          <w:color w:val="4A4A4A"/>
          <w:sz w:val="22"/>
          <w:lang w:val="en-GB"/>
        </w:rPr>
        <w:t>- سلامة التنفيذ وعدم وجود مخالفات.</w:t>
      </w:r>
    </w:p>
    <w:p w14:paraId="2638A457">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72B149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8BD59A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المؤشر</w:t>
            </w:r>
          </w:p>
        </w:tc>
        <w:tc>
          <w:tcPr>
            <w:tcW w:w="1667" w:type="pct"/>
          </w:tcPr>
          <w:p w14:paraId="4A2CDAD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التعريف</w:t>
            </w:r>
          </w:p>
        </w:tc>
        <w:tc>
          <w:tcPr>
            <w:tcW w:w="1667" w:type="pct"/>
          </w:tcPr>
          <w:p w14:paraId="5E557DA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المستهدف</w:t>
            </w:r>
          </w:p>
        </w:tc>
      </w:tr>
      <w:tr w14:paraId="70001B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55436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نسبة الالتزام بالجدول</w:t>
            </w:r>
          </w:p>
        </w:tc>
        <w:tc>
          <w:tcPr>
            <w:tcW w:w="1667" w:type="pct"/>
          </w:tcPr>
          <w:p w14:paraId="49BF89E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تسليم المخرجات في تواريخها المعتمدة</w:t>
            </w:r>
          </w:p>
        </w:tc>
        <w:tc>
          <w:tcPr>
            <w:tcW w:w="1667" w:type="pct"/>
          </w:tcPr>
          <w:p w14:paraId="0CC9A14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95%</w:t>
            </w:r>
          </w:p>
        </w:tc>
      </w:tr>
      <w:tr w14:paraId="7670806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FC4088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 المخرجات</w:t>
            </w:r>
          </w:p>
        </w:tc>
        <w:tc>
          <w:tcPr>
            <w:tcW w:w="1667" w:type="pct"/>
          </w:tcPr>
          <w:p w14:paraId="3FF62A4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قبول المخرجات من أول عرض دون إعادة عمل جوهرية</w:t>
            </w:r>
          </w:p>
        </w:tc>
        <w:tc>
          <w:tcPr>
            <w:tcW w:w="1667" w:type="pct"/>
          </w:tcPr>
          <w:p w14:paraId="1EB114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90%</w:t>
            </w:r>
          </w:p>
        </w:tc>
      </w:tr>
      <w:tr w14:paraId="561A2F1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95B92D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جاهزية الفريق</w:t>
            </w:r>
          </w:p>
        </w:tc>
        <w:tc>
          <w:tcPr>
            <w:tcW w:w="1667" w:type="pct"/>
          </w:tcPr>
          <w:p w14:paraId="437C043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تطابق التشكيل مع المؤهلات والأعداد والخبرات</w:t>
            </w:r>
          </w:p>
        </w:tc>
        <w:tc>
          <w:tcPr>
            <w:tcW w:w="1667" w:type="pct"/>
          </w:tcPr>
          <w:p w14:paraId="2DB5C3A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100%</w:t>
            </w:r>
          </w:p>
        </w:tc>
      </w:tr>
      <w:tr w14:paraId="52FED19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AF2AD1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السلامة والامتثال</w:t>
            </w:r>
          </w:p>
        </w:tc>
        <w:tc>
          <w:tcPr>
            <w:tcW w:w="1667" w:type="pct"/>
          </w:tcPr>
          <w:p w14:paraId="7698E70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خلو التنفيذ من مخالفات تتعلق بالسلامة والبيئة</w:t>
            </w:r>
          </w:p>
        </w:tc>
        <w:tc>
          <w:tcPr>
            <w:tcW w:w="1667" w:type="pct"/>
          </w:tcPr>
          <w:p w14:paraId="540EAA4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100%</w:t>
            </w:r>
          </w:p>
        </w:tc>
      </w:tr>
      <w:tr w14:paraId="5B125E8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44C393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معالجة الملاحظات</w:t>
            </w:r>
          </w:p>
        </w:tc>
        <w:tc>
          <w:tcPr>
            <w:tcW w:w="1667" w:type="pct"/>
          </w:tcPr>
          <w:p w14:paraId="5FA28E4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إغلاق الملاحظات ضمن الزمن المتفق عليه</w:t>
            </w:r>
          </w:p>
        </w:tc>
        <w:tc>
          <w:tcPr>
            <w:tcW w:w="1667" w:type="pct"/>
          </w:tcPr>
          <w:p w14:paraId="14B160C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95% خلال 5 أيام عمل</w:t>
            </w:r>
          </w:p>
        </w:tc>
      </w:tr>
    </w:tbl>
    <w:p w14:paraId="79BE6974">
      <w:pPr>
        <w:bidi w:val="0"/>
        <w:spacing w:after="120" w:line="240" w:lineRule="auto"/>
        <w:jc w:val="right"/>
        <w:rPr>
          <w:rFonts w:hint="default"/>
          <w:b w:val="0"/>
          <w:color w:val="4A4A4A"/>
          <w:sz w:val="22"/>
          <w:lang w:val="en-GB"/>
        </w:rPr>
      </w:pPr>
    </w:p>
    <w:p w14:paraId="13A23B67">
      <w:pPr>
        <w:pStyle w:val="2"/>
        <w:bidi w:val="0"/>
        <w:spacing w:before="0" w:after="120" w:line="240" w:lineRule="auto"/>
        <w:jc w:val="right"/>
        <w:rPr>
          <w:rFonts w:hint="default"/>
          <w:b/>
          <w:color w:val="2D2D2D"/>
          <w:sz w:val="28"/>
          <w:lang w:val="en-GB"/>
        </w:rPr>
      </w:pPr>
      <w:r>
        <w:rPr>
          <w:rFonts w:hint="default"/>
          <w:b/>
          <w:color w:val="2D2D2D"/>
          <w:sz w:val="28"/>
          <w:lang w:val="en-GB"/>
        </w:rPr>
        <w:t>خصوصية البيانات وأمنها وحقوق الملكية</w:t>
      </w:r>
    </w:p>
    <w:p w14:paraId="234132D5">
      <w:pPr>
        <w:rPr>
          <w:rFonts w:hint="default"/>
          <w:lang w:val="en-GB"/>
        </w:rPr>
      </w:pPr>
    </w:p>
    <w:p w14:paraId="6BFA2F05">
      <w:pPr>
        <w:bidi w:val="0"/>
        <w:spacing w:after="120" w:line="240" w:lineRule="auto"/>
        <w:jc w:val="right"/>
        <w:rPr>
          <w:rFonts w:hint="default"/>
          <w:b w:val="0"/>
          <w:color w:val="4A4A4A"/>
          <w:sz w:val="22"/>
          <w:lang w:val="en-GB"/>
        </w:rPr>
      </w:pPr>
      <w:r>
        <w:rPr>
          <w:rFonts w:hint="default"/>
          <w:b w:val="0"/>
          <w:color w:val="4A4A4A"/>
          <w:sz w:val="22"/>
          <w:lang w:val="en-GB"/>
        </w:rPr>
        <w:t>تلتزم Strategy Impetus بسرية المعلومات والوثائق وتحفظها وتتعامل معها ضمن صلاحيات محددة, وتطبق ضوابط مناسبة للتحكم بالوصول وحماية المستندات. تعود حقوق الملكية للمخرجات إلى الجهة وفق ما يُنص عليه في العقد, ويُقتصر استخدام البيانات على أغراض هذا المشروع فقط.</w:t>
      </w:r>
    </w:p>
    <w:p w14:paraId="246999B8">
      <w:pPr>
        <w:bidi w:val="0"/>
        <w:spacing w:after="120" w:line="240" w:lineRule="auto"/>
        <w:jc w:val="right"/>
        <w:rPr>
          <w:rFonts w:hint="default"/>
          <w:b w:val="0"/>
          <w:color w:val="4A4A4A"/>
          <w:sz w:val="22"/>
          <w:lang w:val="en-GB"/>
        </w:rPr>
      </w:pPr>
    </w:p>
    <w:p w14:paraId="068A33D7">
      <w:pPr>
        <w:bidi w:val="0"/>
        <w:spacing w:after="120" w:line="240" w:lineRule="auto"/>
        <w:jc w:val="right"/>
        <w:rPr>
          <w:rFonts w:hint="default"/>
          <w:b w:val="0"/>
          <w:color w:val="4A4A4A"/>
          <w:sz w:val="22"/>
          <w:lang w:val="en-GB"/>
        </w:rPr>
      </w:pPr>
      <w:r>
        <w:rPr>
          <w:rFonts w:hint="default"/>
          <w:b w:val="0"/>
          <w:color w:val="4A4A4A"/>
          <w:sz w:val="22"/>
          <w:lang w:val="en-GB"/>
        </w:rPr>
        <w:t>- حماية المعلومات وعدم الإفصاح إلا وفق العقد وتعليمات الجهة.</w:t>
      </w:r>
    </w:p>
    <w:p w14:paraId="2A9713DE">
      <w:pPr>
        <w:bidi w:val="0"/>
        <w:spacing w:after="120" w:line="240" w:lineRule="auto"/>
        <w:jc w:val="right"/>
        <w:rPr>
          <w:rFonts w:hint="default"/>
          <w:b w:val="0"/>
          <w:color w:val="4A4A4A"/>
          <w:sz w:val="22"/>
          <w:lang w:val="en-GB"/>
        </w:rPr>
      </w:pPr>
    </w:p>
    <w:p w14:paraId="5FD8C1A5">
      <w:pPr>
        <w:bidi w:val="0"/>
        <w:spacing w:after="120" w:line="240" w:lineRule="auto"/>
        <w:jc w:val="right"/>
        <w:rPr>
          <w:rFonts w:hint="default"/>
          <w:b w:val="0"/>
          <w:color w:val="4A4A4A"/>
          <w:sz w:val="22"/>
          <w:lang w:val="en-GB"/>
        </w:rPr>
      </w:pPr>
      <w:r>
        <w:rPr>
          <w:rFonts w:hint="default"/>
          <w:b w:val="0"/>
          <w:color w:val="4A4A4A"/>
          <w:sz w:val="22"/>
          <w:lang w:val="en-GB"/>
        </w:rPr>
        <w:t>- ضبط صلاحيات الوصول وحفظ الإصدارات والوثائق.</w:t>
      </w:r>
    </w:p>
    <w:p w14:paraId="50627D43">
      <w:pPr>
        <w:bidi w:val="0"/>
        <w:spacing w:after="120" w:line="240" w:lineRule="auto"/>
        <w:jc w:val="right"/>
        <w:rPr>
          <w:rFonts w:hint="default"/>
          <w:b w:val="0"/>
          <w:color w:val="4A4A4A"/>
          <w:sz w:val="22"/>
          <w:lang w:val="en-GB"/>
        </w:rPr>
      </w:pPr>
    </w:p>
    <w:p w14:paraId="67F5EF91">
      <w:pPr>
        <w:bidi w:val="0"/>
        <w:spacing w:after="120" w:line="240" w:lineRule="auto"/>
        <w:jc w:val="right"/>
        <w:rPr>
          <w:rFonts w:hint="default"/>
          <w:b w:val="0"/>
          <w:color w:val="4A4A4A"/>
          <w:sz w:val="22"/>
          <w:lang w:val="en-GB"/>
        </w:rPr>
      </w:pPr>
      <w:r>
        <w:rPr>
          <w:rFonts w:hint="default"/>
          <w:b w:val="0"/>
          <w:color w:val="4A4A4A"/>
          <w:sz w:val="22"/>
          <w:lang w:val="en-GB"/>
        </w:rPr>
        <w:t>- حقوق الملكية للمخرجات تعود للجهة وفق العقد.</w:t>
      </w:r>
    </w:p>
    <w:p w14:paraId="74FE524E">
      <w:pPr>
        <w:bidi w:val="0"/>
        <w:spacing w:after="120" w:line="240" w:lineRule="auto"/>
        <w:jc w:val="right"/>
        <w:rPr>
          <w:rFonts w:hint="default"/>
          <w:b w:val="0"/>
          <w:color w:val="4A4A4A"/>
          <w:sz w:val="22"/>
          <w:lang w:val="en-GB"/>
        </w:rPr>
      </w:pPr>
    </w:p>
    <w:p w14:paraId="1452ABA4">
      <w:pPr>
        <w:pStyle w:val="2"/>
        <w:bidi w:val="0"/>
        <w:spacing w:before="0" w:after="120" w:line="240" w:lineRule="auto"/>
        <w:jc w:val="right"/>
        <w:rPr>
          <w:rFonts w:hint="default"/>
          <w:b/>
          <w:color w:val="2D2D2D"/>
          <w:sz w:val="28"/>
          <w:lang w:val="en-GB"/>
        </w:rPr>
      </w:pPr>
      <w:r>
        <w:rPr>
          <w:rFonts w:hint="default"/>
          <w:b/>
          <w:color w:val="2D2D2D"/>
          <w:sz w:val="28"/>
          <w:lang w:val="en-GB"/>
        </w:rPr>
        <w:t>الامتثال لمتطلبات وثيقة المنافسة</w:t>
      </w:r>
    </w:p>
    <w:p w14:paraId="312B240F">
      <w:pPr>
        <w:rPr>
          <w:rFonts w:hint="default"/>
          <w:lang w:val="en-GB"/>
        </w:rPr>
      </w:pPr>
    </w:p>
    <w:p w14:paraId="00C33EFE">
      <w:pPr>
        <w:bidi w:val="0"/>
        <w:spacing w:after="120" w:line="240" w:lineRule="auto"/>
        <w:jc w:val="right"/>
        <w:rPr>
          <w:rFonts w:hint="default"/>
          <w:b w:val="0"/>
          <w:color w:val="4A4A4A"/>
          <w:sz w:val="22"/>
          <w:lang w:val="en-GB"/>
        </w:rPr>
      </w:pPr>
      <w:r>
        <w:rPr>
          <w:rFonts w:hint="default"/>
          <w:b w:val="0"/>
          <w:color w:val="4A4A4A"/>
          <w:sz w:val="22"/>
          <w:lang w:val="en-GB"/>
        </w:rPr>
        <w:t>نلتزم بمتطلبات التعاقد والتسليم كما وردت, بما في ذلك المدد والإشعارات والضمانات والغرامات وجودة التنفيذ وسلامته, وتسليم المخرجات وفق جدول الكميات.</w:t>
      </w:r>
    </w:p>
    <w:p w14:paraId="3A8E4595">
      <w:pPr>
        <w:bidi w:val="0"/>
        <w:spacing w:after="120" w:line="240" w:lineRule="auto"/>
        <w:jc w:val="right"/>
        <w:rPr>
          <w:rFonts w:hint="default"/>
          <w:b w:val="0"/>
          <w:color w:val="4A4A4A"/>
          <w:sz w:val="22"/>
          <w:lang w:val="en-GB"/>
        </w:rPr>
      </w:pPr>
    </w:p>
    <w:p w14:paraId="4568CB9B">
      <w:pPr>
        <w:bidi w:val="0"/>
        <w:spacing w:after="120" w:line="240" w:lineRule="auto"/>
        <w:jc w:val="right"/>
        <w:rPr>
          <w:rFonts w:hint="default"/>
          <w:b w:val="0"/>
          <w:color w:val="4A4A4A"/>
          <w:sz w:val="22"/>
          <w:lang w:val="en-GB"/>
        </w:rPr>
      </w:pPr>
      <w:r>
        <w:rPr>
          <w:rFonts w:hint="default"/>
          <w:b w:val="0"/>
          <w:color w:val="4A4A4A"/>
          <w:sz w:val="22"/>
          <w:lang w:val="en-GB"/>
        </w:rPr>
        <w:t>- تقديم ضمان نهائي بنسبة 5% من قيمة العقد خلال 5 أيام عمل من الإشعار بالترسية (وفق ما يُنص عليه في العقد).</w:t>
      </w:r>
    </w:p>
    <w:p w14:paraId="7C533175">
      <w:pPr>
        <w:bidi w:val="0"/>
        <w:spacing w:after="120" w:line="240" w:lineRule="auto"/>
        <w:jc w:val="right"/>
        <w:rPr>
          <w:rFonts w:hint="default"/>
          <w:b w:val="0"/>
          <w:color w:val="4A4A4A"/>
          <w:sz w:val="22"/>
          <w:lang w:val="en-GB"/>
        </w:rPr>
      </w:pPr>
    </w:p>
    <w:p w14:paraId="3FD75FA9">
      <w:pPr>
        <w:bidi w:val="0"/>
        <w:spacing w:after="120" w:line="240" w:lineRule="auto"/>
        <w:jc w:val="right"/>
        <w:rPr>
          <w:rFonts w:hint="default"/>
          <w:b w:val="0"/>
          <w:color w:val="4A4A4A"/>
          <w:sz w:val="22"/>
          <w:lang w:val="en-GB"/>
        </w:rPr>
      </w:pPr>
      <w:r>
        <w:rPr>
          <w:rFonts w:hint="default"/>
          <w:b w:val="0"/>
          <w:color w:val="4A4A4A"/>
          <w:sz w:val="22"/>
          <w:lang w:val="en-GB"/>
        </w:rPr>
        <w:t>- عدم البدء بالتنفيذ قبل توقيع العقد, والالتزام بمدة 12 شهراً للتنفيذ.</w:t>
      </w:r>
    </w:p>
    <w:p w14:paraId="1A45A14E">
      <w:pPr>
        <w:bidi w:val="0"/>
        <w:spacing w:after="120" w:line="240" w:lineRule="auto"/>
        <w:jc w:val="right"/>
        <w:rPr>
          <w:rFonts w:hint="default"/>
          <w:b w:val="0"/>
          <w:color w:val="4A4A4A"/>
          <w:sz w:val="22"/>
          <w:lang w:val="en-GB"/>
        </w:rPr>
      </w:pPr>
    </w:p>
    <w:p w14:paraId="4F76E30A">
      <w:pPr>
        <w:bidi w:val="0"/>
        <w:spacing w:after="120" w:line="240" w:lineRule="auto"/>
        <w:jc w:val="right"/>
        <w:rPr>
          <w:rFonts w:hint="default"/>
          <w:b w:val="0"/>
          <w:color w:val="4A4A4A"/>
          <w:sz w:val="22"/>
          <w:lang w:val="en-GB"/>
        </w:rPr>
      </w:pPr>
      <w:r>
        <w:rPr>
          <w:rFonts w:hint="default"/>
          <w:b w:val="0"/>
          <w:color w:val="4A4A4A"/>
          <w:sz w:val="22"/>
          <w:lang w:val="en-GB"/>
        </w:rPr>
        <w:t>- الالتزام بآليات الغرامات المنصوص عليها, وعدم تجاوز إجمالي الغرامات 20% من قيمة العقد.</w:t>
      </w:r>
    </w:p>
    <w:p w14:paraId="5BCC7E2B">
      <w:pPr>
        <w:bidi w:val="0"/>
        <w:spacing w:after="120" w:line="240" w:lineRule="auto"/>
        <w:jc w:val="right"/>
        <w:rPr>
          <w:rFonts w:hint="default"/>
          <w:b w:val="0"/>
          <w:color w:val="4A4A4A"/>
          <w:sz w:val="22"/>
          <w:lang w:val="en-GB"/>
        </w:rPr>
      </w:pPr>
    </w:p>
    <w:p w14:paraId="10D8C914">
      <w:pPr>
        <w:bidi w:val="0"/>
        <w:spacing w:after="120" w:line="240" w:lineRule="auto"/>
        <w:jc w:val="right"/>
        <w:rPr>
          <w:rFonts w:hint="default"/>
          <w:b w:val="0"/>
          <w:color w:val="4A4A4A"/>
          <w:sz w:val="22"/>
          <w:lang w:val="en-GB"/>
        </w:rPr>
      </w:pPr>
      <w:r>
        <w:rPr>
          <w:rFonts w:hint="default"/>
          <w:b w:val="0"/>
          <w:color w:val="4A4A4A"/>
          <w:sz w:val="22"/>
          <w:lang w:val="en-GB"/>
        </w:rPr>
        <w:t>- إعطاء الأفضلية للمنتجات الوطنية عند الشراء وفق ما يقتضيه العقد, وتجنب مخالفات تفضيل المحتوى المحلي.</w:t>
      </w:r>
    </w:p>
    <w:p w14:paraId="3FA52245">
      <w:pPr>
        <w:bidi w:val="0"/>
        <w:spacing w:after="120" w:line="240" w:lineRule="auto"/>
        <w:jc w:val="right"/>
        <w:rPr>
          <w:rFonts w:hint="default"/>
          <w:b w:val="0"/>
          <w:color w:val="4A4A4A"/>
          <w:sz w:val="22"/>
          <w:lang w:val="en-GB"/>
        </w:rPr>
      </w:pPr>
    </w:p>
    <w:p w14:paraId="779F587E">
      <w:pPr>
        <w:bidi w:val="0"/>
        <w:spacing w:after="120" w:line="240" w:lineRule="auto"/>
        <w:jc w:val="right"/>
        <w:rPr>
          <w:rFonts w:hint="default"/>
          <w:b w:val="0"/>
          <w:color w:val="4A4A4A"/>
          <w:sz w:val="22"/>
          <w:lang w:val="en-GB"/>
        </w:rPr>
      </w:pPr>
      <w:r>
        <w:rPr>
          <w:rFonts w:hint="default"/>
          <w:b w:val="0"/>
          <w:color w:val="4A4A4A"/>
          <w:sz w:val="22"/>
          <w:lang w:val="en-GB"/>
        </w:rPr>
        <w:t>- تنفيذ الخدمات في جميع مناطق المملكة وتسليم 12 مخرجاً كما هو محدد.</w:t>
      </w:r>
    </w:p>
    <w:p w14:paraId="276373F8">
      <w:pPr>
        <w:bidi w:val="0"/>
        <w:spacing w:after="120" w:line="240" w:lineRule="auto"/>
        <w:jc w:val="right"/>
        <w:rPr>
          <w:rFonts w:hint="default"/>
          <w:b w:val="0"/>
          <w:color w:val="4A4A4A"/>
          <w:sz w:val="22"/>
          <w:lang w:val="en-GB"/>
        </w:rPr>
      </w:pPr>
    </w:p>
    <w:p w14:paraId="1B9CBCC2">
      <w:pPr>
        <w:pStyle w:val="2"/>
        <w:bidi w:val="0"/>
        <w:spacing w:before="0" w:after="120" w:line="240" w:lineRule="auto"/>
        <w:jc w:val="right"/>
        <w:rPr>
          <w:rFonts w:hint="default"/>
          <w:b/>
          <w:color w:val="2D2D2D"/>
          <w:sz w:val="28"/>
          <w:lang w:val="en-GB"/>
        </w:rPr>
      </w:pPr>
      <w:r>
        <w:rPr>
          <w:rFonts w:hint="default"/>
          <w:b/>
          <w:color w:val="2D2D2D"/>
          <w:sz w:val="28"/>
          <w:lang w:val="en-GB"/>
        </w:rPr>
        <w:t>ملخص المخرجات</w:t>
      </w:r>
    </w:p>
    <w:p w14:paraId="75FFCC1D">
      <w:pPr>
        <w:rPr>
          <w:rFonts w:hint="default"/>
          <w:lang w:val="en-GB"/>
        </w:rPr>
      </w:pPr>
    </w:p>
    <w:p w14:paraId="755E2DA6">
      <w:pPr>
        <w:bidi w:val="0"/>
        <w:spacing w:after="120" w:line="240" w:lineRule="auto"/>
        <w:jc w:val="right"/>
        <w:rPr>
          <w:rFonts w:hint="default"/>
          <w:b w:val="0"/>
          <w:color w:val="4A4A4A"/>
          <w:sz w:val="22"/>
          <w:lang w:val="en-GB"/>
        </w:rPr>
      </w:pPr>
      <w:r>
        <w:rPr>
          <w:rFonts w:hint="default"/>
          <w:b w:val="0"/>
          <w:color w:val="4A4A4A"/>
          <w:sz w:val="22"/>
          <w:lang w:val="en-GB"/>
        </w:rPr>
        <w:t>تسليم 12 مخرجاً وثائقياً وفق نطاق العمل, تشمل الربط والتحليل والاستراتيجية والمبادرات والنماذج ومعمل الابتكار وخيارات الكيانات والشراكات.</w:t>
      </w:r>
    </w:p>
    <w:p w14:paraId="39A2D8BE">
      <w:pPr>
        <w:bidi w:val="0"/>
        <w:spacing w:after="120" w:line="240" w:lineRule="auto"/>
        <w:jc w:val="right"/>
        <w:rPr>
          <w:rFonts w:hint="default"/>
          <w:b w:val="0"/>
          <w:color w:val="4A4A4A"/>
          <w:sz w:val="22"/>
          <w:lang w:val="en-GB"/>
        </w:rPr>
      </w:pPr>
    </w:p>
    <w:p w14:paraId="201B37B9">
      <w:pPr>
        <w:bidi w:val="0"/>
        <w:spacing w:after="120" w:line="240" w:lineRule="auto"/>
        <w:jc w:val="right"/>
        <w:rPr>
          <w:rFonts w:hint="default"/>
          <w:b w:val="0"/>
          <w:color w:val="4A4A4A"/>
          <w:sz w:val="22"/>
          <w:lang w:val="en-GB"/>
        </w:rPr>
      </w:pPr>
      <w:r>
        <w:rPr>
          <w:rFonts w:hint="default"/>
          <w:b w:val="0"/>
          <w:color w:val="4A4A4A"/>
          <w:sz w:val="22"/>
          <w:lang w:val="en-GB"/>
        </w:rPr>
        <w:t>- قبول كل مخرج عبر محاضر اعتماد رسمية.</w:t>
      </w:r>
    </w:p>
    <w:p w14:paraId="7FAC1734">
      <w:pPr>
        <w:bidi w:val="0"/>
        <w:spacing w:after="120" w:line="240" w:lineRule="auto"/>
        <w:jc w:val="right"/>
        <w:rPr>
          <w:rFonts w:hint="default"/>
          <w:b w:val="0"/>
          <w:color w:val="4A4A4A"/>
          <w:sz w:val="22"/>
          <w:lang w:val="en-GB"/>
        </w:rPr>
      </w:pPr>
    </w:p>
    <w:p w14:paraId="62A1FBF8">
      <w:pPr>
        <w:bidi w:val="0"/>
        <w:spacing w:after="120" w:line="240" w:lineRule="auto"/>
        <w:jc w:val="right"/>
        <w:rPr>
          <w:rFonts w:hint="default"/>
          <w:b w:val="0"/>
          <w:color w:val="4A4A4A"/>
          <w:sz w:val="22"/>
          <w:lang w:val="en-GB"/>
        </w:rPr>
      </w:pPr>
      <w:r>
        <w:rPr>
          <w:rFonts w:hint="default"/>
          <w:b w:val="0"/>
          <w:color w:val="4A4A4A"/>
          <w:sz w:val="22"/>
          <w:lang w:val="en-GB"/>
        </w:rPr>
        <w:t>- ربط الدفعات باعتماد المخرجات المرحلية.</w:t>
      </w:r>
    </w:p>
    <w:p w14:paraId="11E063B7">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3C1F5F6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EEDF3A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w:t>
            </w:r>
          </w:p>
        </w:tc>
        <w:tc>
          <w:tcPr>
            <w:tcW w:w="1249" w:type="pct"/>
          </w:tcPr>
          <w:p w14:paraId="528380B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c>
          <w:tcPr>
            <w:tcW w:w="1250" w:type="pct"/>
          </w:tcPr>
          <w:p w14:paraId="58DDF79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الوحدة</w:t>
            </w:r>
          </w:p>
        </w:tc>
        <w:tc>
          <w:tcPr>
            <w:tcW w:w="1250" w:type="pct"/>
          </w:tcPr>
          <w:p w14:paraId="41F4D53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الكمية</w:t>
            </w:r>
          </w:p>
        </w:tc>
      </w:tr>
      <w:tr w14:paraId="28CE18C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59A05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c>
          <w:tcPr>
            <w:tcW w:w="1249" w:type="pct"/>
          </w:tcPr>
          <w:p w14:paraId="548E13E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ربط مشروع دراسة الاحتياجات الريفية وتقييم القدرات مع أهداف المشروع الحالي</w:t>
            </w:r>
          </w:p>
        </w:tc>
        <w:tc>
          <w:tcPr>
            <w:tcW w:w="1250" w:type="pct"/>
          </w:tcPr>
          <w:p w14:paraId="0A044D1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292D71E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59FE789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3C9EE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w:t>
            </w:r>
          </w:p>
        </w:tc>
        <w:tc>
          <w:tcPr>
            <w:tcW w:w="1249" w:type="pct"/>
          </w:tcPr>
          <w:p w14:paraId="4E02AAE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تحليل أصحاب المصلحة وإطار الحوكمة للقرى المختارة</w:t>
            </w:r>
          </w:p>
        </w:tc>
        <w:tc>
          <w:tcPr>
            <w:tcW w:w="1250" w:type="pct"/>
          </w:tcPr>
          <w:p w14:paraId="25CF87D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5C05D3B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6DBF609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DAA8FA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c>
          <w:tcPr>
            <w:tcW w:w="1249" w:type="pct"/>
          </w:tcPr>
          <w:p w14:paraId="6BFC8F4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المبادرات والمشروعات ذات الصلة بالقرى المختارة</w:t>
            </w:r>
          </w:p>
        </w:tc>
        <w:tc>
          <w:tcPr>
            <w:tcW w:w="1250" w:type="pct"/>
          </w:tcPr>
          <w:p w14:paraId="616C647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5D794FB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1DFE909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7174E5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4</w:t>
            </w:r>
          </w:p>
        </w:tc>
        <w:tc>
          <w:tcPr>
            <w:tcW w:w="1249" w:type="pct"/>
          </w:tcPr>
          <w:p w14:paraId="4ECDBB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الإطار التصميمي للحلول المؤثرة في مستهدفات القطاع غير الربحي</w:t>
            </w:r>
          </w:p>
        </w:tc>
        <w:tc>
          <w:tcPr>
            <w:tcW w:w="1250" w:type="pct"/>
          </w:tcPr>
          <w:p w14:paraId="132DBEB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54CB6E1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3B24BEE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D1DB7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w:t>
            </w:r>
          </w:p>
        </w:tc>
        <w:tc>
          <w:tcPr>
            <w:tcW w:w="1249" w:type="pct"/>
          </w:tcPr>
          <w:p w14:paraId="7CB2DC1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إطار الاستراتيجية للقرى التنموية غير الربحية في المملكة</w:t>
            </w:r>
          </w:p>
        </w:tc>
        <w:tc>
          <w:tcPr>
            <w:tcW w:w="1250" w:type="pct"/>
          </w:tcPr>
          <w:p w14:paraId="6007F51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01B8118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7B11257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CE7EE6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w:t>
            </w:r>
          </w:p>
        </w:tc>
        <w:tc>
          <w:tcPr>
            <w:tcW w:w="1249" w:type="pct"/>
          </w:tcPr>
          <w:p w14:paraId="7AEA027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الخارطة الاستراتيجية للقرى المختارة</w:t>
            </w:r>
          </w:p>
        </w:tc>
        <w:tc>
          <w:tcPr>
            <w:tcW w:w="1250" w:type="pct"/>
          </w:tcPr>
          <w:p w14:paraId="7471BE8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6CDA0DB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51B70C1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013EB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7</w:t>
            </w:r>
          </w:p>
        </w:tc>
        <w:tc>
          <w:tcPr>
            <w:tcW w:w="1249" w:type="pct"/>
          </w:tcPr>
          <w:p w14:paraId="299165D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المبادرات الاستراتيجية والمشاريع لكل خارطة</w:t>
            </w:r>
          </w:p>
        </w:tc>
        <w:tc>
          <w:tcPr>
            <w:tcW w:w="1250" w:type="pct"/>
          </w:tcPr>
          <w:p w14:paraId="6FB2071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442E846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41E846C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AAE6E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w:t>
            </w:r>
          </w:p>
        </w:tc>
        <w:tc>
          <w:tcPr>
            <w:tcW w:w="1249" w:type="pct"/>
          </w:tcPr>
          <w:p w14:paraId="038AFD8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نموذج العمل للقرى المختارة</w:t>
            </w:r>
          </w:p>
        </w:tc>
        <w:tc>
          <w:tcPr>
            <w:tcW w:w="1250" w:type="pct"/>
          </w:tcPr>
          <w:p w14:paraId="3E408B9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6F07ADB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08F98E0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67AE04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9</w:t>
            </w:r>
          </w:p>
        </w:tc>
        <w:tc>
          <w:tcPr>
            <w:tcW w:w="1249" w:type="pct"/>
          </w:tcPr>
          <w:p w14:paraId="18660BD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النموذج التشغيلي للقرى المختارة</w:t>
            </w:r>
          </w:p>
        </w:tc>
        <w:tc>
          <w:tcPr>
            <w:tcW w:w="1250" w:type="pct"/>
          </w:tcPr>
          <w:p w14:paraId="36DE287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26C56DC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5D62C38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6333D7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w:t>
            </w:r>
          </w:p>
        </w:tc>
        <w:tc>
          <w:tcPr>
            <w:tcW w:w="1249" w:type="pct"/>
          </w:tcPr>
          <w:p w14:paraId="1B597CE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تصميم وتنفيذ معمل ابتكار اجتماعي</w:t>
            </w:r>
          </w:p>
        </w:tc>
        <w:tc>
          <w:tcPr>
            <w:tcW w:w="1250" w:type="pct"/>
          </w:tcPr>
          <w:p w14:paraId="658EA2F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3925F6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0BF0874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D57F8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11</w:t>
            </w:r>
          </w:p>
        </w:tc>
        <w:tc>
          <w:tcPr>
            <w:tcW w:w="1249" w:type="pct"/>
          </w:tcPr>
          <w:p w14:paraId="3E30E24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خيارات تأسيس جهات غير ربحية للقرى المختارة</w:t>
            </w:r>
          </w:p>
        </w:tc>
        <w:tc>
          <w:tcPr>
            <w:tcW w:w="1250" w:type="pct"/>
          </w:tcPr>
          <w:p w14:paraId="2E0989B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3C79E58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321C6C5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276695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12</w:t>
            </w:r>
          </w:p>
        </w:tc>
        <w:tc>
          <w:tcPr>
            <w:tcW w:w="1249" w:type="pct"/>
          </w:tcPr>
          <w:p w14:paraId="771EE20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إطار الشراكات المقترحة للقرى المختارة</w:t>
            </w:r>
          </w:p>
        </w:tc>
        <w:tc>
          <w:tcPr>
            <w:tcW w:w="1250" w:type="pct"/>
          </w:tcPr>
          <w:p w14:paraId="1531BA1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w:t>
            </w:r>
          </w:p>
        </w:tc>
        <w:tc>
          <w:tcPr>
            <w:tcW w:w="1250" w:type="pct"/>
          </w:tcPr>
          <w:p w14:paraId="6BBB85E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bl>
    <w:p w14:paraId="294B40CE">
      <w:pPr>
        <w:bidi w:val="0"/>
        <w:spacing w:after="120" w:line="240" w:lineRule="auto"/>
        <w:jc w:val="right"/>
        <w:rPr>
          <w:rFonts w:hint="default"/>
          <w:b w:val="0"/>
          <w:color w:val="4A4A4A"/>
          <w:sz w:val="22"/>
          <w:lang w:val="en-GB"/>
        </w:rPr>
      </w:pPr>
    </w:p>
    <w:p w14:paraId="58784DEF">
      <w:pPr>
        <w:pStyle w:val="2"/>
        <w:bidi w:val="0"/>
        <w:spacing w:before="0" w:after="120" w:line="240" w:lineRule="auto"/>
        <w:jc w:val="right"/>
        <w:rPr>
          <w:rFonts w:hint="default"/>
          <w:b/>
          <w:color w:val="2D2D2D"/>
          <w:sz w:val="28"/>
          <w:lang w:val="en-GB"/>
        </w:rPr>
      </w:pPr>
      <w:r>
        <w:rPr>
          <w:rFonts w:hint="default"/>
          <w:b/>
          <w:color w:val="2D2D2D"/>
          <w:sz w:val="28"/>
          <w:lang w:val="en-GB"/>
        </w:rPr>
        <w:t>الافتراضات</w:t>
      </w:r>
    </w:p>
    <w:p w14:paraId="56E15969">
      <w:pPr>
        <w:rPr>
          <w:rFonts w:hint="default"/>
          <w:lang w:val="en-GB"/>
        </w:rPr>
      </w:pPr>
    </w:p>
    <w:p w14:paraId="2DAD76A5">
      <w:pPr>
        <w:bidi w:val="0"/>
        <w:spacing w:after="120" w:line="240" w:lineRule="auto"/>
        <w:jc w:val="right"/>
        <w:rPr>
          <w:rFonts w:hint="default"/>
          <w:b w:val="0"/>
          <w:color w:val="4A4A4A"/>
          <w:sz w:val="22"/>
          <w:lang w:val="en-GB"/>
        </w:rPr>
      </w:pPr>
      <w:r>
        <w:rPr>
          <w:rFonts w:hint="default"/>
          <w:b w:val="0"/>
          <w:color w:val="4A4A4A"/>
          <w:sz w:val="22"/>
          <w:lang w:val="en-GB"/>
        </w:rPr>
        <w:t>نجاح التنفيذ يتطلب تعاوناً فعالاً وإتاحة البيانات والاعتمادات ضمن أطر زمنية متفق عليها, مع تيسير الوصول لأصحاب المصلحة وتوفير الردود على الملاحظات خلال مدد معقولة.</w:t>
      </w:r>
    </w:p>
    <w:p w14:paraId="3576D831">
      <w:pPr>
        <w:bidi w:val="0"/>
        <w:spacing w:after="120" w:line="240" w:lineRule="auto"/>
        <w:jc w:val="right"/>
        <w:rPr>
          <w:rFonts w:hint="default"/>
          <w:b w:val="0"/>
          <w:color w:val="4A4A4A"/>
          <w:sz w:val="22"/>
          <w:lang w:val="en-GB"/>
        </w:rPr>
      </w:pPr>
    </w:p>
    <w:p w14:paraId="69838BBD">
      <w:pPr>
        <w:bidi w:val="0"/>
        <w:spacing w:after="120" w:line="240" w:lineRule="auto"/>
        <w:jc w:val="right"/>
        <w:rPr>
          <w:rFonts w:hint="default"/>
          <w:b w:val="0"/>
          <w:color w:val="4A4A4A"/>
          <w:sz w:val="22"/>
          <w:lang w:val="en-GB"/>
        </w:rPr>
      </w:pPr>
      <w:r>
        <w:rPr>
          <w:rFonts w:hint="default"/>
          <w:b w:val="0"/>
          <w:color w:val="4A4A4A"/>
          <w:sz w:val="22"/>
          <w:lang w:val="en-GB"/>
        </w:rPr>
        <w:t>- توفير البيانات والمخرجات السابقة ذات الصلة.</w:t>
      </w:r>
    </w:p>
    <w:p w14:paraId="6B15AC0F">
      <w:pPr>
        <w:bidi w:val="0"/>
        <w:spacing w:after="120" w:line="240" w:lineRule="auto"/>
        <w:jc w:val="right"/>
        <w:rPr>
          <w:rFonts w:hint="default"/>
          <w:b w:val="0"/>
          <w:color w:val="4A4A4A"/>
          <w:sz w:val="22"/>
          <w:lang w:val="en-GB"/>
        </w:rPr>
      </w:pPr>
    </w:p>
    <w:p w14:paraId="5229D7C9">
      <w:pPr>
        <w:bidi w:val="0"/>
        <w:spacing w:after="120" w:line="240" w:lineRule="auto"/>
        <w:jc w:val="right"/>
        <w:rPr>
          <w:rFonts w:hint="default"/>
          <w:b w:val="0"/>
          <w:color w:val="4A4A4A"/>
          <w:sz w:val="22"/>
          <w:lang w:val="en-GB"/>
        </w:rPr>
      </w:pPr>
      <w:r>
        <w:rPr>
          <w:rFonts w:hint="default"/>
          <w:b w:val="0"/>
          <w:color w:val="4A4A4A"/>
          <w:sz w:val="22"/>
          <w:lang w:val="en-GB"/>
        </w:rPr>
        <w:t>- تيسير الاجتماعات وورش العمل مع أصحاب المصلحة.</w:t>
      </w:r>
    </w:p>
    <w:p w14:paraId="34E67EDC">
      <w:pPr>
        <w:bidi w:val="0"/>
        <w:spacing w:after="120" w:line="240" w:lineRule="auto"/>
        <w:jc w:val="right"/>
        <w:rPr>
          <w:rFonts w:hint="default"/>
          <w:b w:val="0"/>
          <w:color w:val="4A4A4A"/>
          <w:sz w:val="22"/>
          <w:lang w:val="en-GB"/>
        </w:rPr>
      </w:pPr>
    </w:p>
    <w:p w14:paraId="342F24CB">
      <w:pPr>
        <w:bidi w:val="0"/>
        <w:spacing w:after="120" w:line="240" w:lineRule="auto"/>
        <w:jc w:val="right"/>
        <w:rPr>
          <w:rFonts w:hint="default"/>
          <w:b w:val="0"/>
          <w:color w:val="4A4A4A"/>
          <w:sz w:val="22"/>
          <w:lang w:val="en-GB"/>
        </w:rPr>
      </w:pPr>
      <w:r>
        <w:rPr>
          <w:rFonts w:hint="default"/>
          <w:b w:val="0"/>
          <w:color w:val="4A4A4A"/>
          <w:sz w:val="22"/>
          <w:lang w:val="en-GB"/>
        </w:rPr>
        <w:t>- اعتماد المخرجات خلال مدد معقولة لضمان تتابع الجدول.</w:t>
      </w:r>
    </w:p>
    <w:p w14:paraId="41D0375A">
      <w:pPr>
        <w:bidi w:val="0"/>
        <w:spacing w:after="120" w:line="240" w:lineRule="auto"/>
        <w:jc w:val="right"/>
        <w:rPr>
          <w:rFonts w:hint="default"/>
          <w:b w:val="0"/>
          <w:color w:val="4A4A4A"/>
          <w:sz w:val="22"/>
          <w:lang w:val="en-GB"/>
        </w:rPr>
      </w:pPr>
    </w:p>
    <w:p w14:paraId="3200AA02">
      <w:pPr>
        <w:bidi w:val="0"/>
        <w:spacing w:after="120" w:line="240" w:lineRule="auto"/>
        <w:jc w:val="right"/>
        <w:rPr>
          <w:rFonts w:hint="default"/>
          <w:b w:val="0"/>
          <w:color w:val="4A4A4A"/>
          <w:sz w:val="22"/>
          <w:lang w:val="en-GB"/>
        </w:rPr>
      </w:pPr>
      <w:r>
        <w:rPr>
          <w:rFonts w:hint="default"/>
          <w:b w:val="0"/>
          <w:color w:val="4A4A4A"/>
          <w:sz w:val="22"/>
          <w:lang w:val="en-GB"/>
        </w:rPr>
        <w:t>- إتاحة أدوات إدارة المشروع والوثائق لدى الجهة عند الحاجة.</w:t>
      </w:r>
    </w:p>
    <w:p w14:paraId="364CE7F7">
      <w:pPr>
        <w:bidi w:val="0"/>
        <w:spacing w:after="120" w:line="240" w:lineRule="auto"/>
        <w:jc w:val="right"/>
        <w:rPr>
          <w:rFonts w:hint="default"/>
          <w:b w:val="0"/>
          <w:color w:val="4A4A4A"/>
          <w:sz w:val="22"/>
          <w:lang w:val="en-GB"/>
        </w:rPr>
      </w:pPr>
    </w:p>
    <w:p w14:paraId="3D04AF25">
      <w:pPr>
        <w:pStyle w:val="2"/>
        <w:bidi w:val="0"/>
        <w:spacing w:before="0" w:after="120" w:line="240" w:lineRule="auto"/>
        <w:jc w:val="right"/>
        <w:rPr>
          <w:rFonts w:hint="default"/>
          <w:b/>
          <w:color w:val="2D2D2D"/>
          <w:sz w:val="28"/>
          <w:lang w:val="en-GB"/>
        </w:rPr>
      </w:pPr>
      <w:r>
        <w:rPr>
          <w:rFonts w:hint="default"/>
          <w:b/>
          <w:color w:val="2D2D2D"/>
          <w:sz w:val="28"/>
          <w:lang w:val="en-GB"/>
        </w:rPr>
        <w:t>منهجية التسعير (ملخص)</w:t>
      </w:r>
    </w:p>
    <w:p w14:paraId="00A01DA2">
      <w:pPr>
        <w:rPr>
          <w:rFonts w:hint="default"/>
          <w:lang w:val="en-GB"/>
        </w:rPr>
      </w:pPr>
    </w:p>
    <w:p w14:paraId="500FD8B6">
      <w:pPr>
        <w:bidi w:val="0"/>
        <w:spacing w:after="120" w:line="240" w:lineRule="auto"/>
        <w:jc w:val="right"/>
        <w:rPr>
          <w:rFonts w:hint="default"/>
          <w:b w:val="0"/>
          <w:color w:val="4A4A4A"/>
          <w:sz w:val="22"/>
          <w:lang w:val="en-GB"/>
        </w:rPr>
      </w:pPr>
      <w:r>
        <w:rPr>
          <w:rFonts w:hint="default"/>
          <w:b w:val="0"/>
          <w:color w:val="4A4A4A"/>
          <w:sz w:val="22"/>
          <w:lang w:val="en-GB"/>
        </w:rPr>
        <w:t>سيكون التسعير قائماً على المخرجات المعتمدة وجدول الكميات, مع ربط الدفعات بالقبول الرسمي لكل مرحلة: الدفعة الأولى تغطي مخرجات التحليل والربط (20%), والدفعات اللاحقة تغطي مخرجات التصميم والمواءمة (80%).</w:t>
      </w:r>
    </w:p>
    <w:p w14:paraId="2A41F731">
      <w:pPr>
        <w:bidi w:val="0"/>
        <w:spacing w:after="120" w:line="240" w:lineRule="auto"/>
        <w:jc w:val="right"/>
        <w:rPr>
          <w:rFonts w:hint="default"/>
          <w:b w:val="0"/>
          <w:color w:val="4A4A4A"/>
          <w:sz w:val="22"/>
          <w:lang w:val="en-GB"/>
        </w:rPr>
      </w:pPr>
    </w:p>
    <w:p w14:paraId="466783ED">
      <w:pPr>
        <w:bidi w:val="0"/>
        <w:spacing w:after="120" w:line="240" w:lineRule="auto"/>
        <w:jc w:val="right"/>
        <w:rPr>
          <w:rFonts w:hint="default"/>
          <w:b w:val="0"/>
          <w:color w:val="4A4A4A"/>
          <w:sz w:val="22"/>
          <w:lang w:val="en-GB"/>
        </w:rPr>
      </w:pPr>
      <w:r>
        <w:rPr>
          <w:rFonts w:hint="default"/>
          <w:b w:val="0"/>
          <w:color w:val="4A4A4A"/>
          <w:sz w:val="22"/>
          <w:lang w:val="en-GB"/>
        </w:rPr>
        <w:t>- تسعير قائم على المخرجات لا على الجهد فقط.</w:t>
      </w:r>
    </w:p>
    <w:p w14:paraId="041B13D2">
      <w:pPr>
        <w:bidi w:val="0"/>
        <w:spacing w:after="120" w:line="240" w:lineRule="auto"/>
        <w:jc w:val="right"/>
        <w:rPr>
          <w:rFonts w:hint="default"/>
          <w:b w:val="0"/>
          <w:color w:val="4A4A4A"/>
          <w:sz w:val="22"/>
          <w:lang w:val="en-GB"/>
        </w:rPr>
      </w:pPr>
    </w:p>
    <w:p w14:paraId="3B8ECB98">
      <w:pPr>
        <w:bidi w:val="0"/>
        <w:spacing w:after="120" w:line="240" w:lineRule="auto"/>
        <w:jc w:val="right"/>
        <w:rPr>
          <w:rFonts w:hint="default"/>
          <w:b w:val="0"/>
          <w:color w:val="4A4A4A"/>
          <w:sz w:val="22"/>
          <w:lang w:val="en-GB"/>
        </w:rPr>
      </w:pPr>
      <w:r>
        <w:rPr>
          <w:rFonts w:hint="default"/>
          <w:b w:val="0"/>
          <w:color w:val="4A4A4A"/>
          <w:sz w:val="22"/>
          <w:lang w:val="en-GB"/>
        </w:rPr>
        <w:t>- دفعات مرحلية مرتبطة بمحاضر القبول لكل مخرج.</w:t>
      </w:r>
    </w:p>
    <w:p w14:paraId="1162A781">
      <w:pPr>
        <w:bidi w:val="0"/>
        <w:spacing w:after="120" w:line="240" w:lineRule="auto"/>
        <w:jc w:val="right"/>
        <w:rPr>
          <w:rFonts w:hint="default"/>
          <w:b w:val="0"/>
          <w:color w:val="4A4A4A"/>
          <w:sz w:val="22"/>
          <w:lang w:val="en-GB"/>
        </w:rPr>
      </w:pPr>
    </w:p>
    <w:p w14:paraId="25CBDBE8">
      <w:pPr>
        <w:bidi w:val="0"/>
        <w:spacing w:after="120" w:line="240" w:lineRule="auto"/>
        <w:jc w:val="right"/>
        <w:rPr>
          <w:rFonts w:hint="default"/>
          <w:b w:val="0"/>
          <w:color w:val="4A4A4A"/>
          <w:sz w:val="22"/>
          <w:lang w:val="en-GB"/>
        </w:rPr>
      </w:pPr>
      <w:r>
        <w:rPr>
          <w:rFonts w:hint="default"/>
          <w:b w:val="0"/>
          <w:color w:val="4A4A4A"/>
          <w:sz w:val="22"/>
          <w:lang w:val="en-GB"/>
        </w:rPr>
        <w:t>- مواءمة الدفعات مع النسب الإرشادية 20%/80%.</w:t>
      </w:r>
    </w:p>
    <w:p w14:paraId="07E4A0EC">
      <w:pPr>
        <w:bidi w:val="0"/>
        <w:spacing w:after="120" w:line="240" w:lineRule="auto"/>
        <w:jc w:val="righ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9201F0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40AF5D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العنصر</w:t>
            </w:r>
          </w:p>
        </w:tc>
        <w:tc>
          <w:tcPr>
            <w:tcW w:w="2500" w:type="pct"/>
          </w:tcPr>
          <w:p w14:paraId="4D07EDE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أساس التسعير/الربط</w:t>
            </w:r>
          </w:p>
        </w:tc>
      </w:tr>
      <w:tr w14:paraId="17EBB82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A054B6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المرحلة الأولى: الدراسة والتحليل</w:t>
            </w:r>
          </w:p>
        </w:tc>
        <w:tc>
          <w:tcPr>
            <w:tcW w:w="2500" w:type="pct"/>
          </w:tcPr>
          <w:p w14:paraId="1A45F79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مقابل تسليم واعتماد 4 وثائق (20%)</w:t>
            </w:r>
          </w:p>
        </w:tc>
      </w:tr>
      <w:tr w14:paraId="5225333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BB67A9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المرحلة الثانية: التصميم والمواءمة</w:t>
            </w:r>
          </w:p>
        </w:tc>
        <w:tc>
          <w:tcPr>
            <w:tcW w:w="2500" w:type="pct"/>
          </w:tcPr>
          <w:p w14:paraId="379766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دفعات مقابل تسليم واعتماد 8 وثائق (80%)</w:t>
            </w:r>
          </w:p>
        </w:tc>
      </w:tr>
      <w:tr w14:paraId="1BE41A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0D612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آلية الدفع</w:t>
            </w:r>
          </w:p>
        </w:tc>
        <w:tc>
          <w:tcPr>
            <w:tcW w:w="2500" w:type="pct"/>
          </w:tcPr>
          <w:p w14:paraId="4CDC49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صرف بعد القبول الرسمي للمخرجات حسب العقد</w:t>
            </w:r>
          </w:p>
        </w:tc>
      </w:tr>
    </w:tbl>
    <w:p w14:paraId="504711F0">
      <w:pPr>
        <w:bidi w:val="0"/>
        <w:spacing w:after="120" w:line="240" w:lineRule="auto"/>
        <w:jc w:val="right"/>
        <w:rPr>
          <w:rFonts w:hint="default"/>
          <w:b w:val="0"/>
          <w:color w:val="4A4A4A"/>
          <w:sz w:val="22"/>
          <w:lang w:val="en-GB"/>
        </w:rPr>
      </w:pPr>
    </w:p>
    <w:p w14:paraId="2746FDAB">
      <w:pPr>
        <w:pStyle w:val="2"/>
        <w:bidi w:val="0"/>
        <w:spacing w:before="0" w:after="120" w:line="240" w:lineRule="auto"/>
        <w:jc w:val="right"/>
        <w:rPr>
          <w:rFonts w:hint="default"/>
          <w:b/>
          <w:color w:val="2D2D2D"/>
          <w:sz w:val="28"/>
          <w:lang w:val="en-GB"/>
        </w:rPr>
      </w:pPr>
      <w:r>
        <w:rPr>
          <w:rFonts w:hint="default"/>
          <w:b/>
          <w:color w:val="2D2D2D"/>
          <w:sz w:val="28"/>
          <w:lang w:val="en-GB"/>
        </w:rPr>
        <w:t>لماذا Strategy Impetus</w:t>
      </w:r>
    </w:p>
    <w:p w14:paraId="60198ACB">
      <w:pPr>
        <w:rPr>
          <w:rFonts w:hint="default"/>
          <w:lang w:val="en-GB"/>
        </w:rPr>
      </w:pPr>
    </w:p>
    <w:p w14:paraId="758B2C72">
      <w:pPr>
        <w:bidi w:val="0"/>
        <w:spacing w:after="120" w:line="240" w:lineRule="auto"/>
        <w:jc w:val="right"/>
        <w:rPr>
          <w:rFonts w:hint="default"/>
          <w:b w:val="0"/>
          <w:color w:val="4A4A4A"/>
          <w:sz w:val="22"/>
          <w:lang w:val="en-GB"/>
        </w:rPr>
      </w:pPr>
      <w:r>
        <w:rPr>
          <w:rFonts w:hint="default"/>
          <w:b w:val="0"/>
          <w:color w:val="4A4A4A"/>
          <w:sz w:val="22"/>
          <w:lang w:val="en-GB"/>
        </w:rPr>
        <w:t>لأننا نمكّن التنمية الريفية بأثر قابل للقياس عبر نموذج تشغيلي محلي وخبرة تحليلية وتشاركية متقدمة, ونربط بين الاستراتيجية والتنفيذ عبر مبادرات ومسارات إنعاش ونماذج عمل وتشغيل وتمويل ومعمل ابتكار اجتماعي.</w:t>
      </w:r>
    </w:p>
    <w:p w14:paraId="7184CD61">
      <w:pPr>
        <w:bidi w:val="0"/>
        <w:spacing w:after="120" w:line="240" w:lineRule="auto"/>
        <w:jc w:val="right"/>
        <w:rPr>
          <w:rFonts w:hint="default"/>
          <w:b w:val="0"/>
          <w:color w:val="4A4A4A"/>
          <w:sz w:val="22"/>
          <w:lang w:val="en-GB"/>
        </w:rPr>
      </w:pPr>
    </w:p>
    <w:p w14:paraId="3D1AC101">
      <w:pPr>
        <w:bidi w:val="0"/>
        <w:spacing w:after="120" w:line="240" w:lineRule="auto"/>
        <w:jc w:val="right"/>
        <w:rPr>
          <w:rFonts w:hint="default"/>
          <w:b w:val="0"/>
          <w:color w:val="4A4A4A"/>
          <w:sz w:val="22"/>
          <w:lang w:val="en-GB"/>
        </w:rPr>
      </w:pPr>
      <w:r>
        <w:rPr>
          <w:rFonts w:hint="default"/>
          <w:b w:val="0"/>
          <w:color w:val="4A4A4A"/>
          <w:sz w:val="22"/>
          <w:lang w:val="en-GB"/>
        </w:rPr>
        <w:t>- أولوية للأثر بما يتجاوز الربحية.</w:t>
      </w:r>
    </w:p>
    <w:p w14:paraId="55BCCFFA">
      <w:pPr>
        <w:bidi w:val="0"/>
        <w:spacing w:after="120" w:line="240" w:lineRule="auto"/>
        <w:jc w:val="right"/>
        <w:rPr>
          <w:rFonts w:hint="default"/>
          <w:b w:val="0"/>
          <w:color w:val="4A4A4A"/>
          <w:sz w:val="22"/>
          <w:lang w:val="en-GB"/>
        </w:rPr>
      </w:pPr>
    </w:p>
    <w:p w14:paraId="11136F2E">
      <w:pPr>
        <w:bidi w:val="0"/>
        <w:spacing w:after="120" w:line="240" w:lineRule="auto"/>
        <w:jc w:val="right"/>
        <w:rPr>
          <w:rFonts w:hint="default"/>
          <w:b w:val="0"/>
          <w:color w:val="4A4A4A"/>
          <w:sz w:val="22"/>
          <w:lang w:val="en-GB"/>
        </w:rPr>
      </w:pPr>
      <w:r>
        <w:rPr>
          <w:rFonts w:hint="default"/>
          <w:b w:val="0"/>
          <w:color w:val="4A4A4A"/>
          <w:sz w:val="22"/>
          <w:lang w:val="en-GB"/>
        </w:rPr>
        <w:t>- خبرة عملية ببيانات ضخمة ومسوح مجتمعية واسعة.</w:t>
      </w:r>
    </w:p>
    <w:p w14:paraId="05AD951F">
      <w:pPr>
        <w:bidi w:val="0"/>
        <w:spacing w:after="120" w:line="240" w:lineRule="auto"/>
        <w:jc w:val="right"/>
        <w:rPr>
          <w:rFonts w:hint="default"/>
          <w:b w:val="0"/>
          <w:color w:val="4A4A4A"/>
          <w:sz w:val="22"/>
          <w:lang w:val="en-GB"/>
        </w:rPr>
      </w:pPr>
    </w:p>
    <w:p w14:paraId="68E0A6F5">
      <w:pPr>
        <w:bidi w:val="0"/>
        <w:spacing w:after="120" w:line="240" w:lineRule="auto"/>
        <w:jc w:val="right"/>
        <w:rPr>
          <w:rFonts w:hint="default"/>
          <w:b w:val="0"/>
          <w:color w:val="4A4A4A"/>
          <w:sz w:val="22"/>
          <w:lang w:val="en-GB"/>
        </w:rPr>
      </w:pPr>
      <w:r>
        <w:rPr>
          <w:rFonts w:hint="default"/>
          <w:b w:val="0"/>
          <w:color w:val="4A4A4A"/>
          <w:sz w:val="22"/>
          <w:lang w:val="en-GB"/>
        </w:rPr>
        <w:t>- نموذج تشغيلي محلي ومنهجيات تحليلية وتشاركية.</w:t>
      </w:r>
    </w:p>
    <w:p w14:paraId="27977183">
      <w:pPr>
        <w:bidi w:val="0"/>
        <w:spacing w:after="120" w:line="240" w:lineRule="auto"/>
        <w:jc w:val="right"/>
        <w:rPr>
          <w:rFonts w:hint="default"/>
          <w:b w:val="0"/>
          <w:color w:val="4A4A4A"/>
          <w:sz w:val="22"/>
          <w:lang w:val="en-GB"/>
        </w:rPr>
      </w:pPr>
    </w:p>
    <w:p w14:paraId="1D0A6D59">
      <w:pPr>
        <w:bidi w:val="0"/>
        <w:spacing w:after="120" w:line="240" w:lineRule="auto"/>
        <w:jc w:val="right"/>
        <w:rPr>
          <w:rFonts w:hint="default"/>
          <w:b w:val="0"/>
          <w:color w:val="4A4A4A"/>
          <w:sz w:val="22"/>
          <w:lang w:val="en-GB"/>
        </w:rPr>
      </w:pPr>
      <w:r>
        <w:rPr>
          <w:rFonts w:hint="default"/>
          <w:b w:val="0"/>
          <w:color w:val="4A4A4A"/>
          <w:sz w:val="22"/>
          <w:lang w:val="en-GB"/>
        </w:rPr>
        <w:t>- شبكة معرفية دولية داعمة دون الإخلال بنطاق التنفيذ.</w:t>
      </w:r>
    </w:p>
    <w:p w14:paraId="6492620E">
      <w:pPr>
        <w:bidi w:val="0"/>
        <w:spacing w:after="120" w:line="240" w:lineRule="auto"/>
        <w:jc w:val="righ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627EA"/>
    <w:rsid w:val="1346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2025-10-03T13:07:00Z</dcterms:created>
  <dc:creator>Administrator</dc:creator>
  <cp:lastModifiedBy>Administrator</cp:lastModifiedBy>
  <dcterms:modified xsi:type="dcterms:W3CDTF">2025-10-03T13:07:21Z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C6E16D52F58345E580E9845760D0CE32_11</vt:lpwstr>
  </property>
</Properties>
</file>