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1C76C" w14:textId="15DC1F67" w:rsidR="005E249D" w:rsidRDefault="005E249D" w:rsidP="005E249D">
      <w:pPr>
        <w:spacing w:after="120" w:line="240" w:lineRule="auto"/>
        <w:jc w:val="center"/>
        <w:rPr>
          <w:rFonts w:asciiTheme="majorHAnsi" w:eastAsiaTheme="majorEastAsia" w:hAnsiTheme="majorHAnsi" w:cstheme="majorBidi"/>
          <w:b/>
          <w:color w:val="1A1A1A"/>
          <w:spacing w:val="-10"/>
          <w:kern w:val="28"/>
          <w:sz w:val="32"/>
          <w:szCs w:val="56"/>
        </w:rPr>
      </w:pPr>
      <w:r w:rsidRPr="005E249D">
        <w:rPr>
          <w:rFonts w:asciiTheme="majorHAnsi" w:eastAsiaTheme="majorEastAsia" w:hAnsiTheme="majorHAnsi" w:cstheme="majorBidi"/>
          <w:b/>
          <w:color w:val="1A1A1A"/>
          <w:spacing w:val="-10"/>
          <w:kern w:val="28"/>
          <w:sz w:val="32"/>
          <w:szCs w:val="56"/>
        </w:rPr>
        <w:t>Comprehensive Proposal for Building Rural Development Strategy</w:t>
      </w:r>
    </w:p>
    <w:p w14:paraId="6FB4CDA7" w14:textId="77777777" w:rsidR="005E249D" w:rsidRDefault="005E249D" w:rsidP="005E249D">
      <w:pPr>
        <w:spacing w:after="120" w:line="240" w:lineRule="auto"/>
        <w:jc w:val="center"/>
        <w:rPr>
          <w:b/>
          <w:color w:val="1A1A1A"/>
          <w:sz w:val="32"/>
        </w:rPr>
      </w:pPr>
    </w:p>
    <w:p w14:paraId="14D06B69" w14:textId="1AB5633A" w:rsidR="005E249D" w:rsidRDefault="005E249D" w:rsidP="005E249D">
      <w:pPr>
        <w:spacing w:after="120" w:line="240" w:lineRule="auto"/>
        <w:jc w:val="center"/>
        <w:rPr>
          <w:rFonts w:asciiTheme="majorHAnsi" w:eastAsiaTheme="majorEastAsia" w:hAnsiTheme="majorHAnsi" w:cstheme="majorBidi"/>
          <w:b/>
          <w:color w:val="2D2D2D"/>
          <w:sz w:val="28"/>
          <w:szCs w:val="40"/>
        </w:rPr>
      </w:pPr>
      <w:r w:rsidRPr="005E249D">
        <w:rPr>
          <w:rFonts w:asciiTheme="majorHAnsi" w:eastAsiaTheme="majorEastAsia" w:hAnsiTheme="majorHAnsi" w:cstheme="majorBidi"/>
          <w:b/>
          <w:color w:val="2D2D2D"/>
          <w:sz w:val="28"/>
          <w:szCs w:val="40"/>
        </w:rPr>
        <w:t>Introduction</w:t>
      </w:r>
    </w:p>
    <w:p w14:paraId="0B22D1FC" w14:textId="767938D2" w:rsidR="005E249D" w:rsidRDefault="005E249D" w:rsidP="005E249D">
      <w:pPr>
        <w:spacing w:after="120" w:line="240" w:lineRule="auto"/>
        <w:jc w:val="center"/>
        <w:rPr>
          <w:color w:val="4A4A4A"/>
          <w:sz w:val="22"/>
        </w:rPr>
      </w:pPr>
      <w:r w:rsidRPr="005E249D">
        <w:rPr>
          <w:color w:val="4A4A4A"/>
          <w:sz w:val="22"/>
        </w:rPr>
        <w:t>This document pertains to the project of building a rural development strategy in the Kingdom of Saudi Arabia, which aligns with enhancing the role of the non-profit sector and supporting the Saudi Vision 2030. The project aims to develop innovative strategies that address the needs of local communities in three selected regions while considering geographic and cultural diversity. As the Kingdom seeks to diversify its economy and empower its communities, this initiative represents a critical step towards fostering sustainable development and social welfare. The collaboration between various stakeholders, including government entities, private sectors, and local communities, is paramount for ensuring effective cooperation and successful implementation of the proposed strategies.</w:t>
      </w:r>
    </w:p>
    <w:p w14:paraId="4E583418" w14:textId="28D36638" w:rsidR="005E249D" w:rsidRDefault="005E249D" w:rsidP="005E249D">
      <w:pPr>
        <w:spacing w:after="120" w:line="240" w:lineRule="auto"/>
        <w:jc w:val="right"/>
        <w:rPr>
          <w:color w:val="4A4A4A"/>
          <w:sz w:val="22"/>
        </w:rPr>
      </w:pPr>
      <w:r w:rsidRPr="005E249D">
        <w:rPr>
          <w:color w:val="4A4A4A"/>
          <w:sz w:val="22"/>
        </w:rPr>
        <w:t>Fostering community-centric development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5E249D" w14:paraId="598B6FDC" w14:textId="77777777" w:rsidTr="005E249D">
        <w:tblPrEx>
          <w:tblCellMar>
            <w:top w:w="0" w:type="dxa"/>
            <w:bottom w:w="0" w:type="dxa"/>
          </w:tblCellMar>
        </w:tblPrEx>
        <w:tc>
          <w:tcPr>
            <w:tcW w:w="2500" w:type="pct"/>
          </w:tcPr>
          <w:p w14:paraId="61489510" w14:textId="33E36C2C" w:rsidR="005E249D" w:rsidRPr="005E249D" w:rsidRDefault="005E249D" w:rsidP="005E249D">
            <w:pPr>
              <w:spacing w:after="120" w:line="240" w:lineRule="auto"/>
              <w:jc w:val="center"/>
              <w:rPr>
                <w:b/>
                <w:color w:val="000000"/>
                <w:sz w:val="20"/>
              </w:rPr>
            </w:pPr>
            <w:r w:rsidRPr="005E249D">
              <w:rPr>
                <w:b/>
                <w:color w:val="000000"/>
                <w:sz w:val="20"/>
              </w:rPr>
              <w:t>Phase</w:t>
            </w:r>
          </w:p>
        </w:tc>
        <w:tc>
          <w:tcPr>
            <w:tcW w:w="2500" w:type="pct"/>
          </w:tcPr>
          <w:p w14:paraId="388B781B" w14:textId="36B9AF06" w:rsidR="005E249D" w:rsidRPr="005E249D" w:rsidRDefault="005E249D" w:rsidP="005E249D">
            <w:pPr>
              <w:spacing w:after="120" w:line="240" w:lineRule="auto"/>
              <w:jc w:val="center"/>
              <w:rPr>
                <w:b/>
                <w:color w:val="000000"/>
                <w:sz w:val="20"/>
              </w:rPr>
            </w:pPr>
            <w:r w:rsidRPr="005E249D">
              <w:rPr>
                <w:b/>
                <w:color w:val="000000"/>
                <w:sz w:val="20"/>
              </w:rPr>
              <w:t>Duration</w:t>
            </w:r>
          </w:p>
        </w:tc>
      </w:tr>
      <w:tr w:rsidR="005E249D" w14:paraId="0908BA89" w14:textId="77777777" w:rsidTr="005E249D">
        <w:tblPrEx>
          <w:tblCellMar>
            <w:top w:w="0" w:type="dxa"/>
            <w:bottom w:w="0" w:type="dxa"/>
          </w:tblCellMar>
        </w:tblPrEx>
        <w:tc>
          <w:tcPr>
            <w:tcW w:w="2500" w:type="pct"/>
          </w:tcPr>
          <w:p w14:paraId="554F32C6" w14:textId="0C7C4742" w:rsidR="005E249D" w:rsidRPr="005E249D" w:rsidRDefault="005E249D" w:rsidP="005E249D">
            <w:pPr>
              <w:spacing w:after="120" w:line="240" w:lineRule="auto"/>
              <w:jc w:val="right"/>
              <w:rPr>
                <w:color w:val="000000"/>
                <w:sz w:val="20"/>
              </w:rPr>
            </w:pPr>
            <w:r w:rsidRPr="005E249D">
              <w:rPr>
                <w:color w:val="000000"/>
                <w:sz w:val="20"/>
              </w:rPr>
              <w:t>Phase One: Study</w:t>
            </w:r>
          </w:p>
        </w:tc>
        <w:tc>
          <w:tcPr>
            <w:tcW w:w="2500" w:type="pct"/>
          </w:tcPr>
          <w:p w14:paraId="5A5BA654" w14:textId="16C66CCC" w:rsidR="005E249D" w:rsidRPr="005E249D" w:rsidRDefault="005E249D" w:rsidP="005E249D">
            <w:pPr>
              <w:spacing w:after="120" w:line="240" w:lineRule="auto"/>
              <w:jc w:val="right"/>
              <w:rPr>
                <w:color w:val="000000"/>
                <w:sz w:val="20"/>
              </w:rPr>
            </w:pPr>
            <w:r w:rsidRPr="005E249D">
              <w:rPr>
                <w:color w:val="000000"/>
                <w:sz w:val="20"/>
              </w:rPr>
              <w:t>4 months</w:t>
            </w:r>
          </w:p>
        </w:tc>
      </w:tr>
      <w:tr w:rsidR="005E249D" w14:paraId="58DD1109" w14:textId="77777777" w:rsidTr="005E249D">
        <w:tblPrEx>
          <w:tblCellMar>
            <w:top w:w="0" w:type="dxa"/>
            <w:bottom w:w="0" w:type="dxa"/>
          </w:tblCellMar>
        </w:tblPrEx>
        <w:tc>
          <w:tcPr>
            <w:tcW w:w="2500" w:type="pct"/>
          </w:tcPr>
          <w:p w14:paraId="2EE8E154" w14:textId="55487BF7" w:rsidR="005E249D" w:rsidRPr="005E249D" w:rsidRDefault="005E249D" w:rsidP="005E249D">
            <w:pPr>
              <w:spacing w:after="120" w:line="240" w:lineRule="auto"/>
              <w:jc w:val="right"/>
              <w:rPr>
                <w:color w:val="000000"/>
                <w:sz w:val="20"/>
              </w:rPr>
            </w:pPr>
            <w:r w:rsidRPr="005E249D">
              <w:rPr>
                <w:color w:val="000000"/>
                <w:sz w:val="20"/>
              </w:rPr>
              <w:t>Phase Two: Design</w:t>
            </w:r>
          </w:p>
        </w:tc>
        <w:tc>
          <w:tcPr>
            <w:tcW w:w="2500" w:type="pct"/>
          </w:tcPr>
          <w:p w14:paraId="371918E6" w14:textId="58C892DD" w:rsidR="005E249D" w:rsidRPr="005E249D" w:rsidRDefault="005E249D" w:rsidP="005E249D">
            <w:pPr>
              <w:spacing w:after="120" w:line="240" w:lineRule="auto"/>
              <w:jc w:val="right"/>
              <w:rPr>
                <w:color w:val="000000"/>
                <w:sz w:val="20"/>
              </w:rPr>
            </w:pPr>
            <w:r w:rsidRPr="005E249D">
              <w:rPr>
                <w:color w:val="000000"/>
                <w:sz w:val="20"/>
              </w:rPr>
              <w:t>8 months</w:t>
            </w:r>
          </w:p>
        </w:tc>
      </w:tr>
    </w:tbl>
    <w:p w14:paraId="67615690" w14:textId="77777777" w:rsidR="005E249D" w:rsidRDefault="005E249D" w:rsidP="005E249D">
      <w:pPr>
        <w:spacing w:after="120" w:line="240" w:lineRule="auto"/>
        <w:jc w:val="right"/>
        <w:rPr>
          <w:color w:val="4A4A4A"/>
          <w:sz w:val="22"/>
        </w:rPr>
      </w:pPr>
    </w:p>
    <w:p w14:paraId="04A47AE5" w14:textId="350B4450" w:rsidR="005E249D" w:rsidRDefault="005E249D" w:rsidP="005E249D">
      <w:pPr>
        <w:spacing w:after="120" w:line="240" w:lineRule="auto"/>
        <w:jc w:val="center"/>
        <w:rPr>
          <w:rFonts w:asciiTheme="majorHAnsi" w:eastAsiaTheme="majorEastAsia" w:hAnsiTheme="majorHAnsi" w:cstheme="majorBidi"/>
          <w:b/>
          <w:color w:val="2D2D2D"/>
          <w:sz w:val="28"/>
          <w:szCs w:val="40"/>
        </w:rPr>
      </w:pPr>
      <w:r w:rsidRPr="005E249D">
        <w:rPr>
          <w:rFonts w:asciiTheme="majorHAnsi" w:eastAsiaTheme="majorEastAsia" w:hAnsiTheme="majorHAnsi" w:cstheme="majorBidi"/>
          <w:b/>
          <w:color w:val="2D2D2D"/>
          <w:sz w:val="28"/>
          <w:szCs w:val="40"/>
        </w:rPr>
        <w:t>General Provisions</w:t>
      </w:r>
    </w:p>
    <w:p w14:paraId="5966BFE6" w14:textId="60D7A17F" w:rsidR="005E249D" w:rsidRDefault="005E249D" w:rsidP="005E249D">
      <w:pPr>
        <w:spacing w:after="120" w:line="240" w:lineRule="auto"/>
        <w:jc w:val="center"/>
        <w:rPr>
          <w:color w:val="4A4A4A"/>
          <w:sz w:val="22"/>
        </w:rPr>
      </w:pPr>
      <w:r w:rsidRPr="005E249D">
        <w:rPr>
          <w:color w:val="4A4A4A"/>
          <w:sz w:val="22"/>
        </w:rPr>
        <w:t>It is essential for the government entity to provide all necessary information to ensure equality among competitors and transparency in all competition stages. Any conflicts of interest must be disclosed, and competitors are expected to adhere to the established professional conduct rules, refraining from offering gifts or undue advantages for preferential treatment. Maintaining confidentiality is critical, and competitors must not disclose any information without written consent from the government entity. Furthermore, the ownership of all competition documents remains with the government entity, and competitors are required to dispose of any documents upon request. This framework ensures that the competition is conducted fairly and ethically, which is crucial for the project's integrity and success.</w:t>
      </w:r>
    </w:p>
    <w:p w14:paraId="290756E8" w14:textId="199DC6B2" w:rsidR="005E249D" w:rsidRDefault="005E249D" w:rsidP="005E249D">
      <w:pPr>
        <w:spacing w:after="120" w:line="240" w:lineRule="auto"/>
        <w:jc w:val="right"/>
        <w:rPr>
          <w:color w:val="4A4A4A"/>
          <w:sz w:val="22"/>
        </w:rPr>
      </w:pPr>
      <w:r w:rsidRPr="005E249D">
        <w:rPr>
          <w:color w:val="4A4A4A"/>
          <w:sz w:val="22"/>
        </w:rPr>
        <w:t>Maintaining confidentiality</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5E249D" w14:paraId="4EF18796" w14:textId="77777777" w:rsidTr="005E249D">
        <w:tblPrEx>
          <w:tblCellMar>
            <w:top w:w="0" w:type="dxa"/>
            <w:bottom w:w="0" w:type="dxa"/>
          </w:tblCellMar>
        </w:tblPrEx>
        <w:tc>
          <w:tcPr>
            <w:tcW w:w="2500" w:type="pct"/>
          </w:tcPr>
          <w:p w14:paraId="55CD9CF1" w14:textId="5FF3C845" w:rsidR="005E249D" w:rsidRPr="005E249D" w:rsidRDefault="005E249D" w:rsidP="005E249D">
            <w:pPr>
              <w:spacing w:after="120" w:line="240" w:lineRule="auto"/>
              <w:jc w:val="center"/>
              <w:rPr>
                <w:b/>
                <w:color w:val="000000"/>
                <w:sz w:val="20"/>
              </w:rPr>
            </w:pPr>
            <w:r w:rsidRPr="005E249D">
              <w:rPr>
                <w:b/>
                <w:color w:val="000000"/>
                <w:sz w:val="20"/>
              </w:rPr>
              <w:t>Provision</w:t>
            </w:r>
          </w:p>
        </w:tc>
        <w:tc>
          <w:tcPr>
            <w:tcW w:w="2500" w:type="pct"/>
          </w:tcPr>
          <w:p w14:paraId="4C0AA1E4" w14:textId="2656EA71" w:rsidR="005E249D" w:rsidRPr="005E249D" w:rsidRDefault="005E249D" w:rsidP="005E249D">
            <w:pPr>
              <w:spacing w:after="120" w:line="240" w:lineRule="auto"/>
              <w:jc w:val="center"/>
              <w:rPr>
                <w:b/>
                <w:color w:val="000000"/>
                <w:sz w:val="20"/>
              </w:rPr>
            </w:pPr>
            <w:r w:rsidRPr="005E249D">
              <w:rPr>
                <w:b/>
                <w:color w:val="000000"/>
                <w:sz w:val="20"/>
              </w:rPr>
              <w:t>Requirement</w:t>
            </w:r>
          </w:p>
        </w:tc>
      </w:tr>
      <w:tr w:rsidR="005E249D" w14:paraId="76B01BF5" w14:textId="77777777" w:rsidTr="005E249D">
        <w:tblPrEx>
          <w:tblCellMar>
            <w:top w:w="0" w:type="dxa"/>
            <w:bottom w:w="0" w:type="dxa"/>
          </w:tblCellMar>
        </w:tblPrEx>
        <w:tc>
          <w:tcPr>
            <w:tcW w:w="2500" w:type="pct"/>
          </w:tcPr>
          <w:p w14:paraId="22EB6494" w14:textId="6F6CAFB0" w:rsidR="005E249D" w:rsidRPr="005E249D" w:rsidRDefault="005E249D" w:rsidP="005E249D">
            <w:pPr>
              <w:spacing w:after="120" w:line="240" w:lineRule="auto"/>
              <w:jc w:val="right"/>
              <w:rPr>
                <w:color w:val="000000"/>
                <w:sz w:val="20"/>
              </w:rPr>
            </w:pPr>
            <w:r w:rsidRPr="005E249D">
              <w:rPr>
                <w:color w:val="000000"/>
                <w:sz w:val="20"/>
              </w:rPr>
              <w:t>Transparency</w:t>
            </w:r>
          </w:p>
        </w:tc>
        <w:tc>
          <w:tcPr>
            <w:tcW w:w="2500" w:type="pct"/>
          </w:tcPr>
          <w:p w14:paraId="3B7E4880" w14:textId="379CED72" w:rsidR="005E249D" w:rsidRPr="005E249D" w:rsidRDefault="005E249D" w:rsidP="005E249D">
            <w:pPr>
              <w:spacing w:after="120" w:line="240" w:lineRule="auto"/>
              <w:jc w:val="right"/>
              <w:rPr>
                <w:color w:val="000000"/>
                <w:sz w:val="20"/>
              </w:rPr>
            </w:pPr>
            <w:r w:rsidRPr="005E249D">
              <w:rPr>
                <w:color w:val="000000"/>
                <w:sz w:val="20"/>
              </w:rPr>
              <w:t>Provision of necessary information</w:t>
            </w:r>
          </w:p>
        </w:tc>
      </w:tr>
      <w:tr w:rsidR="005E249D" w14:paraId="3807ADE4" w14:textId="77777777" w:rsidTr="005E249D">
        <w:tblPrEx>
          <w:tblCellMar>
            <w:top w:w="0" w:type="dxa"/>
            <w:bottom w:w="0" w:type="dxa"/>
          </w:tblCellMar>
        </w:tblPrEx>
        <w:tc>
          <w:tcPr>
            <w:tcW w:w="2500" w:type="pct"/>
          </w:tcPr>
          <w:p w14:paraId="5D2D6E74" w14:textId="1A4E07A8" w:rsidR="005E249D" w:rsidRPr="005E249D" w:rsidRDefault="005E249D" w:rsidP="005E249D">
            <w:pPr>
              <w:spacing w:after="120" w:line="240" w:lineRule="auto"/>
              <w:jc w:val="right"/>
              <w:rPr>
                <w:color w:val="000000"/>
                <w:sz w:val="20"/>
              </w:rPr>
            </w:pPr>
            <w:r w:rsidRPr="005E249D">
              <w:rPr>
                <w:color w:val="000000"/>
                <w:sz w:val="20"/>
              </w:rPr>
              <w:t>Conflicts of Interest</w:t>
            </w:r>
          </w:p>
        </w:tc>
        <w:tc>
          <w:tcPr>
            <w:tcW w:w="2500" w:type="pct"/>
          </w:tcPr>
          <w:p w14:paraId="32F33A13" w14:textId="3E887852" w:rsidR="005E249D" w:rsidRPr="005E249D" w:rsidRDefault="005E249D" w:rsidP="005E249D">
            <w:pPr>
              <w:spacing w:after="120" w:line="240" w:lineRule="auto"/>
              <w:jc w:val="right"/>
              <w:rPr>
                <w:color w:val="000000"/>
                <w:sz w:val="20"/>
              </w:rPr>
            </w:pPr>
            <w:r w:rsidRPr="005E249D">
              <w:rPr>
                <w:color w:val="000000"/>
                <w:sz w:val="20"/>
              </w:rPr>
              <w:t>Disclosure required</w:t>
            </w:r>
          </w:p>
        </w:tc>
      </w:tr>
      <w:tr w:rsidR="005E249D" w14:paraId="22B6F578" w14:textId="77777777" w:rsidTr="005E249D">
        <w:tblPrEx>
          <w:tblCellMar>
            <w:top w:w="0" w:type="dxa"/>
            <w:bottom w:w="0" w:type="dxa"/>
          </w:tblCellMar>
        </w:tblPrEx>
        <w:tc>
          <w:tcPr>
            <w:tcW w:w="2500" w:type="pct"/>
          </w:tcPr>
          <w:p w14:paraId="19A6C624" w14:textId="147CB5C9" w:rsidR="005E249D" w:rsidRPr="005E249D" w:rsidRDefault="005E249D" w:rsidP="005E249D">
            <w:pPr>
              <w:spacing w:after="120" w:line="240" w:lineRule="auto"/>
              <w:jc w:val="right"/>
              <w:rPr>
                <w:color w:val="000000"/>
                <w:sz w:val="20"/>
              </w:rPr>
            </w:pPr>
            <w:r w:rsidRPr="005E249D">
              <w:rPr>
                <w:color w:val="000000"/>
                <w:sz w:val="20"/>
              </w:rPr>
              <w:t>Confidentiality</w:t>
            </w:r>
          </w:p>
        </w:tc>
        <w:tc>
          <w:tcPr>
            <w:tcW w:w="2500" w:type="pct"/>
          </w:tcPr>
          <w:p w14:paraId="2E0C2367" w14:textId="0F56AB40" w:rsidR="005E249D" w:rsidRPr="005E249D" w:rsidRDefault="005E249D" w:rsidP="005E249D">
            <w:pPr>
              <w:spacing w:after="120" w:line="240" w:lineRule="auto"/>
              <w:jc w:val="right"/>
              <w:rPr>
                <w:color w:val="000000"/>
                <w:sz w:val="20"/>
              </w:rPr>
            </w:pPr>
            <w:r w:rsidRPr="005E249D">
              <w:rPr>
                <w:color w:val="000000"/>
                <w:sz w:val="20"/>
              </w:rPr>
              <w:t>Non-disclosure without consent</w:t>
            </w:r>
          </w:p>
        </w:tc>
      </w:tr>
    </w:tbl>
    <w:p w14:paraId="2174E17A" w14:textId="77777777" w:rsidR="005E249D" w:rsidRDefault="005E249D" w:rsidP="005E249D">
      <w:pPr>
        <w:spacing w:after="120" w:line="240" w:lineRule="auto"/>
        <w:jc w:val="right"/>
        <w:rPr>
          <w:color w:val="4A4A4A"/>
          <w:sz w:val="22"/>
        </w:rPr>
      </w:pPr>
    </w:p>
    <w:p w14:paraId="47E5825A" w14:textId="4AC69EEC" w:rsidR="005E249D" w:rsidRDefault="005E249D" w:rsidP="005E249D">
      <w:pPr>
        <w:spacing w:after="120" w:line="240" w:lineRule="auto"/>
        <w:jc w:val="center"/>
        <w:rPr>
          <w:rFonts w:asciiTheme="majorHAnsi" w:eastAsiaTheme="majorEastAsia" w:hAnsiTheme="majorHAnsi" w:cstheme="majorBidi"/>
          <w:b/>
          <w:color w:val="2D2D2D"/>
          <w:sz w:val="28"/>
          <w:szCs w:val="40"/>
        </w:rPr>
      </w:pPr>
      <w:r w:rsidRPr="005E249D">
        <w:rPr>
          <w:rFonts w:asciiTheme="majorHAnsi" w:eastAsiaTheme="majorEastAsia" w:hAnsiTheme="majorHAnsi" w:cstheme="majorBidi"/>
          <w:b/>
          <w:color w:val="2D2D2D"/>
          <w:sz w:val="28"/>
          <w:szCs w:val="40"/>
        </w:rPr>
        <w:t>Vertical Technical Architecture</w:t>
      </w:r>
    </w:p>
    <w:p w14:paraId="36D8F465" w14:textId="3C248DF3" w:rsidR="005E249D" w:rsidRDefault="005E249D" w:rsidP="005E249D">
      <w:pPr>
        <w:spacing w:after="120" w:line="240" w:lineRule="auto"/>
        <w:jc w:val="right"/>
        <w:rPr>
          <w:color w:val="4A4A4A"/>
          <w:sz w:val="22"/>
        </w:rPr>
      </w:pPr>
      <w:r w:rsidRPr="005E249D">
        <w:rPr>
          <w:color w:val="4A4A4A"/>
          <w:sz w:val="22"/>
        </w:rPr>
        <w:t>The following VERTICAL diagram shows the proposed system architecture with layered design:</w:t>
      </w:r>
    </w:p>
    <w:p w14:paraId="325C6AC6" w14:textId="58630F38" w:rsidR="005E249D" w:rsidRDefault="005E249D" w:rsidP="005E249D">
      <w:pPr>
        <w:spacing w:after="120" w:line="240" w:lineRule="auto"/>
        <w:jc w:val="center"/>
        <w:rPr>
          <w:color w:val="4A4A4A"/>
          <w:sz w:val="22"/>
        </w:rPr>
      </w:pPr>
      <w:r>
        <w:rPr>
          <w:noProof/>
          <w:color w:val="4A4A4A"/>
          <w:sz w:val="22"/>
        </w:rPr>
        <w:drawing>
          <wp:inline distT="0" distB="0" distL="0" distR="0" wp14:anchorId="6B4BCBB4" wp14:editId="7D33AFB1">
            <wp:extent cx="4445000" cy="5715000"/>
            <wp:effectExtent l="0" t="0" r="0" b="0"/>
            <wp:docPr id="1628604411" name="Picture 1"/>
            <wp:cNvGraphicFramePr/>
            <a:graphic xmlns:a="http://schemas.openxmlformats.org/drawingml/2006/main">
              <a:graphicData uri="http://schemas.openxmlformats.org/drawingml/2006/picture">
                <pic:pic xmlns:pic="http://schemas.openxmlformats.org/drawingml/2006/picture">
                  <pic:nvPicPr>
                    <pic:cNvPr id="1628604411" name=""/>
                    <pic:cNvPicPr/>
                  </pic:nvPicPr>
                  <pic:blipFill>
                    <a:blip r:embed="rId6">
                      <a:extLst>
                        <a:ext uri="{28A0092B-C50C-407E-A947-70E740481C1C}">
                          <a14:useLocalDpi xmlns:a14="http://schemas.microsoft.com/office/drawing/2010/main" val="0"/>
                        </a:ext>
                      </a:extLst>
                    </a:blip>
                    <a:stretch>
                      <a:fillRect/>
                    </a:stretch>
                  </pic:blipFill>
                  <pic:spPr>
                    <a:xfrm>
                      <a:off x="0" y="0"/>
                      <a:ext cx="4445000" cy="5715000"/>
                    </a:xfrm>
                    <a:prstGeom prst="rect">
                      <a:avLst/>
                    </a:prstGeom>
                  </pic:spPr>
                </pic:pic>
              </a:graphicData>
            </a:graphic>
          </wp:inline>
        </w:drawing>
      </w:r>
    </w:p>
    <w:p w14:paraId="20017238" w14:textId="77777777" w:rsidR="005E249D" w:rsidRDefault="005E249D" w:rsidP="005E249D">
      <w:pPr>
        <w:spacing w:after="120" w:line="240" w:lineRule="auto"/>
        <w:jc w:val="right"/>
        <w:rPr>
          <w:color w:val="4A4A4A"/>
          <w:sz w:val="22"/>
        </w:rPr>
      </w:pPr>
    </w:p>
    <w:p w14:paraId="5A4A3C83" w14:textId="77777777" w:rsidR="005E249D" w:rsidRDefault="005E249D" w:rsidP="005E249D">
      <w:pPr>
        <w:spacing w:after="120" w:line="240" w:lineRule="auto"/>
        <w:jc w:val="right"/>
        <w:rPr>
          <w:color w:val="4A4A4A"/>
          <w:sz w:val="22"/>
        </w:rPr>
      </w:pPr>
    </w:p>
    <w:p w14:paraId="39CA8829" w14:textId="29D65859" w:rsidR="005E249D" w:rsidRDefault="005E249D" w:rsidP="005E249D">
      <w:pPr>
        <w:spacing w:after="120" w:line="240" w:lineRule="auto"/>
        <w:jc w:val="right"/>
        <w:rPr>
          <w:color w:val="4A4A4A"/>
          <w:sz w:val="18"/>
        </w:rPr>
      </w:pPr>
      <w:r w:rsidRPr="005E249D">
        <w:rPr>
          <w:color w:val="4A4A4A"/>
          <w:sz w:val="18"/>
        </w:rPr>
        <w:t>Note: The diagram is designed VERTICALLY to clearly show different system layers and top-to-bottom data flow.</w:t>
      </w:r>
    </w:p>
    <w:p w14:paraId="68924B55" w14:textId="4F60F304" w:rsidR="005E249D" w:rsidRDefault="005E249D" w:rsidP="005E249D">
      <w:pPr>
        <w:spacing w:after="120" w:line="240" w:lineRule="auto"/>
        <w:jc w:val="center"/>
        <w:rPr>
          <w:color w:val="4A4A4A"/>
          <w:sz w:val="22"/>
        </w:rPr>
      </w:pPr>
      <w:r w:rsidRPr="005E249D">
        <w:rPr>
          <w:color w:val="4A4A4A"/>
          <w:sz w:val="22"/>
        </w:rPr>
        <w:t>The following vertical diagram illustrates the proposed system architecture with top-to-bottom data flow showing system layers.</w:t>
      </w:r>
    </w:p>
    <w:p w14:paraId="22E58CB5" w14:textId="5B53D1FF" w:rsidR="005E249D" w:rsidRDefault="005E249D" w:rsidP="005E249D">
      <w:pPr>
        <w:spacing w:after="120" w:line="240" w:lineRule="auto"/>
        <w:jc w:val="right"/>
        <w:rPr>
          <w:color w:val="4A4A4A"/>
          <w:sz w:val="22"/>
        </w:rPr>
      </w:pPr>
      <w:r w:rsidRPr="005E249D">
        <w:rPr>
          <w:color w:val="4A4A4A"/>
          <w:sz w:val="22"/>
        </w:rPr>
        <w:t>System layers and external integrations</w:t>
      </w:r>
    </w:p>
    <w:p w14:paraId="6B8D7614" w14:textId="2CF7C737" w:rsidR="005E249D" w:rsidRDefault="005E249D" w:rsidP="005E249D">
      <w:pPr>
        <w:spacing w:after="120" w:line="240" w:lineRule="auto"/>
        <w:jc w:val="center"/>
        <w:rPr>
          <w:rFonts w:asciiTheme="majorHAnsi" w:eastAsiaTheme="majorEastAsia" w:hAnsiTheme="majorHAnsi" w:cstheme="majorBidi"/>
          <w:b/>
          <w:color w:val="2D2D2D"/>
          <w:sz w:val="28"/>
          <w:szCs w:val="40"/>
        </w:rPr>
      </w:pPr>
      <w:r w:rsidRPr="005E249D">
        <w:rPr>
          <w:rFonts w:asciiTheme="majorHAnsi" w:eastAsiaTheme="majorEastAsia" w:hAnsiTheme="majorHAnsi" w:cstheme="majorBidi"/>
          <w:b/>
          <w:color w:val="2D2D2D"/>
          <w:sz w:val="28"/>
          <w:szCs w:val="40"/>
        </w:rPr>
        <w:t>Proposal Preparation</w:t>
      </w:r>
    </w:p>
    <w:p w14:paraId="11CA297C" w14:textId="5C974265" w:rsidR="005E249D" w:rsidRDefault="005E249D" w:rsidP="005E249D">
      <w:pPr>
        <w:spacing w:after="120" w:line="240" w:lineRule="auto"/>
        <w:jc w:val="center"/>
        <w:rPr>
          <w:color w:val="4A4A4A"/>
          <w:sz w:val="22"/>
        </w:rPr>
      </w:pPr>
      <w:r w:rsidRPr="005E249D">
        <w:rPr>
          <w:color w:val="4A4A4A"/>
          <w:sz w:val="22"/>
        </w:rPr>
        <w:t>Proposals must be submitted in Arabic, with the possibility of including other languages where necessary. The Saudi Riyal serves as the official currency for all transactions related to this proposal. The validity of the proposals should be maintained for 90 days from the specified date of opening the proposals. Competitors are responsible for all costs associated with preparing their proposals, ensuring that the information provided is accurate and verifiable. This section emphasizes the importance of careful preparation and adherence to specified guidelines, ensuring that all submissions meet the required standards and expectations set forth by the government entity.</w:t>
      </w:r>
    </w:p>
    <w:p w14:paraId="6B8DFE7B" w14:textId="41689AD0" w:rsidR="005E249D" w:rsidRDefault="005E249D" w:rsidP="005E249D">
      <w:pPr>
        <w:spacing w:after="120" w:line="240" w:lineRule="auto"/>
        <w:jc w:val="right"/>
        <w:rPr>
          <w:color w:val="4A4A4A"/>
          <w:sz w:val="22"/>
        </w:rPr>
      </w:pPr>
      <w:r w:rsidRPr="005E249D">
        <w:rPr>
          <w:color w:val="4A4A4A"/>
          <w:sz w:val="22"/>
        </w:rPr>
        <w:t>Accurate information provision</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5E249D" w14:paraId="68576EFD" w14:textId="77777777" w:rsidTr="005E249D">
        <w:tblPrEx>
          <w:tblCellMar>
            <w:top w:w="0" w:type="dxa"/>
            <w:bottom w:w="0" w:type="dxa"/>
          </w:tblCellMar>
        </w:tblPrEx>
        <w:tc>
          <w:tcPr>
            <w:tcW w:w="2500" w:type="pct"/>
          </w:tcPr>
          <w:p w14:paraId="48EB1025" w14:textId="40C2A7FF" w:rsidR="005E249D" w:rsidRPr="005E249D" w:rsidRDefault="005E249D" w:rsidP="005E249D">
            <w:pPr>
              <w:spacing w:after="120" w:line="240" w:lineRule="auto"/>
              <w:jc w:val="center"/>
              <w:rPr>
                <w:b/>
                <w:color w:val="000000"/>
                <w:sz w:val="20"/>
              </w:rPr>
            </w:pPr>
            <w:r w:rsidRPr="005E249D">
              <w:rPr>
                <w:b/>
                <w:color w:val="000000"/>
                <w:sz w:val="20"/>
              </w:rPr>
              <w:t>Requirement</w:t>
            </w:r>
          </w:p>
        </w:tc>
        <w:tc>
          <w:tcPr>
            <w:tcW w:w="2500" w:type="pct"/>
          </w:tcPr>
          <w:p w14:paraId="7CD73D4B" w14:textId="06B3BDE1" w:rsidR="005E249D" w:rsidRPr="005E249D" w:rsidRDefault="005E249D" w:rsidP="005E249D">
            <w:pPr>
              <w:spacing w:after="120" w:line="240" w:lineRule="auto"/>
              <w:jc w:val="center"/>
              <w:rPr>
                <w:b/>
                <w:color w:val="000000"/>
                <w:sz w:val="20"/>
              </w:rPr>
            </w:pPr>
            <w:r w:rsidRPr="005E249D">
              <w:rPr>
                <w:b/>
                <w:color w:val="000000"/>
                <w:sz w:val="20"/>
              </w:rPr>
              <w:t>Details</w:t>
            </w:r>
          </w:p>
        </w:tc>
      </w:tr>
      <w:tr w:rsidR="005E249D" w14:paraId="62F734DA" w14:textId="77777777" w:rsidTr="005E249D">
        <w:tblPrEx>
          <w:tblCellMar>
            <w:top w:w="0" w:type="dxa"/>
            <w:bottom w:w="0" w:type="dxa"/>
          </w:tblCellMar>
        </w:tblPrEx>
        <w:tc>
          <w:tcPr>
            <w:tcW w:w="2500" w:type="pct"/>
          </w:tcPr>
          <w:p w14:paraId="7D49CCC7" w14:textId="388804DB" w:rsidR="005E249D" w:rsidRPr="005E249D" w:rsidRDefault="005E249D" w:rsidP="005E249D">
            <w:pPr>
              <w:spacing w:after="120" w:line="240" w:lineRule="auto"/>
              <w:jc w:val="right"/>
              <w:rPr>
                <w:color w:val="000000"/>
                <w:sz w:val="20"/>
              </w:rPr>
            </w:pPr>
            <w:r w:rsidRPr="005E249D">
              <w:rPr>
                <w:color w:val="000000"/>
                <w:sz w:val="20"/>
              </w:rPr>
              <w:t>Language of Proposal</w:t>
            </w:r>
          </w:p>
        </w:tc>
        <w:tc>
          <w:tcPr>
            <w:tcW w:w="2500" w:type="pct"/>
          </w:tcPr>
          <w:p w14:paraId="1341EB93" w14:textId="552F0E2A" w:rsidR="005E249D" w:rsidRPr="005E249D" w:rsidRDefault="005E249D" w:rsidP="005E249D">
            <w:pPr>
              <w:spacing w:after="120" w:line="240" w:lineRule="auto"/>
              <w:jc w:val="right"/>
              <w:rPr>
                <w:color w:val="000000"/>
                <w:sz w:val="20"/>
              </w:rPr>
            </w:pPr>
            <w:r w:rsidRPr="005E249D">
              <w:rPr>
                <w:color w:val="000000"/>
                <w:sz w:val="20"/>
              </w:rPr>
              <w:t>Arabic with possible other languages</w:t>
            </w:r>
          </w:p>
        </w:tc>
      </w:tr>
      <w:tr w:rsidR="005E249D" w14:paraId="54FC4DFD" w14:textId="77777777" w:rsidTr="005E249D">
        <w:tblPrEx>
          <w:tblCellMar>
            <w:top w:w="0" w:type="dxa"/>
            <w:bottom w:w="0" w:type="dxa"/>
          </w:tblCellMar>
        </w:tblPrEx>
        <w:tc>
          <w:tcPr>
            <w:tcW w:w="2500" w:type="pct"/>
          </w:tcPr>
          <w:p w14:paraId="40B36FDA" w14:textId="093F3B7A" w:rsidR="005E249D" w:rsidRPr="005E249D" w:rsidRDefault="005E249D" w:rsidP="005E249D">
            <w:pPr>
              <w:spacing w:after="120" w:line="240" w:lineRule="auto"/>
              <w:jc w:val="right"/>
              <w:rPr>
                <w:color w:val="000000"/>
                <w:sz w:val="20"/>
              </w:rPr>
            </w:pPr>
            <w:r w:rsidRPr="005E249D">
              <w:rPr>
                <w:color w:val="000000"/>
                <w:sz w:val="20"/>
              </w:rPr>
              <w:t>Currency</w:t>
            </w:r>
          </w:p>
        </w:tc>
        <w:tc>
          <w:tcPr>
            <w:tcW w:w="2500" w:type="pct"/>
          </w:tcPr>
          <w:p w14:paraId="3ED6E42C" w14:textId="59D95F1B" w:rsidR="005E249D" w:rsidRPr="005E249D" w:rsidRDefault="005E249D" w:rsidP="005E249D">
            <w:pPr>
              <w:spacing w:after="120" w:line="240" w:lineRule="auto"/>
              <w:jc w:val="right"/>
              <w:rPr>
                <w:color w:val="000000"/>
                <w:sz w:val="20"/>
              </w:rPr>
            </w:pPr>
            <w:r w:rsidRPr="005E249D">
              <w:rPr>
                <w:color w:val="000000"/>
                <w:sz w:val="20"/>
              </w:rPr>
              <w:t>Saudi Riyal</w:t>
            </w:r>
          </w:p>
        </w:tc>
      </w:tr>
      <w:tr w:rsidR="005E249D" w14:paraId="6E0E96F8" w14:textId="77777777" w:rsidTr="005E249D">
        <w:tblPrEx>
          <w:tblCellMar>
            <w:top w:w="0" w:type="dxa"/>
            <w:bottom w:w="0" w:type="dxa"/>
          </w:tblCellMar>
        </w:tblPrEx>
        <w:tc>
          <w:tcPr>
            <w:tcW w:w="2500" w:type="pct"/>
          </w:tcPr>
          <w:p w14:paraId="6E48D33A" w14:textId="032279F6" w:rsidR="005E249D" w:rsidRPr="005E249D" w:rsidRDefault="005E249D" w:rsidP="005E249D">
            <w:pPr>
              <w:spacing w:after="120" w:line="240" w:lineRule="auto"/>
              <w:jc w:val="right"/>
              <w:rPr>
                <w:color w:val="000000"/>
                <w:sz w:val="20"/>
              </w:rPr>
            </w:pPr>
            <w:r w:rsidRPr="005E249D">
              <w:rPr>
                <w:color w:val="000000"/>
                <w:sz w:val="20"/>
              </w:rPr>
              <w:t>Validity Period</w:t>
            </w:r>
          </w:p>
        </w:tc>
        <w:tc>
          <w:tcPr>
            <w:tcW w:w="2500" w:type="pct"/>
          </w:tcPr>
          <w:p w14:paraId="7ADC3C9F" w14:textId="5CAD7C1A" w:rsidR="005E249D" w:rsidRPr="005E249D" w:rsidRDefault="005E249D" w:rsidP="005E249D">
            <w:pPr>
              <w:spacing w:after="120" w:line="240" w:lineRule="auto"/>
              <w:jc w:val="right"/>
              <w:rPr>
                <w:color w:val="000000"/>
                <w:sz w:val="20"/>
              </w:rPr>
            </w:pPr>
            <w:r w:rsidRPr="005E249D">
              <w:rPr>
                <w:color w:val="000000"/>
                <w:sz w:val="20"/>
              </w:rPr>
              <w:t>90 days from opening date</w:t>
            </w:r>
          </w:p>
        </w:tc>
      </w:tr>
    </w:tbl>
    <w:p w14:paraId="7E1EDCE3" w14:textId="77777777" w:rsidR="005E249D" w:rsidRDefault="005E249D" w:rsidP="005E249D">
      <w:pPr>
        <w:spacing w:after="120" w:line="240" w:lineRule="auto"/>
        <w:jc w:val="right"/>
        <w:rPr>
          <w:color w:val="4A4A4A"/>
          <w:sz w:val="22"/>
        </w:rPr>
      </w:pPr>
    </w:p>
    <w:p w14:paraId="629C1A81" w14:textId="19B1B263" w:rsidR="005E249D" w:rsidRDefault="005E249D" w:rsidP="005E249D">
      <w:pPr>
        <w:spacing w:after="120" w:line="240" w:lineRule="auto"/>
        <w:jc w:val="center"/>
        <w:rPr>
          <w:rFonts w:asciiTheme="majorHAnsi" w:eastAsiaTheme="majorEastAsia" w:hAnsiTheme="majorHAnsi" w:cstheme="majorBidi"/>
          <w:b/>
          <w:color w:val="2D2D2D"/>
          <w:sz w:val="28"/>
          <w:szCs w:val="40"/>
        </w:rPr>
      </w:pPr>
      <w:r w:rsidRPr="005E249D">
        <w:rPr>
          <w:rFonts w:asciiTheme="majorHAnsi" w:eastAsiaTheme="majorEastAsia" w:hAnsiTheme="majorHAnsi" w:cstheme="majorBidi"/>
          <w:b/>
          <w:color w:val="2D2D2D"/>
          <w:sz w:val="28"/>
          <w:szCs w:val="40"/>
        </w:rPr>
        <w:t>Proposal Submission</w:t>
      </w:r>
    </w:p>
    <w:p w14:paraId="7EC778BB" w14:textId="269311C4" w:rsidR="005E249D" w:rsidRDefault="005E249D" w:rsidP="005E249D">
      <w:pPr>
        <w:spacing w:after="120" w:line="240" w:lineRule="auto"/>
        <w:jc w:val="center"/>
        <w:rPr>
          <w:color w:val="4A4A4A"/>
          <w:sz w:val="22"/>
        </w:rPr>
      </w:pPr>
      <w:r w:rsidRPr="005E249D">
        <w:rPr>
          <w:color w:val="4A4A4A"/>
          <w:sz w:val="22"/>
        </w:rPr>
        <w:t>All proposals should be submitted via the designated electronic portal, with a provision for paper submission in case of system failure. Late submissions will not be accepted under any circumstances. The government entity reserves the right to extend the deadline for receiving proposals under certain conditions. Competitors may withdraw their proposals before the deadline, but this must be done in accordance with the specified terms. The opening of proposals will take place in the presence of a specialized committee, and the names of competitors will be announced publicly. This structured approach to submission ensures that the process is efficient, transparent, and conducive to fair competition.</w:t>
      </w:r>
    </w:p>
    <w:p w14:paraId="1C9D33D8" w14:textId="55DAAEF9" w:rsidR="005E249D" w:rsidRDefault="005E249D" w:rsidP="005E249D">
      <w:pPr>
        <w:spacing w:after="120" w:line="240" w:lineRule="auto"/>
        <w:jc w:val="right"/>
        <w:rPr>
          <w:color w:val="4A4A4A"/>
          <w:sz w:val="22"/>
        </w:rPr>
      </w:pPr>
      <w:r w:rsidRPr="005E249D">
        <w:rPr>
          <w:color w:val="4A4A4A"/>
          <w:sz w:val="22"/>
        </w:rPr>
        <w:t>Public announcement of competitors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5E249D" w14:paraId="439E5DFB" w14:textId="77777777" w:rsidTr="005E249D">
        <w:tblPrEx>
          <w:tblCellMar>
            <w:top w:w="0" w:type="dxa"/>
            <w:bottom w:w="0" w:type="dxa"/>
          </w:tblCellMar>
        </w:tblPrEx>
        <w:tc>
          <w:tcPr>
            <w:tcW w:w="2500" w:type="pct"/>
          </w:tcPr>
          <w:p w14:paraId="3758688B" w14:textId="6E40E590" w:rsidR="005E249D" w:rsidRPr="005E249D" w:rsidRDefault="005E249D" w:rsidP="005E249D">
            <w:pPr>
              <w:spacing w:after="120" w:line="240" w:lineRule="auto"/>
              <w:jc w:val="center"/>
              <w:rPr>
                <w:b/>
                <w:color w:val="000000"/>
                <w:sz w:val="20"/>
              </w:rPr>
            </w:pPr>
            <w:r w:rsidRPr="005E249D">
              <w:rPr>
                <w:b/>
                <w:color w:val="000000"/>
                <w:sz w:val="20"/>
              </w:rPr>
              <w:t>Submission Method</w:t>
            </w:r>
          </w:p>
        </w:tc>
        <w:tc>
          <w:tcPr>
            <w:tcW w:w="2500" w:type="pct"/>
          </w:tcPr>
          <w:p w14:paraId="55AF5D62" w14:textId="4AB3A9CB" w:rsidR="005E249D" w:rsidRPr="005E249D" w:rsidRDefault="005E249D" w:rsidP="005E249D">
            <w:pPr>
              <w:spacing w:after="120" w:line="240" w:lineRule="auto"/>
              <w:jc w:val="center"/>
              <w:rPr>
                <w:b/>
                <w:color w:val="000000"/>
                <w:sz w:val="20"/>
              </w:rPr>
            </w:pPr>
            <w:r w:rsidRPr="005E249D">
              <w:rPr>
                <w:b/>
                <w:color w:val="000000"/>
                <w:sz w:val="20"/>
              </w:rPr>
              <w:t>Details</w:t>
            </w:r>
          </w:p>
        </w:tc>
      </w:tr>
      <w:tr w:rsidR="005E249D" w14:paraId="13B85F09" w14:textId="77777777" w:rsidTr="005E249D">
        <w:tblPrEx>
          <w:tblCellMar>
            <w:top w:w="0" w:type="dxa"/>
            <w:bottom w:w="0" w:type="dxa"/>
          </w:tblCellMar>
        </w:tblPrEx>
        <w:tc>
          <w:tcPr>
            <w:tcW w:w="2500" w:type="pct"/>
          </w:tcPr>
          <w:p w14:paraId="2D8836CF" w14:textId="69859A8C" w:rsidR="005E249D" w:rsidRPr="005E249D" w:rsidRDefault="005E249D" w:rsidP="005E249D">
            <w:pPr>
              <w:spacing w:after="120" w:line="240" w:lineRule="auto"/>
              <w:jc w:val="right"/>
              <w:rPr>
                <w:color w:val="000000"/>
                <w:sz w:val="20"/>
              </w:rPr>
            </w:pPr>
            <w:r w:rsidRPr="005E249D">
              <w:rPr>
                <w:color w:val="000000"/>
                <w:sz w:val="20"/>
              </w:rPr>
              <w:t>Electronic Portal</w:t>
            </w:r>
          </w:p>
        </w:tc>
        <w:tc>
          <w:tcPr>
            <w:tcW w:w="2500" w:type="pct"/>
          </w:tcPr>
          <w:p w14:paraId="5DAB67C2" w14:textId="4586E9D7" w:rsidR="005E249D" w:rsidRPr="005E249D" w:rsidRDefault="005E249D" w:rsidP="005E249D">
            <w:pPr>
              <w:spacing w:after="120" w:line="240" w:lineRule="auto"/>
              <w:jc w:val="right"/>
              <w:rPr>
                <w:color w:val="000000"/>
                <w:sz w:val="20"/>
              </w:rPr>
            </w:pPr>
            <w:r w:rsidRPr="005E249D">
              <w:rPr>
                <w:color w:val="000000"/>
                <w:sz w:val="20"/>
              </w:rPr>
              <w:t>Mandatory submission method</w:t>
            </w:r>
          </w:p>
        </w:tc>
      </w:tr>
      <w:tr w:rsidR="005E249D" w14:paraId="54757D11" w14:textId="77777777" w:rsidTr="005E249D">
        <w:tblPrEx>
          <w:tblCellMar>
            <w:top w:w="0" w:type="dxa"/>
            <w:bottom w:w="0" w:type="dxa"/>
          </w:tblCellMar>
        </w:tblPrEx>
        <w:tc>
          <w:tcPr>
            <w:tcW w:w="2500" w:type="pct"/>
          </w:tcPr>
          <w:p w14:paraId="2322A2C7" w14:textId="63C5B60B" w:rsidR="005E249D" w:rsidRPr="005E249D" w:rsidRDefault="005E249D" w:rsidP="005E249D">
            <w:pPr>
              <w:spacing w:after="120" w:line="240" w:lineRule="auto"/>
              <w:jc w:val="right"/>
              <w:rPr>
                <w:color w:val="000000"/>
                <w:sz w:val="20"/>
              </w:rPr>
            </w:pPr>
            <w:r w:rsidRPr="005E249D">
              <w:rPr>
                <w:color w:val="000000"/>
                <w:sz w:val="20"/>
              </w:rPr>
              <w:t>Paper Submission</w:t>
            </w:r>
          </w:p>
        </w:tc>
        <w:tc>
          <w:tcPr>
            <w:tcW w:w="2500" w:type="pct"/>
          </w:tcPr>
          <w:p w14:paraId="02CB8337" w14:textId="32E5B524" w:rsidR="005E249D" w:rsidRPr="005E249D" w:rsidRDefault="005E249D" w:rsidP="005E249D">
            <w:pPr>
              <w:spacing w:after="120" w:line="240" w:lineRule="auto"/>
              <w:jc w:val="right"/>
              <w:rPr>
                <w:color w:val="000000"/>
                <w:sz w:val="20"/>
              </w:rPr>
            </w:pPr>
            <w:r w:rsidRPr="005E249D">
              <w:rPr>
                <w:color w:val="000000"/>
                <w:sz w:val="20"/>
              </w:rPr>
              <w:t>Allowed in case of system failure</w:t>
            </w:r>
          </w:p>
        </w:tc>
      </w:tr>
      <w:tr w:rsidR="005E249D" w14:paraId="51A6275C" w14:textId="77777777" w:rsidTr="005E249D">
        <w:tblPrEx>
          <w:tblCellMar>
            <w:top w:w="0" w:type="dxa"/>
            <w:bottom w:w="0" w:type="dxa"/>
          </w:tblCellMar>
        </w:tblPrEx>
        <w:tc>
          <w:tcPr>
            <w:tcW w:w="2500" w:type="pct"/>
          </w:tcPr>
          <w:p w14:paraId="3A4BD5D6" w14:textId="3162E432" w:rsidR="005E249D" w:rsidRPr="005E249D" w:rsidRDefault="005E249D" w:rsidP="005E249D">
            <w:pPr>
              <w:spacing w:after="120" w:line="240" w:lineRule="auto"/>
              <w:jc w:val="right"/>
              <w:rPr>
                <w:color w:val="000000"/>
                <w:sz w:val="20"/>
              </w:rPr>
            </w:pPr>
            <w:r w:rsidRPr="005E249D">
              <w:rPr>
                <w:color w:val="000000"/>
                <w:sz w:val="20"/>
              </w:rPr>
              <w:t>Deadline Extension</w:t>
            </w:r>
          </w:p>
        </w:tc>
        <w:tc>
          <w:tcPr>
            <w:tcW w:w="2500" w:type="pct"/>
          </w:tcPr>
          <w:p w14:paraId="0A57495D" w14:textId="39D91BE5" w:rsidR="005E249D" w:rsidRPr="005E249D" w:rsidRDefault="005E249D" w:rsidP="005E249D">
            <w:pPr>
              <w:spacing w:after="120" w:line="240" w:lineRule="auto"/>
              <w:jc w:val="right"/>
              <w:rPr>
                <w:color w:val="000000"/>
                <w:sz w:val="20"/>
              </w:rPr>
            </w:pPr>
            <w:r w:rsidRPr="005E249D">
              <w:rPr>
                <w:color w:val="000000"/>
                <w:sz w:val="20"/>
              </w:rPr>
              <w:t>Possible under specific circumstances</w:t>
            </w:r>
          </w:p>
        </w:tc>
      </w:tr>
    </w:tbl>
    <w:p w14:paraId="0F4BE0C2" w14:textId="77777777" w:rsidR="005E249D" w:rsidRDefault="005E249D" w:rsidP="005E249D">
      <w:pPr>
        <w:spacing w:after="120" w:line="240" w:lineRule="auto"/>
        <w:jc w:val="right"/>
        <w:rPr>
          <w:color w:val="4A4A4A"/>
          <w:sz w:val="22"/>
        </w:rPr>
      </w:pPr>
    </w:p>
    <w:p w14:paraId="42E0C22E" w14:textId="43863D0C" w:rsidR="005E249D" w:rsidRDefault="005E249D" w:rsidP="005E249D">
      <w:pPr>
        <w:spacing w:after="120" w:line="240" w:lineRule="auto"/>
        <w:jc w:val="center"/>
        <w:rPr>
          <w:rFonts w:asciiTheme="majorHAnsi" w:eastAsiaTheme="majorEastAsia" w:hAnsiTheme="majorHAnsi" w:cstheme="majorBidi"/>
          <w:b/>
          <w:color w:val="2D2D2D"/>
          <w:sz w:val="28"/>
          <w:szCs w:val="40"/>
        </w:rPr>
      </w:pPr>
      <w:r w:rsidRPr="005E249D">
        <w:rPr>
          <w:rFonts w:asciiTheme="majorHAnsi" w:eastAsiaTheme="majorEastAsia" w:hAnsiTheme="majorHAnsi" w:cstheme="majorBidi"/>
          <w:b/>
          <w:color w:val="2D2D2D"/>
          <w:sz w:val="28"/>
          <w:szCs w:val="40"/>
        </w:rPr>
        <w:t>Proposal Evaluation</w:t>
      </w:r>
    </w:p>
    <w:p w14:paraId="5F7BAEF3" w14:textId="460553A8" w:rsidR="005E249D" w:rsidRDefault="005E249D" w:rsidP="005E249D">
      <w:pPr>
        <w:spacing w:after="120" w:line="240" w:lineRule="auto"/>
        <w:jc w:val="center"/>
        <w:rPr>
          <w:color w:val="4A4A4A"/>
          <w:sz w:val="22"/>
        </w:rPr>
      </w:pPr>
      <w:r w:rsidRPr="005E249D">
        <w:rPr>
          <w:color w:val="4A4A4A"/>
          <w:sz w:val="22"/>
        </w:rPr>
        <w:t>The government entity commits to maintaining confidentiality regarding any data related to the evaluation of proposals. Evaluation criteria will include coverage of project requirements, relevant experience, and the provision of a detailed methodology. The evaluation committee may make necessary corrections to submitted proposals. The committee is obligated to adhere to the defined qualification and evaluation standards, ensuring that the selection process is fair and based on merit. Results of the competition will be announced along with the reasons for the exclusion of any proposals, fostering trust and transparency in the evaluation process.</w:t>
      </w:r>
    </w:p>
    <w:p w14:paraId="2695DAFD" w14:textId="5DFEEB8F" w:rsidR="005E249D" w:rsidRDefault="005E249D" w:rsidP="005E249D">
      <w:pPr>
        <w:spacing w:after="120" w:line="240" w:lineRule="auto"/>
        <w:jc w:val="right"/>
        <w:rPr>
          <w:color w:val="4A4A4A"/>
          <w:sz w:val="22"/>
        </w:rPr>
      </w:pPr>
      <w:r w:rsidRPr="005E249D">
        <w:rPr>
          <w:color w:val="4A4A4A"/>
          <w:sz w:val="22"/>
        </w:rPr>
        <w:t>Fair selection process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5E249D" w14:paraId="76481CA8" w14:textId="77777777" w:rsidTr="005E249D">
        <w:tblPrEx>
          <w:tblCellMar>
            <w:top w:w="0" w:type="dxa"/>
            <w:bottom w:w="0" w:type="dxa"/>
          </w:tblCellMar>
        </w:tblPrEx>
        <w:tc>
          <w:tcPr>
            <w:tcW w:w="2500" w:type="pct"/>
          </w:tcPr>
          <w:p w14:paraId="7D5CB8AF" w14:textId="6F2D8476" w:rsidR="005E249D" w:rsidRPr="005E249D" w:rsidRDefault="005E249D" w:rsidP="005E249D">
            <w:pPr>
              <w:spacing w:after="120" w:line="240" w:lineRule="auto"/>
              <w:jc w:val="center"/>
              <w:rPr>
                <w:b/>
                <w:color w:val="000000"/>
                <w:sz w:val="20"/>
              </w:rPr>
            </w:pPr>
            <w:r w:rsidRPr="005E249D">
              <w:rPr>
                <w:b/>
                <w:color w:val="000000"/>
                <w:sz w:val="20"/>
              </w:rPr>
              <w:t>Evaluation Aspect</w:t>
            </w:r>
          </w:p>
        </w:tc>
        <w:tc>
          <w:tcPr>
            <w:tcW w:w="2500" w:type="pct"/>
          </w:tcPr>
          <w:p w14:paraId="69261D8A" w14:textId="403FA28C" w:rsidR="005E249D" w:rsidRPr="005E249D" w:rsidRDefault="005E249D" w:rsidP="005E249D">
            <w:pPr>
              <w:spacing w:after="120" w:line="240" w:lineRule="auto"/>
              <w:jc w:val="center"/>
              <w:rPr>
                <w:b/>
                <w:color w:val="000000"/>
                <w:sz w:val="20"/>
              </w:rPr>
            </w:pPr>
            <w:r w:rsidRPr="005E249D">
              <w:rPr>
                <w:b/>
                <w:color w:val="000000"/>
                <w:sz w:val="20"/>
              </w:rPr>
              <w:t>Description</w:t>
            </w:r>
          </w:p>
        </w:tc>
      </w:tr>
      <w:tr w:rsidR="005E249D" w14:paraId="1E99B7D7" w14:textId="77777777" w:rsidTr="005E249D">
        <w:tblPrEx>
          <w:tblCellMar>
            <w:top w:w="0" w:type="dxa"/>
            <w:bottom w:w="0" w:type="dxa"/>
          </w:tblCellMar>
        </w:tblPrEx>
        <w:tc>
          <w:tcPr>
            <w:tcW w:w="2500" w:type="pct"/>
          </w:tcPr>
          <w:p w14:paraId="47805DF4" w14:textId="644B9C1D" w:rsidR="005E249D" w:rsidRPr="005E249D" w:rsidRDefault="005E249D" w:rsidP="005E249D">
            <w:pPr>
              <w:spacing w:after="120" w:line="240" w:lineRule="auto"/>
              <w:jc w:val="right"/>
              <w:rPr>
                <w:color w:val="000000"/>
                <w:sz w:val="20"/>
              </w:rPr>
            </w:pPr>
            <w:r w:rsidRPr="005E249D">
              <w:rPr>
                <w:color w:val="000000"/>
                <w:sz w:val="20"/>
              </w:rPr>
              <w:t>Confidentiality</w:t>
            </w:r>
          </w:p>
        </w:tc>
        <w:tc>
          <w:tcPr>
            <w:tcW w:w="2500" w:type="pct"/>
          </w:tcPr>
          <w:p w14:paraId="22A13C79" w14:textId="43B0FAC6" w:rsidR="005E249D" w:rsidRPr="005E249D" w:rsidRDefault="005E249D" w:rsidP="005E249D">
            <w:pPr>
              <w:spacing w:after="120" w:line="240" w:lineRule="auto"/>
              <w:jc w:val="right"/>
              <w:rPr>
                <w:color w:val="000000"/>
                <w:sz w:val="20"/>
              </w:rPr>
            </w:pPr>
            <w:r w:rsidRPr="005E249D">
              <w:rPr>
                <w:color w:val="000000"/>
                <w:sz w:val="20"/>
              </w:rPr>
              <w:t>No disclosure of evaluation data</w:t>
            </w:r>
          </w:p>
        </w:tc>
      </w:tr>
      <w:tr w:rsidR="005E249D" w14:paraId="11EAC766" w14:textId="77777777" w:rsidTr="005E249D">
        <w:tblPrEx>
          <w:tblCellMar>
            <w:top w:w="0" w:type="dxa"/>
            <w:bottom w:w="0" w:type="dxa"/>
          </w:tblCellMar>
        </w:tblPrEx>
        <w:tc>
          <w:tcPr>
            <w:tcW w:w="2500" w:type="pct"/>
          </w:tcPr>
          <w:p w14:paraId="0A2E6A55" w14:textId="77914987" w:rsidR="005E249D" w:rsidRPr="005E249D" w:rsidRDefault="005E249D" w:rsidP="005E249D">
            <w:pPr>
              <w:spacing w:after="120" w:line="240" w:lineRule="auto"/>
              <w:jc w:val="right"/>
              <w:rPr>
                <w:color w:val="000000"/>
                <w:sz w:val="20"/>
              </w:rPr>
            </w:pPr>
            <w:r w:rsidRPr="005E249D">
              <w:rPr>
                <w:color w:val="000000"/>
                <w:sz w:val="20"/>
              </w:rPr>
              <w:t>Evaluation Criteria</w:t>
            </w:r>
          </w:p>
        </w:tc>
        <w:tc>
          <w:tcPr>
            <w:tcW w:w="2500" w:type="pct"/>
          </w:tcPr>
          <w:p w14:paraId="31B1ED56" w14:textId="1BBECAD0" w:rsidR="005E249D" w:rsidRPr="005E249D" w:rsidRDefault="005E249D" w:rsidP="005E249D">
            <w:pPr>
              <w:spacing w:after="120" w:line="240" w:lineRule="auto"/>
              <w:jc w:val="right"/>
              <w:rPr>
                <w:color w:val="000000"/>
                <w:sz w:val="20"/>
              </w:rPr>
            </w:pPr>
            <w:r w:rsidRPr="005E249D">
              <w:rPr>
                <w:color w:val="000000"/>
                <w:sz w:val="20"/>
              </w:rPr>
              <w:t>Project requirement coverage and relevant experience</w:t>
            </w:r>
          </w:p>
        </w:tc>
      </w:tr>
      <w:tr w:rsidR="005E249D" w14:paraId="0FE56A59" w14:textId="77777777" w:rsidTr="005E249D">
        <w:tblPrEx>
          <w:tblCellMar>
            <w:top w:w="0" w:type="dxa"/>
            <w:bottom w:w="0" w:type="dxa"/>
          </w:tblCellMar>
        </w:tblPrEx>
        <w:tc>
          <w:tcPr>
            <w:tcW w:w="2500" w:type="pct"/>
          </w:tcPr>
          <w:p w14:paraId="76F04EA5" w14:textId="01775054" w:rsidR="005E249D" w:rsidRPr="005E249D" w:rsidRDefault="005E249D" w:rsidP="005E249D">
            <w:pPr>
              <w:spacing w:after="120" w:line="240" w:lineRule="auto"/>
              <w:jc w:val="right"/>
              <w:rPr>
                <w:color w:val="000000"/>
                <w:sz w:val="20"/>
              </w:rPr>
            </w:pPr>
            <w:r w:rsidRPr="005E249D">
              <w:rPr>
                <w:color w:val="000000"/>
                <w:sz w:val="20"/>
              </w:rPr>
              <w:t>Results Announcement</w:t>
            </w:r>
          </w:p>
        </w:tc>
        <w:tc>
          <w:tcPr>
            <w:tcW w:w="2500" w:type="pct"/>
          </w:tcPr>
          <w:p w14:paraId="7C0611CA" w14:textId="595153EC" w:rsidR="005E249D" w:rsidRPr="005E249D" w:rsidRDefault="005E249D" w:rsidP="005E249D">
            <w:pPr>
              <w:spacing w:after="120" w:line="240" w:lineRule="auto"/>
              <w:jc w:val="right"/>
              <w:rPr>
                <w:color w:val="000000"/>
                <w:sz w:val="20"/>
              </w:rPr>
            </w:pPr>
            <w:r w:rsidRPr="005E249D">
              <w:rPr>
                <w:color w:val="000000"/>
                <w:sz w:val="20"/>
              </w:rPr>
              <w:t>Public disclosure of results and reasons for exclusions</w:t>
            </w:r>
          </w:p>
        </w:tc>
      </w:tr>
    </w:tbl>
    <w:p w14:paraId="04E8C645" w14:textId="77777777" w:rsidR="005E249D" w:rsidRDefault="005E249D" w:rsidP="005E249D">
      <w:pPr>
        <w:spacing w:after="120" w:line="240" w:lineRule="auto"/>
        <w:jc w:val="right"/>
        <w:rPr>
          <w:color w:val="4A4A4A"/>
          <w:sz w:val="22"/>
        </w:rPr>
      </w:pPr>
    </w:p>
    <w:p w14:paraId="24E51D73" w14:textId="04A790C2" w:rsidR="005E249D" w:rsidRDefault="005E249D" w:rsidP="005E249D">
      <w:pPr>
        <w:spacing w:after="120" w:line="240" w:lineRule="auto"/>
        <w:jc w:val="center"/>
        <w:rPr>
          <w:rFonts w:asciiTheme="majorHAnsi" w:eastAsiaTheme="majorEastAsia" w:hAnsiTheme="majorHAnsi" w:cstheme="majorBidi"/>
          <w:b/>
          <w:color w:val="2D2D2D"/>
          <w:sz w:val="28"/>
          <w:szCs w:val="40"/>
        </w:rPr>
      </w:pPr>
      <w:r w:rsidRPr="005E249D">
        <w:rPr>
          <w:rFonts w:asciiTheme="majorHAnsi" w:eastAsiaTheme="majorEastAsia" w:hAnsiTheme="majorHAnsi" w:cstheme="majorBidi"/>
          <w:b/>
          <w:color w:val="2D2D2D"/>
          <w:sz w:val="28"/>
          <w:szCs w:val="40"/>
        </w:rPr>
        <w:t>Contract Requirements</w:t>
      </w:r>
    </w:p>
    <w:p w14:paraId="0682BC81" w14:textId="579B4BCB" w:rsidR="005E249D" w:rsidRDefault="005E249D" w:rsidP="005E249D">
      <w:pPr>
        <w:spacing w:after="120" w:line="240" w:lineRule="auto"/>
        <w:jc w:val="center"/>
        <w:rPr>
          <w:color w:val="4A4A4A"/>
          <w:sz w:val="22"/>
        </w:rPr>
      </w:pPr>
      <w:r w:rsidRPr="005E249D">
        <w:rPr>
          <w:color w:val="4A4A4A"/>
          <w:sz w:val="22"/>
        </w:rPr>
        <w:t>The successful competitor will receive a notification of the award through the electronic portal. A final guarantee of 5% of the contract value must be provided before signing the contract. A date for the contract signing will be established following the submission of the final guarantee. Penalties will be imposed on the contractor for delays or non-compliance with the stipulated conditions, with the total penalties not exceeding 20% of the total contract value. This section underscores the importance of accountability and compliance in the execution of the project, ensuring that all parties meet their obligations.</w:t>
      </w:r>
    </w:p>
    <w:p w14:paraId="7F4413E4" w14:textId="71BC1BEB" w:rsidR="005E249D" w:rsidRDefault="005E249D" w:rsidP="005E249D">
      <w:pPr>
        <w:spacing w:after="120" w:line="240" w:lineRule="auto"/>
        <w:jc w:val="right"/>
        <w:rPr>
          <w:color w:val="4A4A4A"/>
          <w:sz w:val="22"/>
        </w:rPr>
      </w:pPr>
      <w:r w:rsidRPr="005E249D">
        <w:rPr>
          <w:color w:val="4A4A4A"/>
          <w:sz w:val="22"/>
        </w:rPr>
        <w:t>Penalties for non-compliance</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5E249D" w14:paraId="55D7B3A2" w14:textId="77777777" w:rsidTr="005E249D">
        <w:tblPrEx>
          <w:tblCellMar>
            <w:top w:w="0" w:type="dxa"/>
            <w:bottom w:w="0" w:type="dxa"/>
          </w:tblCellMar>
        </w:tblPrEx>
        <w:tc>
          <w:tcPr>
            <w:tcW w:w="2500" w:type="pct"/>
          </w:tcPr>
          <w:p w14:paraId="0216ED75" w14:textId="3790DAAD" w:rsidR="005E249D" w:rsidRPr="005E249D" w:rsidRDefault="005E249D" w:rsidP="005E249D">
            <w:pPr>
              <w:spacing w:after="120" w:line="240" w:lineRule="auto"/>
              <w:jc w:val="center"/>
              <w:rPr>
                <w:b/>
                <w:color w:val="000000"/>
                <w:sz w:val="20"/>
              </w:rPr>
            </w:pPr>
            <w:r w:rsidRPr="005E249D">
              <w:rPr>
                <w:b/>
                <w:color w:val="000000"/>
                <w:sz w:val="20"/>
              </w:rPr>
              <w:t>Requirement</w:t>
            </w:r>
          </w:p>
        </w:tc>
        <w:tc>
          <w:tcPr>
            <w:tcW w:w="2500" w:type="pct"/>
          </w:tcPr>
          <w:p w14:paraId="44A05488" w14:textId="4B21F52A" w:rsidR="005E249D" w:rsidRPr="005E249D" w:rsidRDefault="005E249D" w:rsidP="005E249D">
            <w:pPr>
              <w:spacing w:after="120" w:line="240" w:lineRule="auto"/>
              <w:jc w:val="center"/>
              <w:rPr>
                <w:b/>
                <w:color w:val="000000"/>
                <w:sz w:val="20"/>
              </w:rPr>
            </w:pPr>
            <w:r w:rsidRPr="005E249D">
              <w:rPr>
                <w:b/>
                <w:color w:val="000000"/>
                <w:sz w:val="20"/>
              </w:rPr>
              <w:t>Details</w:t>
            </w:r>
          </w:p>
        </w:tc>
      </w:tr>
      <w:tr w:rsidR="005E249D" w14:paraId="64F69CD5" w14:textId="77777777" w:rsidTr="005E249D">
        <w:tblPrEx>
          <w:tblCellMar>
            <w:top w:w="0" w:type="dxa"/>
            <w:bottom w:w="0" w:type="dxa"/>
          </w:tblCellMar>
        </w:tblPrEx>
        <w:tc>
          <w:tcPr>
            <w:tcW w:w="2500" w:type="pct"/>
          </w:tcPr>
          <w:p w14:paraId="4F13309B" w14:textId="70C72FAF" w:rsidR="005E249D" w:rsidRPr="005E249D" w:rsidRDefault="005E249D" w:rsidP="005E249D">
            <w:pPr>
              <w:spacing w:after="120" w:line="240" w:lineRule="auto"/>
              <w:jc w:val="right"/>
              <w:rPr>
                <w:color w:val="000000"/>
                <w:sz w:val="20"/>
              </w:rPr>
            </w:pPr>
            <w:r w:rsidRPr="005E249D">
              <w:rPr>
                <w:color w:val="000000"/>
                <w:sz w:val="20"/>
              </w:rPr>
              <w:t>Notification</w:t>
            </w:r>
          </w:p>
        </w:tc>
        <w:tc>
          <w:tcPr>
            <w:tcW w:w="2500" w:type="pct"/>
          </w:tcPr>
          <w:p w14:paraId="2E3C9396" w14:textId="247D4E34" w:rsidR="005E249D" w:rsidRPr="005E249D" w:rsidRDefault="005E249D" w:rsidP="005E249D">
            <w:pPr>
              <w:spacing w:after="120" w:line="240" w:lineRule="auto"/>
              <w:jc w:val="right"/>
              <w:rPr>
                <w:color w:val="000000"/>
                <w:sz w:val="20"/>
              </w:rPr>
            </w:pPr>
            <w:r w:rsidRPr="005E249D">
              <w:rPr>
                <w:color w:val="000000"/>
                <w:sz w:val="20"/>
              </w:rPr>
              <w:t>Via electronic portal</w:t>
            </w:r>
          </w:p>
        </w:tc>
      </w:tr>
      <w:tr w:rsidR="005E249D" w14:paraId="3614C9BC" w14:textId="77777777" w:rsidTr="005E249D">
        <w:tblPrEx>
          <w:tblCellMar>
            <w:top w:w="0" w:type="dxa"/>
            <w:bottom w:w="0" w:type="dxa"/>
          </w:tblCellMar>
        </w:tblPrEx>
        <w:tc>
          <w:tcPr>
            <w:tcW w:w="2500" w:type="pct"/>
          </w:tcPr>
          <w:p w14:paraId="63EB922F" w14:textId="762DDDA8" w:rsidR="005E249D" w:rsidRPr="005E249D" w:rsidRDefault="005E249D" w:rsidP="005E249D">
            <w:pPr>
              <w:spacing w:after="120" w:line="240" w:lineRule="auto"/>
              <w:jc w:val="right"/>
              <w:rPr>
                <w:color w:val="000000"/>
                <w:sz w:val="20"/>
              </w:rPr>
            </w:pPr>
            <w:r w:rsidRPr="005E249D">
              <w:rPr>
                <w:color w:val="000000"/>
                <w:sz w:val="20"/>
              </w:rPr>
              <w:t>Final Guarantee</w:t>
            </w:r>
          </w:p>
        </w:tc>
        <w:tc>
          <w:tcPr>
            <w:tcW w:w="2500" w:type="pct"/>
          </w:tcPr>
          <w:p w14:paraId="5F540A1C" w14:textId="589D5BC8" w:rsidR="005E249D" w:rsidRPr="005E249D" w:rsidRDefault="005E249D" w:rsidP="005E249D">
            <w:pPr>
              <w:spacing w:after="120" w:line="240" w:lineRule="auto"/>
              <w:jc w:val="right"/>
              <w:rPr>
                <w:color w:val="000000"/>
                <w:sz w:val="20"/>
              </w:rPr>
            </w:pPr>
            <w:r w:rsidRPr="005E249D">
              <w:rPr>
                <w:color w:val="000000"/>
                <w:sz w:val="20"/>
              </w:rPr>
              <w:t>5% of contract value</w:t>
            </w:r>
          </w:p>
        </w:tc>
      </w:tr>
      <w:tr w:rsidR="005E249D" w14:paraId="614BE4AE" w14:textId="77777777" w:rsidTr="005E249D">
        <w:tblPrEx>
          <w:tblCellMar>
            <w:top w:w="0" w:type="dxa"/>
            <w:bottom w:w="0" w:type="dxa"/>
          </w:tblCellMar>
        </w:tblPrEx>
        <w:tc>
          <w:tcPr>
            <w:tcW w:w="2500" w:type="pct"/>
          </w:tcPr>
          <w:p w14:paraId="568C0AE9" w14:textId="27D6FB46" w:rsidR="005E249D" w:rsidRPr="005E249D" w:rsidRDefault="005E249D" w:rsidP="005E249D">
            <w:pPr>
              <w:spacing w:after="120" w:line="240" w:lineRule="auto"/>
              <w:jc w:val="right"/>
              <w:rPr>
                <w:color w:val="000000"/>
                <w:sz w:val="20"/>
              </w:rPr>
            </w:pPr>
            <w:r w:rsidRPr="005E249D">
              <w:rPr>
                <w:color w:val="000000"/>
                <w:sz w:val="20"/>
              </w:rPr>
              <w:t>Penalties</w:t>
            </w:r>
          </w:p>
        </w:tc>
        <w:tc>
          <w:tcPr>
            <w:tcW w:w="2500" w:type="pct"/>
          </w:tcPr>
          <w:p w14:paraId="558B6FC6" w14:textId="7D726A51" w:rsidR="005E249D" w:rsidRPr="005E249D" w:rsidRDefault="005E249D" w:rsidP="005E249D">
            <w:pPr>
              <w:spacing w:after="120" w:line="240" w:lineRule="auto"/>
              <w:jc w:val="right"/>
              <w:rPr>
                <w:color w:val="000000"/>
                <w:sz w:val="20"/>
              </w:rPr>
            </w:pPr>
            <w:r w:rsidRPr="005E249D">
              <w:rPr>
                <w:color w:val="000000"/>
                <w:sz w:val="20"/>
              </w:rPr>
              <w:t>Up to 20% of contract value for non-compliance</w:t>
            </w:r>
          </w:p>
        </w:tc>
      </w:tr>
    </w:tbl>
    <w:p w14:paraId="07A2062F" w14:textId="77777777" w:rsidR="005E249D" w:rsidRDefault="005E249D" w:rsidP="005E249D">
      <w:pPr>
        <w:spacing w:after="120" w:line="240" w:lineRule="auto"/>
        <w:jc w:val="right"/>
        <w:rPr>
          <w:color w:val="4A4A4A"/>
          <w:sz w:val="22"/>
        </w:rPr>
      </w:pPr>
    </w:p>
    <w:p w14:paraId="47E64D49" w14:textId="692FC2FB" w:rsidR="005E249D" w:rsidRDefault="005E249D" w:rsidP="005E249D">
      <w:pPr>
        <w:spacing w:after="120" w:line="240" w:lineRule="auto"/>
        <w:jc w:val="center"/>
        <w:rPr>
          <w:rFonts w:asciiTheme="majorHAnsi" w:eastAsiaTheme="majorEastAsia" w:hAnsiTheme="majorHAnsi" w:cstheme="majorBidi"/>
          <w:b/>
          <w:color w:val="2D2D2D"/>
          <w:sz w:val="28"/>
          <w:szCs w:val="40"/>
        </w:rPr>
      </w:pPr>
      <w:r w:rsidRPr="005E249D">
        <w:rPr>
          <w:rFonts w:asciiTheme="majorHAnsi" w:eastAsiaTheme="majorEastAsia" w:hAnsiTheme="majorHAnsi" w:cstheme="majorBidi"/>
          <w:b/>
          <w:color w:val="2D2D2D"/>
          <w:sz w:val="28"/>
          <w:szCs w:val="40"/>
        </w:rPr>
        <w:t>Detailed Scope of Work</w:t>
      </w:r>
    </w:p>
    <w:p w14:paraId="50489BF6" w14:textId="07630B1F" w:rsidR="005E249D" w:rsidRDefault="005E249D" w:rsidP="005E249D">
      <w:pPr>
        <w:spacing w:after="120" w:line="240" w:lineRule="auto"/>
        <w:jc w:val="center"/>
        <w:rPr>
          <w:color w:val="4A4A4A"/>
          <w:sz w:val="22"/>
        </w:rPr>
      </w:pPr>
      <w:r w:rsidRPr="005E249D">
        <w:rPr>
          <w:color w:val="4A4A4A"/>
          <w:sz w:val="22"/>
        </w:rPr>
        <w:t>The project encompasses studying and analyzing community needs, as well as designing developmental strategies tailored to those needs. The service delivery program comprises multiple stages, including study and analysis, design, and implementation. Services will be executed across all regions of the Kingdom of Saudi Arabia, ensuring a comprehensive approach to rural development. A detailed schedule of quantities and prices must be provided according to the specified scope, alongside adherence to the highest quality standards in service execution. This section highlights the project's commitment to addressing the unique needs of diverse communities and delivering impactful results.</w:t>
      </w:r>
    </w:p>
    <w:p w14:paraId="3ED4FEDF" w14:textId="0C428E00" w:rsidR="005E249D" w:rsidRDefault="005E249D" w:rsidP="005E249D">
      <w:pPr>
        <w:spacing w:after="120" w:line="240" w:lineRule="auto"/>
        <w:jc w:val="right"/>
        <w:rPr>
          <w:color w:val="4A4A4A"/>
          <w:sz w:val="22"/>
        </w:rPr>
      </w:pPr>
      <w:r w:rsidRPr="005E249D">
        <w:rPr>
          <w:color w:val="4A4A4A"/>
          <w:sz w:val="22"/>
        </w:rPr>
        <w:t>Implementation across the Kingdom</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5E249D" w14:paraId="2F12BD1D" w14:textId="77777777" w:rsidTr="005E249D">
        <w:tblPrEx>
          <w:tblCellMar>
            <w:top w:w="0" w:type="dxa"/>
            <w:bottom w:w="0" w:type="dxa"/>
          </w:tblCellMar>
        </w:tblPrEx>
        <w:tc>
          <w:tcPr>
            <w:tcW w:w="2500" w:type="pct"/>
          </w:tcPr>
          <w:p w14:paraId="12720D6E" w14:textId="61F636E9" w:rsidR="005E249D" w:rsidRPr="005E249D" w:rsidRDefault="005E249D" w:rsidP="005E249D">
            <w:pPr>
              <w:spacing w:after="120" w:line="240" w:lineRule="auto"/>
              <w:jc w:val="center"/>
              <w:rPr>
                <w:b/>
                <w:color w:val="000000"/>
                <w:sz w:val="20"/>
              </w:rPr>
            </w:pPr>
            <w:r w:rsidRPr="005E249D">
              <w:rPr>
                <w:b/>
                <w:color w:val="000000"/>
                <w:sz w:val="20"/>
              </w:rPr>
              <w:t>Component</w:t>
            </w:r>
          </w:p>
        </w:tc>
        <w:tc>
          <w:tcPr>
            <w:tcW w:w="2500" w:type="pct"/>
          </w:tcPr>
          <w:p w14:paraId="3C79FE04" w14:textId="3DA56F5F" w:rsidR="005E249D" w:rsidRPr="005E249D" w:rsidRDefault="005E249D" w:rsidP="005E249D">
            <w:pPr>
              <w:spacing w:after="120" w:line="240" w:lineRule="auto"/>
              <w:jc w:val="center"/>
              <w:rPr>
                <w:b/>
                <w:color w:val="000000"/>
                <w:sz w:val="20"/>
              </w:rPr>
            </w:pPr>
            <w:r w:rsidRPr="005E249D">
              <w:rPr>
                <w:b/>
                <w:color w:val="000000"/>
                <w:sz w:val="20"/>
              </w:rPr>
              <w:t>Details</w:t>
            </w:r>
          </w:p>
        </w:tc>
      </w:tr>
      <w:tr w:rsidR="005E249D" w14:paraId="47526C68" w14:textId="77777777" w:rsidTr="005E249D">
        <w:tblPrEx>
          <w:tblCellMar>
            <w:top w:w="0" w:type="dxa"/>
            <w:bottom w:w="0" w:type="dxa"/>
          </w:tblCellMar>
        </w:tblPrEx>
        <w:tc>
          <w:tcPr>
            <w:tcW w:w="2500" w:type="pct"/>
          </w:tcPr>
          <w:p w14:paraId="7CEDDD52" w14:textId="0EAE6A7A" w:rsidR="005E249D" w:rsidRPr="005E249D" w:rsidRDefault="005E249D" w:rsidP="005E249D">
            <w:pPr>
              <w:spacing w:after="120" w:line="240" w:lineRule="auto"/>
              <w:jc w:val="right"/>
              <w:rPr>
                <w:color w:val="000000"/>
                <w:sz w:val="20"/>
              </w:rPr>
            </w:pPr>
            <w:r w:rsidRPr="005E249D">
              <w:rPr>
                <w:color w:val="000000"/>
                <w:sz w:val="20"/>
              </w:rPr>
              <w:t>Scope of Work</w:t>
            </w:r>
          </w:p>
        </w:tc>
        <w:tc>
          <w:tcPr>
            <w:tcW w:w="2500" w:type="pct"/>
          </w:tcPr>
          <w:p w14:paraId="4C50802F" w14:textId="5437916D" w:rsidR="005E249D" w:rsidRPr="005E249D" w:rsidRDefault="005E249D" w:rsidP="005E249D">
            <w:pPr>
              <w:spacing w:after="120" w:line="240" w:lineRule="auto"/>
              <w:jc w:val="right"/>
              <w:rPr>
                <w:color w:val="000000"/>
                <w:sz w:val="20"/>
              </w:rPr>
            </w:pPr>
            <w:r w:rsidRPr="005E249D">
              <w:rPr>
                <w:color w:val="000000"/>
                <w:sz w:val="20"/>
              </w:rPr>
              <w:t>Study and analyze community needs</w:t>
            </w:r>
          </w:p>
        </w:tc>
      </w:tr>
      <w:tr w:rsidR="005E249D" w14:paraId="084D5873" w14:textId="77777777" w:rsidTr="005E249D">
        <w:tblPrEx>
          <w:tblCellMar>
            <w:top w:w="0" w:type="dxa"/>
            <w:bottom w:w="0" w:type="dxa"/>
          </w:tblCellMar>
        </w:tblPrEx>
        <w:tc>
          <w:tcPr>
            <w:tcW w:w="2500" w:type="pct"/>
          </w:tcPr>
          <w:p w14:paraId="4015A9BF" w14:textId="72D2EAE5" w:rsidR="005E249D" w:rsidRPr="005E249D" w:rsidRDefault="005E249D" w:rsidP="005E249D">
            <w:pPr>
              <w:spacing w:after="120" w:line="240" w:lineRule="auto"/>
              <w:jc w:val="right"/>
              <w:rPr>
                <w:color w:val="000000"/>
                <w:sz w:val="20"/>
              </w:rPr>
            </w:pPr>
            <w:r w:rsidRPr="005E249D">
              <w:rPr>
                <w:color w:val="000000"/>
                <w:sz w:val="20"/>
              </w:rPr>
              <w:t>Service Delivery</w:t>
            </w:r>
          </w:p>
        </w:tc>
        <w:tc>
          <w:tcPr>
            <w:tcW w:w="2500" w:type="pct"/>
          </w:tcPr>
          <w:p w14:paraId="1A1DE7AB" w14:textId="208A4D67" w:rsidR="005E249D" w:rsidRPr="005E249D" w:rsidRDefault="005E249D" w:rsidP="005E249D">
            <w:pPr>
              <w:spacing w:after="120" w:line="240" w:lineRule="auto"/>
              <w:jc w:val="right"/>
              <w:rPr>
                <w:color w:val="000000"/>
                <w:sz w:val="20"/>
              </w:rPr>
            </w:pPr>
            <w:r w:rsidRPr="005E249D">
              <w:rPr>
                <w:color w:val="000000"/>
                <w:sz w:val="20"/>
              </w:rPr>
              <w:t>Multiple phases including design and implementation</w:t>
            </w:r>
          </w:p>
        </w:tc>
      </w:tr>
      <w:tr w:rsidR="005E249D" w14:paraId="0E8A128C" w14:textId="77777777" w:rsidTr="005E249D">
        <w:tblPrEx>
          <w:tblCellMar>
            <w:top w:w="0" w:type="dxa"/>
            <w:bottom w:w="0" w:type="dxa"/>
          </w:tblCellMar>
        </w:tblPrEx>
        <w:tc>
          <w:tcPr>
            <w:tcW w:w="2500" w:type="pct"/>
          </w:tcPr>
          <w:p w14:paraId="1A46F8A4" w14:textId="74C825C8" w:rsidR="005E249D" w:rsidRPr="005E249D" w:rsidRDefault="005E249D" w:rsidP="005E249D">
            <w:pPr>
              <w:spacing w:after="120" w:line="240" w:lineRule="auto"/>
              <w:jc w:val="right"/>
              <w:rPr>
                <w:color w:val="000000"/>
                <w:sz w:val="20"/>
              </w:rPr>
            </w:pPr>
            <w:r w:rsidRPr="005E249D">
              <w:rPr>
                <w:color w:val="000000"/>
                <w:sz w:val="20"/>
              </w:rPr>
              <w:t>Quality Standards</w:t>
            </w:r>
          </w:p>
        </w:tc>
        <w:tc>
          <w:tcPr>
            <w:tcW w:w="2500" w:type="pct"/>
          </w:tcPr>
          <w:p w14:paraId="2FBD5C48" w14:textId="3D5E60CB" w:rsidR="005E249D" w:rsidRPr="005E249D" w:rsidRDefault="005E249D" w:rsidP="005E249D">
            <w:pPr>
              <w:spacing w:after="120" w:line="240" w:lineRule="auto"/>
              <w:jc w:val="right"/>
              <w:rPr>
                <w:color w:val="000000"/>
                <w:sz w:val="20"/>
              </w:rPr>
            </w:pPr>
            <w:r w:rsidRPr="005E249D">
              <w:rPr>
                <w:color w:val="000000"/>
                <w:sz w:val="20"/>
              </w:rPr>
              <w:t>Adherence to high-quality benchmarks</w:t>
            </w:r>
          </w:p>
        </w:tc>
      </w:tr>
    </w:tbl>
    <w:p w14:paraId="372B960B" w14:textId="77777777" w:rsidR="005E249D" w:rsidRDefault="005E249D" w:rsidP="005E249D">
      <w:pPr>
        <w:spacing w:after="120" w:line="240" w:lineRule="auto"/>
        <w:jc w:val="right"/>
        <w:rPr>
          <w:color w:val="4A4A4A"/>
          <w:sz w:val="22"/>
        </w:rPr>
      </w:pPr>
    </w:p>
    <w:p w14:paraId="65131410" w14:textId="27F594BD" w:rsidR="005E249D" w:rsidRDefault="005E249D" w:rsidP="005E249D">
      <w:pPr>
        <w:spacing w:after="120" w:line="240" w:lineRule="auto"/>
        <w:jc w:val="center"/>
        <w:rPr>
          <w:rFonts w:asciiTheme="majorHAnsi" w:eastAsiaTheme="majorEastAsia" w:hAnsiTheme="majorHAnsi" w:cstheme="majorBidi"/>
          <w:b/>
          <w:color w:val="2D2D2D"/>
          <w:sz w:val="28"/>
          <w:szCs w:val="40"/>
        </w:rPr>
      </w:pPr>
      <w:r w:rsidRPr="005E249D">
        <w:rPr>
          <w:rFonts w:asciiTheme="majorHAnsi" w:eastAsiaTheme="majorEastAsia" w:hAnsiTheme="majorHAnsi" w:cstheme="majorBidi"/>
          <w:b/>
          <w:color w:val="2D2D2D"/>
          <w:sz w:val="28"/>
          <w:szCs w:val="40"/>
        </w:rPr>
        <w:t>Specifications</w:t>
      </w:r>
    </w:p>
    <w:p w14:paraId="5F5CCB2B" w14:textId="512A8592" w:rsidR="005E249D" w:rsidRDefault="005E249D" w:rsidP="005E249D">
      <w:pPr>
        <w:spacing w:after="120" w:line="240" w:lineRule="auto"/>
        <w:jc w:val="center"/>
        <w:rPr>
          <w:color w:val="4A4A4A"/>
          <w:sz w:val="22"/>
        </w:rPr>
      </w:pPr>
      <w:r w:rsidRPr="005E249D">
        <w:rPr>
          <w:color w:val="4A4A4A"/>
          <w:sz w:val="22"/>
        </w:rPr>
        <w:t>The project team must comprise specialists with experience in various fields relevant to rural development. The execution methodology should adhere to best practices, ensuring effective and efficient delivery of services. Compliance with safety and health standards is paramount throughout the project lifecycle. Additionally, local content requirements must be followed, ensuring that the project supports local economies. Specific conditions related to the project team and projects will be outlined, ensuring that all stakeholders understand the expectations and requirements for successful collaboration.</w:t>
      </w:r>
    </w:p>
    <w:p w14:paraId="525BCC0B" w14:textId="26AFA20E" w:rsidR="005E249D" w:rsidRDefault="005E249D" w:rsidP="005E249D">
      <w:pPr>
        <w:spacing w:after="120" w:line="240" w:lineRule="auto"/>
        <w:jc w:val="right"/>
        <w:rPr>
          <w:color w:val="4A4A4A"/>
          <w:sz w:val="22"/>
        </w:rPr>
      </w:pPr>
      <w:r w:rsidRPr="005E249D">
        <w:rPr>
          <w:color w:val="4A4A4A"/>
          <w:sz w:val="22"/>
        </w:rPr>
        <w:t>Compliance with local content requirements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5E249D" w14:paraId="32A617D5" w14:textId="77777777" w:rsidTr="005E249D">
        <w:tblPrEx>
          <w:tblCellMar>
            <w:top w:w="0" w:type="dxa"/>
            <w:bottom w:w="0" w:type="dxa"/>
          </w:tblCellMar>
        </w:tblPrEx>
        <w:tc>
          <w:tcPr>
            <w:tcW w:w="2500" w:type="pct"/>
          </w:tcPr>
          <w:p w14:paraId="3E86F073" w14:textId="48B91831" w:rsidR="005E249D" w:rsidRPr="005E249D" w:rsidRDefault="005E249D" w:rsidP="005E249D">
            <w:pPr>
              <w:spacing w:after="120" w:line="240" w:lineRule="auto"/>
              <w:jc w:val="center"/>
              <w:rPr>
                <w:b/>
                <w:color w:val="000000"/>
                <w:sz w:val="20"/>
              </w:rPr>
            </w:pPr>
            <w:r w:rsidRPr="005E249D">
              <w:rPr>
                <w:b/>
                <w:color w:val="000000"/>
                <w:sz w:val="20"/>
              </w:rPr>
              <w:t>Specification</w:t>
            </w:r>
          </w:p>
        </w:tc>
        <w:tc>
          <w:tcPr>
            <w:tcW w:w="2500" w:type="pct"/>
          </w:tcPr>
          <w:p w14:paraId="59C3411F" w14:textId="7FE1E5F7" w:rsidR="005E249D" w:rsidRPr="005E249D" w:rsidRDefault="005E249D" w:rsidP="005E249D">
            <w:pPr>
              <w:spacing w:after="120" w:line="240" w:lineRule="auto"/>
              <w:jc w:val="center"/>
              <w:rPr>
                <w:b/>
                <w:color w:val="000000"/>
                <w:sz w:val="20"/>
              </w:rPr>
            </w:pPr>
            <w:r w:rsidRPr="005E249D">
              <w:rPr>
                <w:b/>
                <w:color w:val="000000"/>
                <w:sz w:val="20"/>
              </w:rPr>
              <w:t>Requirement</w:t>
            </w:r>
          </w:p>
        </w:tc>
      </w:tr>
      <w:tr w:rsidR="005E249D" w14:paraId="3ED03C8D" w14:textId="77777777" w:rsidTr="005E249D">
        <w:tblPrEx>
          <w:tblCellMar>
            <w:top w:w="0" w:type="dxa"/>
            <w:bottom w:w="0" w:type="dxa"/>
          </w:tblCellMar>
        </w:tblPrEx>
        <w:tc>
          <w:tcPr>
            <w:tcW w:w="2500" w:type="pct"/>
          </w:tcPr>
          <w:p w14:paraId="28ED0A7E" w14:textId="18403097" w:rsidR="005E249D" w:rsidRPr="005E249D" w:rsidRDefault="005E249D" w:rsidP="005E249D">
            <w:pPr>
              <w:spacing w:after="120" w:line="240" w:lineRule="auto"/>
              <w:jc w:val="right"/>
              <w:rPr>
                <w:color w:val="000000"/>
                <w:sz w:val="20"/>
              </w:rPr>
            </w:pPr>
            <w:r w:rsidRPr="005E249D">
              <w:rPr>
                <w:color w:val="000000"/>
                <w:sz w:val="20"/>
              </w:rPr>
              <w:t>Team Composition</w:t>
            </w:r>
          </w:p>
        </w:tc>
        <w:tc>
          <w:tcPr>
            <w:tcW w:w="2500" w:type="pct"/>
          </w:tcPr>
          <w:p w14:paraId="28B83B86" w14:textId="7194CE12" w:rsidR="005E249D" w:rsidRPr="005E249D" w:rsidRDefault="005E249D" w:rsidP="005E249D">
            <w:pPr>
              <w:spacing w:after="120" w:line="240" w:lineRule="auto"/>
              <w:jc w:val="right"/>
              <w:rPr>
                <w:color w:val="000000"/>
                <w:sz w:val="20"/>
              </w:rPr>
            </w:pPr>
            <w:r w:rsidRPr="005E249D">
              <w:rPr>
                <w:color w:val="000000"/>
                <w:sz w:val="20"/>
              </w:rPr>
              <w:t>Specialists with relevant experience</w:t>
            </w:r>
          </w:p>
        </w:tc>
      </w:tr>
      <w:tr w:rsidR="005E249D" w14:paraId="7EC41DFA" w14:textId="77777777" w:rsidTr="005E249D">
        <w:tblPrEx>
          <w:tblCellMar>
            <w:top w:w="0" w:type="dxa"/>
            <w:bottom w:w="0" w:type="dxa"/>
          </w:tblCellMar>
        </w:tblPrEx>
        <w:tc>
          <w:tcPr>
            <w:tcW w:w="2500" w:type="pct"/>
          </w:tcPr>
          <w:p w14:paraId="55AFC1E4" w14:textId="74B271BC" w:rsidR="005E249D" w:rsidRPr="005E249D" w:rsidRDefault="005E249D" w:rsidP="005E249D">
            <w:pPr>
              <w:spacing w:after="120" w:line="240" w:lineRule="auto"/>
              <w:jc w:val="right"/>
              <w:rPr>
                <w:color w:val="000000"/>
                <w:sz w:val="20"/>
              </w:rPr>
            </w:pPr>
            <w:r w:rsidRPr="005E249D">
              <w:rPr>
                <w:color w:val="000000"/>
                <w:sz w:val="20"/>
              </w:rPr>
              <w:t>Execution Methodology</w:t>
            </w:r>
          </w:p>
        </w:tc>
        <w:tc>
          <w:tcPr>
            <w:tcW w:w="2500" w:type="pct"/>
          </w:tcPr>
          <w:p w14:paraId="52AE2B68" w14:textId="7CC23A65" w:rsidR="005E249D" w:rsidRPr="005E249D" w:rsidRDefault="005E249D" w:rsidP="005E249D">
            <w:pPr>
              <w:spacing w:after="120" w:line="240" w:lineRule="auto"/>
              <w:jc w:val="right"/>
              <w:rPr>
                <w:color w:val="000000"/>
                <w:sz w:val="20"/>
              </w:rPr>
            </w:pPr>
            <w:r w:rsidRPr="005E249D">
              <w:rPr>
                <w:color w:val="000000"/>
                <w:sz w:val="20"/>
              </w:rPr>
              <w:t>Adherence to best practices</w:t>
            </w:r>
          </w:p>
        </w:tc>
      </w:tr>
      <w:tr w:rsidR="005E249D" w14:paraId="2099D625" w14:textId="77777777" w:rsidTr="005E249D">
        <w:tblPrEx>
          <w:tblCellMar>
            <w:top w:w="0" w:type="dxa"/>
            <w:bottom w:w="0" w:type="dxa"/>
          </w:tblCellMar>
        </w:tblPrEx>
        <w:tc>
          <w:tcPr>
            <w:tcW w:w="2500" w:type="pct"/>
          </w:tcPr>
          <w:p w14:paraId="44BF00EC" w14:textId="424733B2" w:rsidR="005E249D" w:rsidRPr="005E249D" w:rsidRDefault="005E249D" w:rsidP="005E249D">
            <w:pPr>
              <w:spacing w:after="120" w:line="240" w:lineRule="auto"/>
              <w:jc w:val="right"/>
              <w:rPr>
                <w:color w:val="000000"/>
                <w:sz w:val="20"/>
              </w:rPr>
            </w:pPr>
            <w:r w:rsidRPr="005E249D">
              <w:rPr>
                <w:color w:val="000000"/>
                <w:sz w:val="20"/>
              </w:rPr>
              <w:t>Local Content</w:t>
            </w:r>
          </w:p>
        </w:tc>
        <w:tc>
          <w:tcPr>
            <w:tcW w:w="2500" w:type="pct"/>
          </w:tcPr>
          <w:p w14:paraId="6E93365F" w14:textId="40970902" w:rsidR="005E249D" w:rsidRPr="005E249D" w:rsidRDefault="005E249D" w:rsidP="005E249D">
            <w:pPr>
              <w:spacing w:after="120" w:line="240" w:lineRule="auto"/>
              <w:jc w:val="right"/>
              <w:rPr>
                <w:color w:val="000000"/>
                <w:sz w:val="20"/>
              </w:rPr>
            </w:pPr>
            <w:r w:rsidRPr="005E249D">
              <w:rPr>
                <w:color w:val="000000"/>
                <w:sz w:val="20"/>
              </w:rPr>
              <w:t>Compliance with local content requirements</w:t>
            </w:r>
          </w:p>
        </w:tc>
      </w:tr>
    </w:tbl>
    <w:p w14:paraId="794B7608" w14:textId="77777777" w:rsidR="005E249D" w:rsidRDefault="005E249D" w:rsidP="005E249D">
      <w:pPr>
        <w:spacing w:after="120" w:line="240" w:lineRule="auto"/>
        <w:jc w:val="right"/>
        <w:rPr>
          <w:color w:val="4A4A4A"/>
          <w:sz w:val="22"/>
        </w:rPr>
      </w:pPr>
    </w:p>
    <w:p w14:paraId="1D05A1BF" w14:textId="7C1AECEF" w:rsidR="005E249D" w:rsidRDefault="005E249D" w:rsidP="005E249D">
      <w:pPr>
        <w:spacing w:after="120" w:line="240" w:lineRule="auto"/>
        <w:jc w:val="center"/>
        <w:rPr>
          <w:rFonts w:asciiTheme="majorHAnsi" w:eastAsiaTheme="majorEastAsia" w:hAnsiTheme="majorHAnsi" w:cstheme="majorBidi"/>
          <w:b/>
          <w:color w:val="2D2D2D"/>
          <w:sz w:val="28"/>
          <w:szCs w:val="40"/>
        </w:rPr>
      </w:pPr>
      <w:r w:rsidRPr="005E249D">
        <w:rPr>
          <w:rFonts w:asciiTheme="majorHAnsi" w:eastAsiaTheme="majorEastAsia" w:hAnsiTheme="majorHAnsi" w:cstheme="majorBidi"/>
          <w:b/>
          <w:color w:val="2D2D2D"/>
          <w:sz w:val="28"/>
          <w:szCs w:val="40"/>
        </w:rPr>
        <w:t>Indicators and Measurement Tools</w:t>
      </w:r>
    </w:p>
    <w:p w14:paraId="4C8AF06F" w14:textId="47D33606" w:rsidR="005E249D" w:rsidRDefault="005E249D" w:rsidP="005E249D">
      <w:pPr>
        <w:spacing w:after="120" w:line="240" w:lineRule="auto"/>
        <w:jc w:val="center"/>
        <w:rPr>
          <w:color w:val="4A4A4A"/>
          <w:sz w:val="22"/>
        </w:rPr>
      </w:pPr>
      <w:r w:rsidRPr="005E249D">
        <w:rPr>
          <w:color w:val="4A4A4A"/>
          <w:sz w:val="22"/>
        </w:rPr>
        <w:t>Key performance indicators must be established to measure the success of the project. Measurement tools will include surveys, periodic reports, and reviews, ensuring that progress is tracked effectively. A comprehensive risk analysis must be conducted to identify potential risks and develop mitigation strategies. A detailed project management plan must be created, encompassing all aspects of the project, from initiation to completion. Innovative solutions are essential to meet the needs of local communities, ensuring that the strategies implemented are not only effective but also sustainable in the long term.</w:t>
      </w:r>
    </w:p>
    <w:p w14:paraId="3DDE2EA0" w14:textId="0FAF8E03" w:rsidR="005E249D" w:rsidRDefault="005E249D" w:rsidP="005E249D">
      <w:pPr>
        <w:spacing w:after="120" w:line="240" w:lineRule="auto"/>
        <w:jc w:val="right"/>
        <w:rPr>
          <w:color w:val="4A4A4A"/>
          <w:sz w:val="22"/>
        </w:rPr>
      </w:pPr>
      <w:r w:rsidRPr="005E249D">
        <w:rPr>
          <w:color w:val="4A4A4A"/>
          <w:sz w:val="22"/>
        </w:rPr>
        <w:t>Innovative and sustainable solutions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5E249D" w14:paraId="06F97BF5" w14:textId="77777777" w:rsidTr="005E249D">
        <w:tblPrEx>
          <w:tblCellMar>
            <w:top w:w="0" w:type="dxa"/>
            <w:bottom w:w="0" w:type="dxa"/>
          </w:tblCellMar>
        </w:tblPrEx>
        <w:tc>
          <w:tcPr>
            <w:tcW w:w="2500" w:type="pct"/>
          </w:tcPr>
          <w:p w14:paraId="2EB83184" w14:textId="740E981E" w:rsidR="005E249D" w:rsidRPr="005E249D" w:rsidRDefault="005E249D" w:rsidP="005E249D">
            <w:pPr>
              <w:spacing w:after="120" w:line="240" w:lineRule="auto"/>
              <w:jc w:val="center"/>
              <w:rPr>
                <w:b/>
                <w:color w:val="000000"/>
                <w:sz w:val="20"/>
              </w:rPr>
            </w:pPr>
            <w:r w:rsidRPr="005E249D">
              <w:rPr>
                <w:b/>
                <w:color w:val="000000"/>
                <w:sz w:val="20"/>
              </w:rPr>
              <w:t>Indicator</w:t>
            </w:r>
          </w:p>
        </w:tc>
        <w:tc>
          <w:tcPr>
            <w:tcW w:w="2500" w:type="pct"/>
          </w:tcPr>
          <w:p w14:paraId="6B5069D8" w14:textId="6EEEAA6F" w:rsidR="005E249D" w:rsidRPr="005E249D" w:rsidRDefault="005E249D" w:rsidP="005E249D">
            <w:pPr>
              <w:spacing w:after="120" w:line="240" w:lineRule="auto"/>
              <w:jc w:val="center"/>
              <w:rPr>
                <w:b/>
                <w:color w:val="000000"/>
                <w:sz w:val="20"/>
              </w:rPr>
            </w:pPr>
            <w:r w:rsidRPr="005E249D">
              <w:rPr>
                <w:b/>
                <w:color w:val="000000"/>
                <w:sz w:val="20"/>
              </w:rPr>
              <w:t>Measurement Tool</w:t>
            </w:r>
          </w:p>
        </w:tc>
      </w:tr>
      <w:tr w:rsidR="005E249D" w14:paraId="2AFAE914" w14:textId="77777777" w:rsidTr="005E249D">
        <w:tblPrEx>
          <w:tblCellMar>
            <w:top w:w="0" w:type="dxa"/>
            <w:bottom w:w="0" w:type="dxa"/>
          </w:tblCellMar>
        </w:tblPrEx>
        <w:tc>
          <w:tcPr>
            <w:tcW w:w="2500" w:type="pct"/>
          </w:tcPr>
          <w:p w14:paraId="2C151C7A" w14:textId="550D681F" w:rsidR="005E249D" w:rsidRPr="005E249D" w:rsidRDefault="005E249D" w:rsidP="005E249D">
            <w:pPr>
              <w:spacing w:after="120" w:line="240" w:lineRule="auto"/>
              <w:jc w:val="right"/>
              <w:rPr>
                <w:color w:val="000000"/>
                <w:sz w:val="20"/>
              </w:rPr>
            </w:pPr>
            <w:r w:rsidRPr="005E249D">
              <w:rPr>
                <w:color w:val="000000"/>
                <w:sz w:val="20"/>
              </w:rPr>
              <w:t>Key Performance Indicators</w:t>
            </w:r>
          </w:p>
        </w:tc>
        <w:tc>
          <w:tcPr>
            <w:tcW w:w="2500" w:type="pct"/>
          </w:tcPr>
          <w:p w14:paraId="40F2502F" w14:textId="7E605A94" w:rsidR="005E249D" w:rsidRPr="005E249D" w:rsidRDefault="005E249D" w:rsidP="005E249D">
            <w:pPr>
              <w:spacing w:after="120" w:line="240" w:lineRule="auto"/>
              <w:jc w:val="right"/>
              <w:rPr>
                <w:color w:val="000000"/>
                <w:sz w:val="20"/>
              </w:rPr>
            </w:pPr>
            <w:r w:rsidRPr="005E249D">
              <w:rPr>
                <w:color w:val="000000"/>
                <w:sz w:val="20"/>
              </w:rPr>
              <w:t>Surveys and reports</w:t>
            </w:r>
          </w:p>
        </w:tc>
      </w:tr>
      <w:tr w:rsidR="005E249D" w14:paraId="082F5436" w14:textId="77777777" w:rsidTr="005E249D">
        <w:tblPrEx>
          <w:tblCellMar>
            <w:top w:w="0" w:type="dxa"/>
            <w:bottom w:w="0" w:type="dxa"/>
          </w:tblCellMar>
        </w:tblPrEx>
        <w:tc>
          <w:tcPr>
            <w:tcW w:w="2500" w:type="pct"/>
          </w:tcPr>
          <w:p w14:paraId="76CC5B1C" w14:textId="517FE07E" w:rsidR="005E249D" w:rsidRPr="005E249D" w:rsidRDefault="005E249D" w:rsidP="005E249D">
            <w:pPr>
              <w:spacing w:after="120" w:line="240" w:lineRule="auto"/>
              <w:jc w:val="right"/>
              <w:rPr>
                <w:color w:val="000000"/>
                <w:sz w:val="20"/>
              </w:rPr>
            </w:pPr>
            <w:r w:rsidRPr="005E249D">
              <w:rPr>
                <w:color w:val="000000"/>
                <w:sz w:val="20"/>
              </w:rPr>
              <w:t>Risk Analysis</w:t>
            </w:r>
          </w:p>
        </w:tc>
        <w:tc>
          <w:tcPr>
            <w:tcW w:w="2500" w:type="pct"/>
          </w:tcPr>
          <w:p w14:paraId="18D03FE1" w14:textId="31D41E03" w:rsidR="005E249D" w:rsidRPr="005E249D" w:rsidRDefault="005E249D" w:rsidP="005E249D">
            <w:pPr>
              <w:spacing w:after="120" w:line="240" w:lineRule="auto"/>
              <w:jc w:val="right"/>
              <w:rPr>
                <w:color w:val="000000"/>
                <w:sz w:val="20"/>
              </w:rPr>
            </w:pPr>
            <w:r w:rsidRPr="005E249D">
              <w:rPr>
                <w:color w:val="000000"/>
                <w:sz w:val="20"/>
              </w:rPr>
              <w:t>Comprehensive assessment for mitigation</w:t>
            </w:r>
          </w:p>
        </w:tc>
      </w:tr>
      <w:tr w:rsidR="005E249D" w14:paraId="0762CAE6" w14:textId="77777777" w:rsidTr="005E249D">
        <w:tblPrEx>
          <w:tblCellMar>
            <w:top w:w="0" w:type="dxa"/>
            <w:bottom w:w="0" w:type="dxa"/>
          </w:tblCellMar>
        </w:tblPrEx>
        <w:tc>
          <w:tcPr>
            <w:tcW w:w="2500" w:type="pct"/>
          </w:tcPr>
          <w:p w14:paraId="1ABE5B4F" w14:textId="31902392" w:rsidR="005E249D" w:rsidRPr="005E249D" w:rsidRDefault="005E249D" w:rsidP="005E249D">
            <w:pPr>
              <w:spacing w:after="120" w:line="240" w:lineRule="auto"/>
              <w:jc w:val="right"/>
              <w:rPr>
                <w:color w:val="000000"/>
                <w:sz w:val="20"/>
              </w:rPr>
            </w:pPr>
            <w:r w:rsidRPr="005E249D">
              <w:rPr>
                <w:color w:val="000000"/>
                <w:sz w:val="20"/>
              </w:rPr>
              <w:t>Project Plan</w:t>
            </w:r>
          </w:p>
        </w:tc>
        <w:tc>
          <w:tcPr>
            <w:tcW w:w="2500" w:type="pct"/>
          </w:tcPr>
          <w:p w14:paraId="13C1A850" w14:textId="01B160A6" w:rsidR="005E249D" w:rsidRPr="005E249D" w:rsidRDefault="005E249D" w:rsidP="005E249D">
            <w:pPr>
              <w:spacing w:after="120" w:line="240" w:lineRule="auto"/>
              <w:jc w:val="right"/>
              <w:rPr>
                <w:color w:val="000000"/>
                <w:sz w:val="20"/>
              </w:rPr>
            </w:pPr>
            <w:r w:rsidRPr="005E249D">
              <w:rPr>
                <w:color w:val="000000"/>
                <w:sz w:val="20"/>
              </w:rPr>
              <w:t>Detailed management plan from initiation to completion</w:t>
            </w:r>
          </w:p>
        </w:tc>
      </w:tr>
    </w:tbl>
    <w:p w14:paraId="5773C046" w14:textId="77777777" w:rsidR="005E249D" w:rsidRDefault="005E249D" w:rsidP="005E249D">
      <w:pPr>
        <w:spacing w:after="120" w:line="240" w:lineRule="auto"/>
        <w:jc w:val="right"/>
        <w:rPr>
          <w:color w:val="4A4A4A"/>
          <w:sz w:val="22"/>
        </w:rPr>
      </w:pPr>
    </w:p>
    <w:p w14:paraId="3A946BE1" w14:textId="6AFB7D03" w:rsidR="005E249D" w:rsidRDefault="005E249D" w:rsidP="005E249D">
      <w:pPr>
        <w:spacing w:after="120" w:line="240" w:lineRule="auto"/>
        <w:jc w:val="center"/>
        <w:rPr>
          <w:rFonts w:asciiTheme="majorHAnsi" w:eastAsiaTheme="majorEastAsia" w:hAnsiTheme="majorHAnsi" w:cstheme="majorBidi"/>
          <w:b/>
          <w:color w:val="2D2D2D"/>
          <w:sz w:val="28"/>
          <w:szCs w:val="40"/>
        </w:rPr>
      </w:pPr>
      <w:r w:rsidRPr="005E249D">
        <w:rPr>
          <w:rFonts w:asciiTheme="majorHAnsi" w:eastAsiaTheme="majorEastAsia" w:hAnsiTheme="majorHAnsi" w:cstheme="majorBidi"/>
          <w:b/>
          <w:color w:val="2D2D2D"/>
          <w:sz w:val="28"/>
          <w:szCs w:val="40"/>
        </w:rPr>
        <w:t>Timeline</w:t>
      </w:r>
    </w:p>
    <w:p w14:paraId="2AB26AC8" w14:textId="2631E057" w:rsidR="005E249D" w:rsidRDefault="005E249D" w:rsidP="005E249D">
      <w:pPr>
        <w:spacing w:after="120" w:line="240" w:lineRule="auto"/>
        <w:jc w:val="center"/>
        <w:rPr>
          <w:color w:val="4A4A4A"/>
          <w:sz w:val="22"/>
        </w:rPr>
      </w:pPr>
      <w:r w:rsidRPr="005E249D">
        <w:rPr>
          <w:color w:val="4A4A4A"/>
          <w:sz w:val="22"/>
        </w:rPr>
        <w:t>The project timeline is structured into two primary phases. The first phase involves the study, which is expected to take four months, starting on January 1, 2024, and concluding on April 30, 2024. The second phase focuses on the design aspect, lasting for eight months from May 1, 2024, to December 31, 2024. This clear timeline ensures that all stakeholders are aware of the project's duration and milestones, facilitating effective planning and coordination throughout the project lifecycle.</w:t>
      </w:r>
    </w:p>
    <w:p w14:paraId="21EB2405" w14:textId="54D18F89" w:rsidR="005E249D" w:rsidRDefault="005E249D" w:rsidP="005E249D">
      <w:pPr>
        <w:spacing w:after="120" w:line="240" w:lineRule="auto"/>
        <w:jc w:val="right"/>
        <w:rPr>
          <w:color w:val="4A4A4A"/>
          <w:sz w:val="22"/>
        </w:rPr>
      </w:pPr>
      <w:r w:rsidRPr="005E249D">
        <w:rPr>
          <w:color w:val="4A4A4A"/>
          <w:sz w:val="22"/>
        </w:rPr>
        <w:t>Defined start and end dates for each phase</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2337"/>
        <w:gridCol w:w="2337"/>
        <w:gridCol w:w="2338"/>
        <w:gridCol w:w="2338"/>
      </w:tblGrid>
      <w:tr w:rsidR="005E249D" w14:paraId="79D13378" w14:textId="77777777" w:rsidTr="005E249D">
        <w:tblPrEx>
          <w:tblCellMar>
            <w:top w:w="0" w:type="dxa"/>
            <w:bottom w:w="0" w:type="dxa"/>
          </w:tblCellMar>
        </w:tblPrEx>
        <w:tc>
          <w:tcPr>
            <w:tcW w:w="1250" w:type="pct"/>
          </w:tcPr>
          <w:p w14:paraId="64ACC897" w14:textId="333B2599" w:rsidR="005E249D" w:rsidRPr="005E249D" w:rsidRDefault="005E249D" w:rsidP="005E249D">
            <w:pPr>
              <w:spacing w:after="120" w:line="240" w:lineRule="auto"/>
              <w:jc w:val="center"/>
              <w:rPr>
                <w:b/>
                <w:color w:val="000000"/>
                <w:sz w:val="20"/>
              </w:rPr>
            </w:pPr>
            <w:r w:rsidRPr="005E249D">
              <w:rPr>
                <w:b/>
                <w:color w:val="000000"/>
                <w:sz w:val="20"/>
              </w:rPr>
              <w:t>Phase</w:t>
            </w:r>
          </w:p>
        </w:tc>
        <w:tc>
          <w:tcPr>
            <w:tcW w:w="1250" w:type="pct"/>
          </w:tcPr>
          <w:p w14:paraId="53983846" w14:textId="7F1E3B91" w:rsidR="005E249D" w:rsidRPr="005E249D" w:rsidRDefault="005E249D" w:rsidP="005E249D">
            <w:pPr>
              <w:spacing w:after="120" w:line="240" w:lineRule="auto"/>
              <w:jc w:val="center"/>
              <w:rPr>
                <w:b/>
                <w:color w:val="000000"/>
                <w:sz w:val="20"/>
              </w:rPr>
            </w:pPr>
            <w:r w:rsidRPr="005E249D">
              <w:rPr>
                <w:b/>
                <w:color w:val="000000"/>
                <w:sz w:val="20"/>
              </w:rPr>
              <w:t>Duration</w:t>
            </w:r>
          </w:p>
        </w:tc>
        <w:tc>
          <w:tcPr>
            <w:tcW w:w="1250" w:type="pct"/>
          </w:tcPr>
          <w:p w14:paraId="11B3B318" w14:textId="45E01379" w:rsidR="005E249D" w:rsidRPr="005E249D" w:rsidRDefault="005E249D" w:rsidP="005E249D">
            <w:pPr>
              <w:spacing w:after="120" w:line="240" w:lineRule="auto"/>
              <w:jc w:val="center"/>
              <w:rPr>
                <w:b/>
                <w:color w:val="000000"/>
                <w:sz w:val="20"/>
              </w:rPr>
            </w:pPr>
            <w:r w:rsidRPr="005E249D">
              <w:rPr>
                <w:b/>
                <w:color w:val="000000"/>
                <w:sz w:val="20"/>
              </w:rPr>
              <w:t>Start Date</w:t>
            </w:r>
          </w:p>
        </w:tc>
        <w:tc>
          <w:tcPr>
            <w:tcW w:w="1250" w:type="pct"/>
          </w:tcPr>
          <w:p w14:paraId="35EA5525" w14:textId="4057F514" w:rsidR="005E249D" w:rsidRPr="005E249D" w:rsidRDefault="005E249D" w:rsidP="005E249D">
            <w:pPr>
              <w:spacing w:after="120" w:line="240" w:lineRule="auto"/>
              <w:jc w:val="center"/>
              <w:rPr>
                <w:b/>
                <w:color w:val="000000"/>
                <w:sz w:val="20"/>
              </w:rPr>
            </w:pPr>
            <w:r w:rsidRPr="005E249D">
              <w:rPr>
                <w:b/>
                <w:color w:val="000000"/>
                <w:sz w:val="20"/>
              </w:rPr>
              <w:t>End Date</w:t>
            </w:r>
          </w:p>
        </w:tc>
      </w:tr>
      <w:tr w:rsidR="005E249D" w14:paraId="67AF9C58" w14:textId="77777777" w:rsidTr="005E249D">
        <w:tblPrEx>
          <w:tblCellMar>
            <w:top w:w="0" w:type="dxa"/>
            <w:bottom w:w="0" w:type="dxa"/>
          </w:tblCellMar>
        </w:tblPrEx>
        <w:tc>
          <w:tcPr>
            <w:tcW w:w="1250" w:type="pct"/>
          </w:tcPr>
          <w:p w14:paraId="69B08A49" w14:textId="0961DE3B" w:rsidR="005E249D" w:rsidRPr="005E249D" w:rsidRDefault="005E249D" w:rsidP="005E249D">
            <w:pPr>
              <w:spacing w:after="120" w:line="240" w:lineRule="auto"/>
              <w:jc w:val="right"/>
              <w:rPr>
                <w:color w:val="000000"/>
                <w:sz w:val="20"/>
              </w:rPr>
            </w:pPr>
            <w:r w:rsidRPr="005E249D">
              <w:rPr>
                <w:color w:val="000000"/>
                <w:sz w:val="20"/>
              </w:rPr>
              <w:t>Phase One: Study</w:t>
            </w:r>
          </w:p>
        </w:tc>
        <w:tc>
          <w:tcPr>
            <w:tcW w:w="1250" w:type="pct"/>
          </w:tcPr>
          <w:p w14:paraId="34B610ED" w14:textId="0A97285F" w:rsidR="005E249D" w:rsidRPr="005E249D" w:rsidRDefault="005E249D" w:rsidP="005E249D">
            <w:pPr>
              <w:spacing w:after="120" w:line="240" w:lineRule="auto"/>
              <w:jc w:val="right"/>
              <w:rPr>
                <w:color w:val="000000"/>
                <w:sz w:val="20"/>
              </w:rPr>
            </w:pPr>
            <w:r w:rsidRPr="005E249D">
              <w:rPr>
                <w:color w:val="000000"/>
                <w:sz w:val="20"/>
              </w:rPr>
              <w:t>4 months</w:t>
            </w:r>
          </w:p>
        </w:tc>
        <w:tc>
          <w:tcPr>
            <w:tcW w:w="1250" w:type="pct"/>
          </w:tcPr>
          <w:p w14:paraId="47B417FC" w14:textId="63F47B0F" w:rsidR="005E249D" w:rsidRPr="005E249D" w:rsidRDefault="005E249D" w:rsidP="005E249D">
            <w:pPr>
              <w:spacing w:after="120" w:line="240" w:lineRule="auto"/>
              <w:jc w:val="right"/>
              <w:rPr>
                <w:color w:val="000000"/>
                <w:sz w:val="20"/>
              </w:rPr>
            </w:pPr>
            <w:r w:rsidRPr="005E249D">
              <w:rPr>
                <w:color w:val="000000"/>
                <w:sz w:val="20"/>
              </w:rPr>
              <w:t>01-01-2024</w:t>
            </w:r>
          </w:p>
        </w:tc>
        <w:tc>
          <w:tcPr>
            <w:tcW w:w="1250" w:type="pct"/>
          </w:tcPr>
          <w:p w14:paraId="6308E7C0" w14:textId="3521D148" w:rsidR="005E249D" w:rsidRPr="005E249D" w:rsidRDefault="005E249D" w:rsidP="005E249D">
            <w:pPr>
              <w:spacing w:after="120" w:line="240" w:lineRule="auto"/>
              <w:jc w:val="right"/>
              <w:rPr>
                <w:color w:val="000000"/>
                <w:sz w:val="20"/>
              </w:rPr>
            </w:pPr>
            <w:r w:rsidRPr="005E249D">
              <w:rPr>
                <w:color w:val="000000"/>
                <w:sz w:val="20"/>
              </w:rPr>
              <w:t>30-04-2024</w:t>
            </w:r>
          </w:p>
        </w:tc>
      </w:tr>
      <w:tr w:rsidR="005E249D" w14:paraId="54F417A0" w14:textId="77777777" w:rsidTr="005E249D">
        <w:tblPrEx>
          <w:tblCellMar>
            <w:top w:w="0" w:type="dxa"/>
            <w:bottom w:w="0" w:type="dxa"/>
          </w:tblCellMar>
        </w:tblPrEx>
        <w:tc>
          <w:tcPr>
            <w:tcW w:w="1250" w:type="pct"/>
          </w:tcPr>
          <w:p w14:paraId="570DD5E0" w14:textId="6D668108" w:rsidR="005E249D" w:rsidRPr="005E249D" w:rsidRDefault="005E249D" w:rsidP="005E249D">
            <w:pPr>
              <w:spacing w:after="120" w:line="240" w:lineRule="auto"/>
              <w:jc w:val="right"/>
              <w:rPr>
                <w:color w:val="000000"/>
                <w:sz w:val="20"/>
              </w:rPr>
            </w:pPr>
            <w:r w:rsidRPr="005E249D">
              <w:rPr>
                <w:color w:val="000000"/>
                <w:sz w:val="20"/>
              </w:rPr>
              <w:t>Phase Two: Design</w:t>
            </w:r>
          </w:p>
        </w:tc>
        <w:tc>
          <w:tcPr>
            <w:tcW w:w="1250" w:type="pct"/>
          </w:tcPr>
          <w:p w14:paraId="48D2E085" w14:textId="107113DC" w:rsidR="005E249D" w:rsidRPr="005E249D" w:rsidRDefault="005E249D" w:rsidP="005E249D">
            <w:pPr>
              <w:spacing w:after="120" w:line="240" w:lineRule="auto"/>
              <w:jc w:val="right"/>
              <w:rPr>
                <w:color w:val="000000"/>
                <w:sz w:val="20"/>
              </w:rPr>
            </w:pPr>
            <w:r w:rsidRPr="005E249D">
              <w:rPr>
                <w:color w:val="000000"/>
                <w:sz w:val="20"/>
              </w:rPr>
              <w:t>8 months</w:t>
            </w:r>
          </w:p>
        </w:tc>
        <w:tc>
          <w:tcPr>
            <w:tcW w:w="1250" w:type="pct"/>
          </w:tcPr>
          <w:p w14:paraId="5CFC289B" w14:textId="5D138D73" w:rsidR="005E249D" w:rsidRPr="005E249D" w:rsidRDefault="005E249D" w:rsidP="005E249D">
            <w:pPr>
              <w:spacing w:after="120" w:line="240" w:lineRule="auto"/>
              <w:jc w:val="right"/>
              <w:rPr>
                <w:color w:val="000000"/>
                <w:sz w:val="20"/>
              </w:rPr>
            </w:pPr>
            <w:r w:rsidRPr="005E249D">
              <w:rPr>
                <w:color w:val="000000"/>
                <w:sz w:val="20"/>
              </w:rPr>
              <w:t>01-05-2024</w:t>
            </w:r>
          </w:p>
        </w:tc>
        <w:tc>
          <w:tcPr>
            <w:tcW w:w="1250" w:type="pct"/>
          </w:tcPr>
          <w:p w14:paraId="50AE976D" w14:textId="52266D43" w:rsidR="005E249D" w:rsidRPr="005E249D" w:rsidRDefault="005E249D" w:rsidP="005E249D">
            <w:pPr>
              <w:spacing w:after="120" w:line="240" w:lineRule="auto"/>
              <w:jc w:val="right"/>
              <w:rPr>
                <w:color w:val="000000"/>
                <w:sz w:val="20"/>
              </w:rPr>
            </w:pPr>
            <w:r w:rsidRPr="005E249D">
              <w:rPr>
                <w:color w:val="000000"/>
                <w:sz w:val="20"/>
              </w:rPr>
              <w:t>31-12-2024</w:t>
            </w:r>
          </w:p>
        </w:tc>
      </w:tr>
    </w:tbl>
    <w:p w14:paraId="1CCF7A85" w14:textId="77777777" w:rsidR="005E249D" w:rsidRDefault="005E249D" w:rsidP="005E249D">
      <w:pPr>
        <w:spacing w:after="120" w:line="240" w:lineRule="auto"/>
        <w:jc w:val="right"/>
        <w:rPr>
          <w:color w:val="4A4A4A"/>
          <w:sz w:val="22"/>
        </w:rPr>
      </w:pPr>
    </w:p>
    <w:p w14:paraId="24F4259C" w14:textId="4553AA03" w:rsidR="005E249D" w:rsidRDefault="005E249D" w:rsidP="005E249D">
      <w:pPr>
        <w:spacing w:after="120" w:line="240" w:lineRule="auto"/>
        <w:jc w:val="center"/>
        <w:rPr>
          <w:rFonts w:asciiTheme="majorHAnsi" w:eastAsiaTheme="majorEastAsia" w:hAnsiTheme="majorHAnsi" w:cstheme="majorBidi"/>
          <w:b/>
          <w:color w:val="2D2D2D"/>
          <w:sz w:val="28"/>
          <w:szCs w:val="40"/>
        </w:rPr>
      </w:pPr>
      <w:r w:rsidRPr="005E249D">
        <w:rPr>
          <w:rFonts w:asciiTheme="majorHAnsi" w:eastAsiaTheme="majorEastAsia" w:hAnsiTheme="majorHAnsi" w:cstheme="majorBidi"/>
          <w:b/>
          <w:color w:val="2D2D2D"/>
          <w:sz w:val="28"/>
          <w:szCs w:val="40"/>
        </w:rPr>
        <w:t>Conclusion</w:t>
      </w:r>
    </w:p>
    <w:p w14:paraId="58F43644" w14:textId="3B0129B1" w:rsidR="005E249D" w:rsidRDefault="005E249D" w:rsidP="005E249D">
      <w:pPr>
        <w:spacing w:after="120" w:line="240" w:lineRule="auto"/>
        <w:jc w:val="center"/>
        <w:rPr>
          <w:color w:val="4A4A4A"/>
          <w:sz w:val="22"/>
        </w:rPr>
      </w:pPr>
      <w:r w:rsidRPr="005E249D">
        <w:rPr>
          <w:color w:val="4A4A4A"/>
          <w:sz w:val="22"/>
        </w:rPr>
        <w:t>This proposal aims to deliver effective development strategies that meet the needs of local communities while enhancing the role of the non-profit sector in achieving sustainable development. We are committed to providing high-quality and impactful consulting services and welcome any inquiries or discussions regarding this proposal. The potential for positive change through this initiative is significant, and we look forward to the opportunity to collaborate in making a meaningful difference in the lives of those we serve.</w:t>
      </w:r>
    </w:p>
    <w:p w14:paraId="24378646" w14:textId="0126E55A" w:rsidR="005E249D" w:rsidRDefault="005E249D" w:rsidP="005E249D">
      <w:pPr>
        <w:spacing w:after="120" w:line="240" w:lineRule="auto"/>
        <w:jc w:val="right"/>
        <w:rPr>
          <w:color w:val="4A4A4A"/>
          <w:sz w:val="22"/>
        </w:rPr>
      </w:pPr>
      <w:r w:rsidRPr="005E249D">
        <w:rPr>
          <w:color w:val="4A4A4A"/>
          <w:sz w:val="22"/>
        </w:rPr>
        <w:t>Opportunity for positive change</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5E249D" w14:paraId="0424115E" w14:textId="77777777" w:rsidTr="005E249D">
        <w:tblPrEx>
          <w:tblCellMar>
            <w:top w:w="0" w:type="dxa"/>
            <w:bottom w:w="0" w:type="dxa"/>
          </w:tblCellMar>
        </w:tblPrEx>
        <w:tc>
          <w:tcPr>
            <w:tcW w:w="2500" w:type="pct"/>
          </w:tcPr>
          <w:p w14:paraId="16DBBC91" w14:textId="381297C4" w:rsidR="005E249D" w:rsidRPr="005E249D" w:rsidRDefault="005E249D" w:rsidP="005E249D">
            <w:pPr>
              <w:spacing w:after="120" w:line="240" w:lineRule="auto"/>
              <w:jc w:val="center"/>
              <w:rPr>
                <w:b/>
                <w:color w:val="000000"/>
                <w:sz w:val="20"/>
              </w:rPr>
            </w:pPr>
            <w:r w:rsidRPr="005E249D">
              <w:rPr>
                <w:b/>
                <w:color w:val="000000"/>
                <w:sz w:val="20"/>
              </w:rPr>
              <w:t>Aspect</w:t>
            </w:r>
          </w:p>
        </w:tc>
        <w:tc>
          <w:tcPr>
            <w:tcW w:w="2500" w:type="pct"/>
          </w:tcPr>
          <w:p w14:paraId="06DDC039" w14:textId="3C550116" w:rsidR="005E249D" w:rsidRPr="005E249D" w:rsidRDefault="005E249D" w:rsidP="005E249D">
            <w:pPr>
              <w:spacing w:after="120" w:line="240" w:lineRule="auto"/>
              <w:jc w:val="center"/>
              <w:rPr>
                <w:b/>
                <w:color w:val="000000"/>
                <w:sz w:val="20"/>
              </w:rPr>
            </w:pPr>
            <w:r w:rsidRPr="005E249D">
              <w:rPr>
                <w:b/>
                <w:color w:val="000000"/>
                <w:sz w:val="20"/>
              </w:rPr>
              <w:t>Details</w:t>
            </w:r>
          </w:p>
        </w:tc>
      </w:tr>
      <w:tr w:rsidR="005E249D" w14:paraId="0A831E81" w14:textId="77777777" w:rsidTr="005E249D">
        <w:tblPrEx>
          <w:tblCellMar>
            <w:top w:w="0" w:type="dxa"/>
            <w:bottom w:w="0" w:type="dxa"/>
          </w:tblCellMar>
        </w:tblPrEx>
        <w:tc>
          <w:tcPr>
            <w:tcW w:w="2500" w:type="pct"/>
          </w:tcPr>
          <w:p w14:paraId="76BB01A3" w14:textId="24177C64" w:rsidR="005E249D" w:rsidRPr="005E249D" w:rsidRDefault="005E249D" w:rsidP="005E249D">
            <w:pPr>
              <w:spacing w:after="120" w:line="240" w:lineRule="auto"/>
              <w:jc w:val="right"/>
              <w:rPr>
                <w:color w:val="000000"/>
                <w:sz w:val="20"/>
              </w:rPr>
            </w:pPr>
            <w:r w:rsidRPr="005E249D">
              <w:rPr>
                <w:color w:val="000000"/>
                <w:sz w:val="20"/>
              </w:rPr>
              <w:t>Commitment</w:t>
            </w:r>
          </w:p>
        </w:tc>
        <w:tc>
          <w:tcPr>
            <w:tcW w:w="2500" w:type="pct"/>
          </w:tcPr>
          <w:p w14:paraId="7F3AB6C8" w14:textId="340BC22C" w:rsidR="005E249D" w:rsidRPr="005E249D" w:rsidRDefault="005E249D" w:rsidP="005E249D">
            <w:pPr>
              <w:spacing w:after="120" w:line="240" w:lineRule="auto"/>
              <w:jc w:val="right"/>
              <w:rPr>
                <w:color w:val="000000"/>
                <w:sz w:val="20"/>
              </w:rPr>
            </w:pPr>
            <w:r w:rsidRPr="005E249D">
              <w:rPr>
                <w:color w:val="000000"/>
                <w:sz w:val="20"/>
              </w:rPr>
              <w:t>High-quality consulting services</w:t>
            </w:r>
          </w:p>
        </w:tc>
      </w:tr>
      <w:tr w:rsidR="005E249D" w14:paraId="5A9AEC78" w14:textId="77777777" w:rsidTr="005E249D">
        <w:tblPrEx>
          <w:tblCellMar>
            <w:top w:w="0" w:type="dxa"/>
            <w:bottom w:w="0" w:type="dxa"/>
          </w:tblCellMar>
        </w:tblPrEx>
        <w:tc>
          <w:tcPr>
            <w:tcW w:w="2500" w:type="pct"/>
          </w:tcPr>
          <w:p w14:paraId="6335FA7A" w14:textId="4224F484" w:rsidR="005E249D" w:rsidRPr="005E249D" w:rsidRDefault="005E249D" w:rsidP="005E249D">
            <w:pPr>
              <w:spacing w:after="120" w:line="240" w:lineRule="auto"/>
              <w:jc w:val="right"/>
              <w:rPr>
                <w:color w:val="000000"/>
                <w:sz w:val="20"/>
              </w:rPr>
            </w:pPr>
            <w:r w:rsidRPr="005E249D">
              <w:rPr>
                <w:color w:val="000000"/>
                <w:sz w:val="20"/>
              </w:rPr>
              <w:t>Focus</w:t>
            </w:r>
          </w:p>
        </w:tc>
        <w:tc>
          <w:tcPr>
            <w:tcW w:w="2500" w:type="pct"/>
          </w:tcPr>
          <w:p w14:paraId="28D6FC54" w14:textId="1EC54053" w:rsidR="005E249D" w:rsidRPr="005E249D" w:rsidRDefault="005E249D" w:rsidP="005E249D">
            <w:pPr>
              <w:spacing w:after="120" w:line="240" w:lineRule="auto"/>
              <w:jc w:val="right"/>
              <w:rPr>
                <w:color w:val="000000"/>
                <w:sz w:val="20"/>
              </w:rPr>
            </w:pPr>
            <w:r w:rsidRPr="005E249D">
              <w:rPr>
                <w:color w:val="000000"/>
                <w:sz w:val="20"/>
              </w:rPr>
              <w:t>Meeting community needs</w:t>
            </w:r>
          </w:p>
        </w:tc>
      </w:tr>
      <w:tr w:rsidR="005E249D" w14:paraId="3829D664" w14:textId="77777777" w:rsidTr="005E249D">
        <w:tblPrEx>
          <w:tblCellMar>
            <w:top w:w="0" w:type="dxa"/>
            <w:bottom w:w="0" w:type="dxa"/>
          </w:tblCellMar>
        </w:tblPrEx>
        <w:tc>
          <w:tcPr>
            <w:tcW w:w="2500" w:type="pct"/>
          </w:tcPr>
          <w:p w14:paraId="046E9C27" w14:textId="104177DD" w:rsidR="005E249D" w:rsidRPr="005E249D" w:rsidRDefault="005E249D" w:rsidP="005E249D">
            <w:pPr>
              <w:spacing w:after="120" w:line="240" w:lineRule="auto"/>
              <w:jc w:val="right"/>
              <w:rPr>
                <w:color w:val="000000"/>
                <w:sz w:val="20"/>
              </w:rPr>
            </w:pPr>
            <w:r w:rsidRPr="005E249D">
              <w:rPr>
                <w:color w:val="000000"/>
                <w:sz w:val="20"/>
              </w:rPr>
              <w:t>Opportunity</w:t>
            </w:r>
          </w:p>
        </w:tc>
        <w:tc>
          <w:tcPr>
            <w:tcW w:w="2500" w:type="pct"/>
          </w:tcPr>
          <w:p w14:paraId="22692E81" w14:textId="3AA0063E" w:rsidR="005E249D" w:rsidRPr="005E249D" w:rsidRDefault="005E249D" w:rsidP="005E249D">
            <w:pPr>
              <w:spacing w:after="120" w:line="240" w:lineRule="auto"/>
              <w:jc w:val="right"/>
              <w:rPr>
                <w:color w:val="000000"/>
                <w:sz w:val="20"/>
              </w:rPr>
            </w:pPr>
            <w:r w:rsidRPr="005E249D">
              <w:rPr>
                <w:color w:val="000000"/>
                <w:sz w:val="20"/>
              </w:rPr>
              <w:t>Significant positive change potential</w:t>
            </w:r>
          </w:p>
        </w:tc>
      </w:tr>
    </w:tbl>
    <w:p w14:paraId="017FC80E" w14:textId="77777777" w:rsidR="005E249D" w:rsidRDefault="005E249D" w:rsidP="005E249D">
      <w:pPr>
        <w:spacing w:after="120" w:line="240" w:lineRule="auto"/>
        <w:jc w:val="right"/>
        <w:rPr>
          <w:color w:val="4A4A4A"/>
          <w:sz w:val="22"/>
        </w:rPr>
      </w:pPr>
    </w:p>
    <w:p w14:paraId="61798C7D" w14:textId="77777777" w:rsidR="005E249D" w:rsidRPr="005E249D" w:rsidRDefault="005E249D" w:rsidP="005E249D">
      <w:pPr>
        <w:spacing w:after="120" w:line="240" w:lineRule="auto"/>
        <w:jc w:val="right"/>
        <w:rPr>
          <w:color w:val="4A4A4A"/>
          <w:sz w:val="22"/>
        </w:rPr>
      </w:pPr>
    </w:p>
    <w:sectPr w:rsidR="005E249D" w:rsidRPr="005E249D" w:rsidSect="005E249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1F97C6" w14:textId="77777777" w:rsidR="005E249D" w:rsidRDefault="005E249D" w:rsidP="005E249D">
      <w:pPr>
        <w:spacing w:after="0" w:line="240" w:lineRule="auto"/>
      </w:pPr>
      <w:r>
        <w:separator/>
      </w:r>
    </w:p>
  </w:endnote>
  <w:endnote w:type="continuationSeparator" w:id="0">
    <w:p w14:paraId="5FDF6FAB" w14:textId="77777777" w:rsidR="005E249D" w:rsidRDefault="005E249D" w:rsidP="005E2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BFF62" w14:textId="77777777" w:rsidR="005E249D" w:rsidRDefault="005E24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5E249D" w14:paraId="23C6EB13" w14:textId="77777777" w:rsidTr="005E249D">
      <w:tblPrEx>
        <w:tblCellMar>
          <w:top w:w="0" w:type="dxa"/>
          <w:bottom w:w="0" w:type="dxa"/>
        </w:tblCellMar>
      </w:tblPrEx>
      <w:tc>
        <w:tcPr>
          <w:tcW w:w="3120" w:type="dxa"/>
        </w:tcPr>
        <w:p w14:paraId="36625A5C" w14:textId="77777777" w:rsidR="005E249D" w:rsidRDefault="005E249D" w:rsidP="005E249D">
          <w:pPr>
            <w:pStyle w:val="Footer"/>
          </w:pPr>
        </w:p>
      </w:tc>
      <w:tc>
        <w:tcPr>
          <w:tcW w:w="3120" w:type="dxa"/>
        </w:tcPr>
        <w:p w14:paraId="76315854" w14:textId="77777777" w:rsidR="005E249D" w:rsidRDefault="005E249D" w:rsidP="005E249D">
          <w:pPr>
            <w:pStyle w:val="Footer"/>
            <w:jc w:val="center"/>
          </w:pPr>
        </w:p>
      </w:tc>
      <w:tc>
        <w:tcPr>
          <w:tcW w:w="3120" w:type="dxa"/>
        </w:tcPr>
        <w:p w14:paraId="5E1697B5" w14:textId="77777777" w:rsidR="005E249D" w:rsidRDefault="005E249D" w:rsidP="005E249D">
          <w:pPr>
            <w:pStyle w:val="Footer"/>
            <w:jc w:val="right"/>
          </w:pPr>
        </w:p>
      </w:tc>
    </w:tr>
  </w:tbl>
  <w:p w14:paraId="29DBE945" w14:textId="77777777" w:rsidR="005E249D" w:rsidRDefault="005E249D" w:rsidP="005E249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606A5" w14:textId="77777777" w:rsidR="005E249D" w:rsidRDefault="005E24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44C86" w14:textId="77777777" w:rsidR="005E249D" w:rsidRDefault="005E249D" w:rsidP="005E249D">
      <w:pPr>
        <w:spacing w:after="0" w:line="240" w:lineRule="auto"/>
      </w:pPr>
      <w:r>
        <w:separator/>
      </w:r>
    </w:p>
  </w:footnote>
  <w:footnote w:type="continuationSeparator" w:id="0">
    <w:p w14:paraId="0FE3F215" w14:textId="77777777" w:rsidR="005E249D" w:rsidRDefault="005E249D" w:rsidP="005E24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486A5" w14:textId="77777777" w:rsidR="005E249D" w:rsidRDefault="005E24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5E249D" w14:paraId="208DC2E3" w14:textId="77777777" w:rsidTr="005E249D">
      <w:tblPrEx>
        <w:tblCellMar>
          <w:top w:w="0" w:type="dxa"/>
          <w:bottom w:w="0" w:type="dxa"/>
        </w:tblCellMar>
      </w:tblPrEx>
      <w:tc>
        <w:tcPr>
          <w:tcW w:w="4680" w:type="dxa"/>
        </w:tcPr>
        <w:p w14:paraId="665C52B5" w14:textId="77777777" w:rsidR="005E249D" w:rsidRPr="005E249D" w:rsidRDefault="005E249D" w:rsidP="005E249D">
          <w:pPr>
            <w:pStyle w:val="Header"/>
            <w:rPr>
              <w:b/>
              <w:sz w:val="28"/>
            </w:rPr>
          </w:pPr>
        </w:p>
      </w:tc>
      <w:tc>
        <w:tcPr>
          <w:tcW w:w="4680" w:type="dxa"/>
        </w:tcPr>
        <w:p w14:paraId="7EDDDDAA" w14:textId="797A4951" w:rsidR="005E249D" w:rsidRDefault="005E249D" w:rsidP="005E249D">
          <w:pPr>
            <w:pStyle w:val="Header"/>
            <w:jc w:val="right"/>
          </w:pPr>
          <w:r>
            <w:t xml:space="preserve"> </w:t>
          </w:r>
        </w:p>
      </w:tc>
    </w:tr>
  </w:tbl>
  <w:p w14:paraId="762D134C" w14:textId="77777777" w:rsidR="005E249D" w:rsidRDefault="005E249D" w:rsidP="005E249D">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40C86" w14:textId="77777777" w:rsidR="005E249D" w:rsidRDefault="005E24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9D"/>
    <w:rsid w:val="004B56D6"/>
    <w:rsid w:val="005E249D"/>
    <w:rsid w:val="007016E6"/>
    <w:rsid w:val="00D36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6D369"/>
  <w15:chartTrackingRefBased/>
  <w15:docId w15:val="{D0A6EB9B-441F-4C5F-8F51-8E278A81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2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2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2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2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49D"/>
    <w:rPr>
      <w:rFonts w:eastAsiaTheme="majorEastAsia" w:cstheme="majorBidi"/>
      <w:color w:val="272727" w:themeColor="text1" w:themeTint="D8"/>
    </w:rPr>
  </w:style>
  <w:style w:type="paragraph" w:styleId="Title">
    <w:name w:val="Title"/>
    <w:basedOn w:val="Normal"/>
    <w:next w:val="Normal"/>
    <w:link w:val="TitleChar"/>
    <w:uiPriority w:val="10"/>
    <w:qFormat/>
    <w:rsid w:val="005E2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49D"/>
    <w:pPr>
      <w:spacing w:before="160"/>
      <w:jc w:val="center"/>
    </w:pPr>
    <w:rPr>
      <w:i/>
      <w:iCs/>
      <w:color w:val="404040" w:themeColor="text1" w:themeTint="BF"/>
    </w:rPr>
  </w:style>
  <w:style w:type="character" w:customStyle="1" w:styleId="QuoteChar">
    <w:name w:val="Quote Char"/>
    <w:basedOn w:val="DefaultParagraphFont"/>
    <w:link w:val="Quote"/>
    <w:uiPriority w:val="29"/>
    <w:rsid w:val="005E249D"/>
    <w:rPr>
      <w:i/>
      <w:iCs/>
      <w:color w:val="404040" w:themeColor="text1" w:themeTint="BF"/>
    </w:rPr>
  </w:style>
  <w:style w:type="paragraph" w:styleId="ListParagraph">
    <w:name w:val="List Paragraph"/>
    <w:basedOn w:val="Normal"/>
    <w:uiPriority w:val="34"/>
    <w:qFormat/>
    <w:rsid w:val="005E249D"/>
    <w:pPr>
      <w:ind w:left="720"/>
      <w:contextualSpacing/>
    </w:pPr>
  </w:style>
  <w:style w:type="character" w:styleId="IntenseEmphasis">
    <w:name w:val="Intense Emphasis"/>
    <w:basedOn w:val="DefaultParagraphFont"/>
    <w:uiPriority w:val="21"/>
    <w:qFormat/>
    <w:rsid w:val="005E249D"/>
    <w:rPr>
      <w:i/>
      <w:iCs/>
      <w:color w:val="0F4761" w:themeColor="accent1" w:themeShade="BF"/>
    </w:rPr>
  </w:style>
  <w:style w:type="paragraph" w:styleId="IntenseQuote">
    <w:name w:val="Intense Quote"/>
    <w:basedOn w:val="Normal"/>
    <w:next w:val="Normal"/>
    <w:link w:val="IntenseQuoteChar"/>
    <w:uiPriority w:val="30"/>
    <w:qFormat/>
    <w:rsid w:val="005E2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49D"/>
    <w:rPr>
      <w:i/>
      <w:iCs/>
      <w:color w:val="0F4761" w:themeColor="accent1" w:themeShade="BF"/>
    </w:rPr>
  </w:style>
  <w:style w:type="character" w:styleId="IntenseReference">
    <w:name w:val="Intense Reference"/>
    <w:basedOn w:val="DefaultParagraphFont"/>
    <w:uiPriority w:val="32"/>
    <w:qFormat/>
    <w:rsid w:val="005E249D"/>
    <w:rPr>
      <w:b/>
      <w:bCs/>
      <w:smallCaps/>
      <w:color w:val="0F4761" w:themeColor="accent1" w:themeShade="BF"/>
      <w:spacing w:val="5"/>
    </w:rPr>
  </w:style>
  <w:style w:type="paragraph" w:styleId="Header">
    <w:name w:val="header"/>
    <w:basedOn w:val="Normal"/>
    <w:link w:val="HeaderChar"/>
    <w:uiPriority w:val="99"/>
    <w:unhideWhenUsed/>
    <w:rsid w:val="005E2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49D"/>
  </w:style>
  <w:style w:type="paragraph" w:styleId="Footer">
    <w:name w:val="footer"/>
    <w:basedOn w:val="Normal"/>
    <w:link w:val="FooterChar"/>
    <w:uiPriority w:val="99"/>
    <w:unhideWhenUsed/>
    <w:rsid w:val="005E2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1504</Words>
  <Characters>8573</Characters>
  <Application>Microsoft Office Word</Application>
  <DocSecurity>0</DocSecurity>
  <Lines>71</Lines>
  <Paragraphs>20</Paragraphs>
  <ScaleCrop>false</ScaleCrop>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2025-09-18T08:04:00Z</dcterms:created>
  <dcterms:modified xsi:type="dcterms:W3CDTF">2025-09-18T08:04:00Z</dcterms:modified>
</cp:coreProperties>
</file>