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1916E">
      <w:pPr>
        <w:rPr>
          <w:rFonts w:hint="cs"/>
          <w:lang w:bidi="ar-SA"/>
        </w:rPr>
      </w:pPr>
      <w:bookmarkStart w:id="0" w:name="_GoBack"/>
      <w:bookmarkEnd w:id="0"/>
    </w:p>
    <w:p w14:paraId="1F9A7743">
      <w:pPr>
        <w:pStyle w:val="7"/>
        <w:bidi w:val="0"/>
        <w:spacing w:before="0" w:after="120" w:line="240" w:lineRule="auto"/>
        <w:jc w:val="right"/>
        <w:rPr>
          <w:rFonts w:hint="default"/>
          <w:b/>
          <w:color w:val="000000"/>
          <w:sz w:val="32"/>
          <w:lang w:val="en-IN" w:bidi="ar-SA"/>
        </w:rPr>
      </w:pPr>
      <w:r>
        <w:rPr>
          <w:rFonts w:hint="default"/>
          <w:b/>
          <w:color w:val="000000"/>
          <w:sz w:val="32"/>
          <w:lang w:val="en-IN" w:bidi="ar-SA"/>
        </w:rPr>
        <w:t>مقترح احترافي لتطوير استراتيجية استثمار اجتماعي مع إعداد: شركة تحفيز الاستشارات</w:t>
      </w:r>
    </w:p>
    <w:p w14:paraId="28B5FBAC">
      <w:pPr>
        <w:pStyle w:val="7"/>
        <w:bidi w:val="0"/>
        <w:spacing w:before="0" w:after="120" w:line="240" w:lineRule="auto"/>
        <w:jc w:val="right"/>
        <w:rPr>
          <w:rFonts w:hint="default"/>
          <w:b/>
          <w:color w:val="000000"/>
          <w:sz w:val="32"/>
          <w:lang w:val="en-IN" w:bidi="ar-SA"/>
        </w:rPr>
      </w:pPr>
    </w:p>
    <w:p w14:paraId="3529590E">
      <w:pPr>
        <w:pStyle w:val="2"/>
        <w:bidi w:val="0"/>
        <w:spacing w:before="0" w:after="120" w:line="240" w:lineRule="auto"/>
        <w:jc w:val="right"/>
        <w:rPr>
          <w:rFonts w:hint="default"/>
          <w:b/>
          <w:color w:val="000000"/>
          <w:sz w:val="28"/>
          <w:lang w:val="en-IN" w:bidi="ar-SA"/>
        </w:rPr>
      </w:pPr>
      <w:r>
        <w:rPr>
          <w:rFonts w:hint="default"/>
          <w:b/>
          <w:color w:val="000000"/>
          <w:sz w:val="28"/>
          <w:lang w:val="en-IN" w:bidi="ar-SA"/>
        </w:rPr>
        <w:t>الملخص التنفيذي</w:t>
      </w:r>
    </w:p>
    <w:p w14:paraId="1FC344F1">
      <w:pPr>
        <w:rPr>
          <w:rFonts w:hint="default"/>
          <w:lang w:val="en-IN"/>
        </w:rPr>
      </w:pPr>
    </w:p>
    <w:p w14:paraId="6563D7D7">
      <w:pPr>
        <w:bidi w:val="0"/>
        <w:spacing w:after="120" w:line="240" w:lineRule="auto"/>
        <w:jc w:val="right"/>
        <w:rPr>
          <w:rFonts w:hint="default"/>
          <w:b w:val="0"/>
          <w:color w:val="000000"/>
          <w:sz w:val="22"/>
          <w:lang w:val="en-IN"/>
        </w:rPr>
      </w:pPr>
      <w:r>
        <w:rPr>
          <w:rFonts w:hint="default"/>
          <w:b w:val="0"/>
          <w:color w:val="000000"/>
          <w:sz w:val="22"/>
          <w:lang w:val="en-IN"/>
        </w:rPr>
        <w:t>يهدف هذا المقترح إلى تقديم خطة شاملة لتطوير استراتيجية استثمار اجتماعي تُعزز من الدور المجتمعي وتحقق أهداف التنمية المستدامة. سنقوم بدمج منهجيات متقدمة تضمن تحقيق نتائج ملموسة وقابلة للقياس, مع التركيز على الشراكة الفعالة مع الجهات المختلفة.</w:t>
      </w:r>
    </w:p>
    <w:p w14:paraId="2B0B1B4E">
      <w:pPr>
        <w:bidi w:val="0"/>
        <w:spacing w:after="120" w:line="240" w:lineRule="auto"/>
        <w:jc w:val="right"/>
        <w:rPr>
          <w:rFonts w:hint="default"/>
          <w:b w:val="0"/>
          <w:color w:val="000000"/>
          <w:sz w:val="22"/>
          <w:lang w:val="en-IN"/>
        </w:rPr>
      </w:pPr>
    </w:p>
    <w:p w14:paraId="6CE6BFE4">
      <w:pPr>
        <w:pStyle w:val="2"/>
        <w:bidi w:val="0"/>
        <w:spacing w:before="0" w:after="120" w:line="240" w:lineRule="auto"/>
        <w:jc w:val="right"/>
        <w:rPr>
          <w:rFonts w:hint="default"/>
          <w:b/>
          <w:color w:val="000000"/>
          <w:sz w:val="28"/>
          <w:lang w:val="en-IN"/>
        </w:rPr>
      </w:pPr>
      <w:r>
        <w:rPr>
          <w:rFonts w:hint="default"/>
          <w:b/>
          <w:color w:val="000000"/>
          <w:sz w:val="28"/>
          <w:lang w:val="en-IN"/>
        </w:rPr>
        <w:t>التعريف بالشركة</w:t>
      </w:r>
    </w:p>
    <w:p w14:paraId="28197A21">
      <w:pPr>
        <w:rPr>
          <w:rFonts w:hint="default"/>
          <w:lang w:val="en-IN"/>
        </w:rPr>
      </w:pPr>
    </w:p>
    <w:p w14:paraId="2D89EE30">
      <w:pPr>
        <w:bidi w:val="0"/>
        <w:spacing w:after="120" w:line="240" w:lineRule="auto"/>
        <w:jc w:val="right"/>
        <w:rPr>
          <w:rFonts w:hint="default"/>
          <w:b w:val="0"/>
          <w:color w:val="000000"/>
          <w:sz w:val="22"/>
          <w:lang w:val="en-IN"/>
        </w:rPr>
      </w:pPr>
      <w:r>
        <w:rPr>
          <w:rFonts w:hint="default"/>
          <w:b w:val="0"/>
          <w:color w:val="000000"/>
          <w:sz w:val="22"/>
          <w:lang w:val="en-IN"/>
        </w:rPr>
        <w:t>شركة تحفيز الاستشارات هي شركة رائدة في تقديم الخدمات الاستشارية والتحليلية في مجالات التنمية الاجتماعية والاستثمار. تأسست الشركة بهدف تحسين جودة الحياة في المجتمعات المحلية من خلال إدخال نماذج استثمار اجتماعي مبتكرة.</w:t>
      </w:r>
    </w:p>
    <w:p w14:paraId="3DF5E3C8">
      <w:pPr>
        <w:bidi w:val="0"/>
        <w:spacing w:after="120" w:line="240" w:lineRule="auto"/>
        <w:jc w:val="right"/>
        <w:rPr>
          <w:rFonts w:hint="default"/>
          <w:b w:val="0"/>
          <w:color w:val="000000"/>
          <w:sz w:val="22"/>
          <w:lang w:val="en-IN"/>
        </w:rPr>
      </w:pPr>
    </w:p>
    <w:p w14:paraId="6F50D50C">
      <w:pPr>
        <w:pStyle w:val="2"/>
        <w:bidi w:val="0"/>
        <w:spacing w:before="0" w:after="120" w:line="240" w:lineRule="auto"/>
        <w:jc w:val="right"/>
        <w:rPr>
          <w:rFonts w:hint="default"/>
          <w:b/>
          <w:color w:val="000000"/>
          <w:sz w:val="28"/>
          <w:lang w:val="en-IN"/>
        </w:rPr>
      </w:pPr>
      <w:r>
        <w:rPr>
          <w:rFonts w:hint="default"/>
          <w:b/>
          <w:color w:val="000000"/>
          <w:sz w:val="28"/>
          <w:lang w:val="en-IN"/>
        </w:rPr>
        <w:t>فهم كراسة الشروط والأهداف</w:t>
      </w:r>
    </w:p>
    <w:p w14:paraId="27F8DAD1">
      <w:pPr>
        <w:rPr>
          <w:rFonts w:hint="default"/>
          <w:lang w:val="en-IN"/>
        </w:rPr>
      </w:pPr>
    </w:p>
    <w:p w14:paraId="35F6536E">
      <w:pPr>
        <w:bidi w:val="0"/>
        <w:spacing w:after="120" w:line="240" w:lineRule="auto"/>
        <w:jc w:val="right"/>
        <w:rPr>
          <w:rFonts w:hint="default"/>
          <w:b w:val="0"/>
          <w:color w:val="000000"/>
          <w:sz w:val="22"/>
          <w:lang w:val="en-IN"/>
        </w:rPr>
      </w:pPr>
      <w:r>
        <w:rPr>
          <w:rFonts w:hint="default"/>
          <w:b w:val="0"/>
          <w:color w:val="000000"/>
          <w:sz w:val="22"/>
          <w:lang w:val="en-IN"/>
        </w:rPr>
        <w:t>تتضمن كراسة الشروط أهدافًا واضحة لتحسين التجربة الاجتماعية لمستفيدي ضيوف الرحمن وتعزيز الاستثمار الاجتماعي. تهدف إلى تحقيق فوائد اقتصادية واجتماعية مستدامة تواكب المبادرات الحكومية.</w:t>
      </w:r>
    </w:p>
    <w:p w14:paraId="43E669FC">
      <w:pPr>
        <w:bidi w:val="0"/>
        <w:spacing w:after="120" w:line="240" w:lineRule="auto"/>
        <w:jc w:val="right"/>
        <w:rPr>
          <w:rFonts w:hint="default"/>
          <w:b w:val="0"/>
          <w:color w:val="000000"/>
          <w:sz w:val="22"/>
          <w:lang w:val="en-IN"/>
        </w:rPr>
      </w:pPr>
    </w:p>
    <w:p w14:paraId="5351C5BD">
      <w:pPr>
        <w:pStyle w:val="2"/>
        <w:bidi w:val="0"/>
        <w:spacing w:before="0" w:after="120" w:line="240" w:lineRule="auto"/>
        <w:jc w:val="right"/>
        <w:rPr>
          <w:rFonts w:hint="default"/>
          <w:b/>
          <w:color w:val="000000"/>
          <w:sz w:val="28"/>
          <w:lang w:val="en-IN"/>
        </w:rPr>
      </w:pPr>
      <w:r>
        <w:rPr>
          <w:rFonts w:hint="default"/>
          <w:b/>
          <w:color w:val="000000"/>
          <w:sz w:val="28"/>
          <w:lang w:val="en-IN"/>
        </w:rPr>
        <w:t>المنهجية الفنية ومنهجية التنفيذ</w:t>
      </w:r>
    </w:p>
    <w:p w14:paraId="2B4E88CF">
      <w:pPr>
        <w:rPr>
          <w:rFonts w:hint="default"/>
          <w:lang w:val="en-IN"/>
        </w:rPr>
      </w:pPr>
    </w:p>
    <w:p w14:paraId="596A858D">
      <w:pPr>
        <w:bidi w:val="0"/>
        <w:spacing w:after="120" w:line="240" w:lineRule="auto"/>
        <w:jc w:val="right"/>
        <w:rPr>
          <w:rFonts w:hint="default"/>
          <w:b w:val="0"/>
          <w:color w:val="000000"/>
          <w:sz w:val="22"/>
          <w:lang w:val="en-IN"/>
        </w:rPr>
      </w:pPr>
      <w:r>
        <w:rPr>
          <w:rFonts w:hint="default"/>
          <w:b w:val="0"/>
          <w:color w:val="000000"/>
          <w:sz w:val="22"/>
          <w:lang w:val="en-IN"/>
        </w:rPr>
        <w:t>تتبع منهجيتنا الفنية عددًا من المراحل التي تشمل الفحص المبدئي, والتخطيط الاستراتيجي, والتنفيذ والتقييم. تهدف كل مرحلة إلى تحقيق نتائج متكاملة تنعكس على التجربة الإجمالية للمستفيدين.</w:t>
      </w:r>
    </w:p>
    <w:p w14:paraId="7D6DCB1C">
      <w:pPr>
        <w:bidi w:val="0"/>
        <w:spacing w:after="120" w:line="240" w:lineRule="auto"/>
        <w:jc w:val="right"/>
        <w:rPr>
          <w:rFonts w:hint="default"/>
          <w:b w:val="0"/>
          <w:color w:val="000000"/>
          <w:sz w:val="22"/>
          <w:lang w:val="en-IN"/>
        </w:rPr>
      </w:pPr>
    </w:p>
    <w:p w14:paraId="50A13470">
      <w:pPr>
        <w:pStyle w:val="5"/>
        <w:bidi w:val="0"/>
        <w:spacing w:after="120" w:line="240" w:lineRule="auto"/>
        <w:jc w:val="right"/>
        <w:rPr>
          <w:rFonts w:hint="default"/>
          <w:b w:val="0"/>
          <w:color w:val="000000"/>
          <w:sz w:val="22"/>
          <w:lang w:val="en-IN"/>
        </w:rPr>
      </w:pPr>
      <w:r>
        <w:rPr>
          <w:rFonts w:hint="default"/>
          <w:b w:val="0"/>
          <w:color w:val="000000"/>
          <w:sz w:val="22"/>
          <w:lang w:val="en-IN"/>
        </w:rPr>
        <w:t>فحص مبدئي شامل</w:t>
      </w:r>
    </w:p>
    <w:p w14:paraId="588A0323">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6B017ECA">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تخطيط استراتيجي مفصل</w:t>
      </w:r>
    </w:p>
    <w:p w14:paraId="082098A8">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0BB141FA">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تنفيذ مرحلي مع تقييم مستمر</w:t>
      </w:r>
    </w:p>
    <w:p w14:paraId="48B862FA">
      <w:pPr>
        <w:pStyle w:val="5"/>
        <w:numPr>
          <w:numId w:val="0"/>
        </w:numPr>
        <w:tabs>
          <w:tab w:val="clear" w:pos="360"/>
        </w:tabs>
        <w:bidi w:val="0"/>
        <w:spacing w:after="120" w:line="240" w:lineRule="auto"/>
        <w:ind w:left="360" w:hanging="360"/>
        <w:jc w:val="right"/>
        <w:rPr>
          <w:rFonts w:hint="default"/>
          <w:b w:val="0"/>
          <w:color w:val="000000"/>
          <w:sz w:val="22"/>
          <w:lang w:val="en-IN"/>
        </w:rPr>
      </w:pPr>
    </w:p>
    <w:tbl>
      <w:tblPr>
        <w:tblStyle w:val="6"/>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8C01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089B70A">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المرحلة</w:t>
            </w:r>
          </w:p>
        </w:tc>
        <w:tc>
          <w:tcPr>
            <w:tcW w:w="1667" w:type="pct"/>
          </w:tcPr>
          <w:p w14:paraId="07223C79">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التفاصيل</w:t>
            </w:r>
          </w:p>
        </w:tc>
        <w:tc>
          <w:tcPr>
            <w:tcW w:w="1667" w:type="pct"/>
          </w:tcPr>
          <w:p w14:paraId="280EE434">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المدة الزمنية</w:t>
            </w:r>
          </w:p>
        </w:tc>
      </w:tr>
      <w:tr w14:paraId="3391A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2D1DF1B">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فحص مبدئي</w:t>
            </w:r>
          </w:p>
        </w:tc>
        <w:tc>
          <w:tcPr>
            <w:tcW w:w="1667" w:type="pct"/>
          </w:tcPr>
          <w:p w14:paraId="5FAC0133">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جمع وتحليل بيانات الوضع الحالي</w:t>
            </w:r>
          </w:p>
        </w:tc>
        <w:tc>
          <w:tcPr>
            <w:tcW w:w="1667" w:type="pct"/>
          </w:tcPr>
          <w:p w14:paraId="0C4ADD43">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w:t>
            </w:r>
          </w:p>
        </w:tc>
      </w:tr>
      <w:tr w14:paraId="57A389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B3A971">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تخطيط استراتيجي</w:t>
            </w:r>
          </w:p>
        </w:tc>
        <w:tc>
          <w:tcPr>
            <w:tcW w:w="1667" w:type="pct"/>
          </w:tcPr>
          <w:p w14:paraId="6FC668E8">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تطوير وتحليل استراتيجيات جديدة</w:t>
            </w:r>
          </w:p>
        </w:tc>
        <w:tc>
          <w:tcPr>
            <w:tcW w:w="1667" w:type="pct"/>
          </w:tcPr>
          <w:p w14:paraId="016F074C">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شهرين</w:t>
            </w:r>
          </w:p>
        </w:tc>
      </w:tr>
      <w:tr w14:paraId="131FCD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12C202D">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تنفيذ</w:t>
            </w:r>
          </w:p>
        </w:tc>
        <w:tc>
          <w:tcPr>
            <w:tcW w:w="1667" w:type="pct"/>
          </w:tcPr>
          <w:p w14:paraId="09F61573">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تطبيق الاستراتيجيات المعتمدة</w:t>
            </w:r>
          </w:p>
        </w:tc>
        <w:tc>
          <w:tcPr>
            <w:tcW w:w="1667" w:type="pct"/>
          </w:tcPr>
          <w:p w14:paraId="1F995B46">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6 شهور</w:t>
            </w:r>
          </w:p>
        </w:tc>
      </w:tr>
    </w:tbl>
    <w:p w14:paraId="35FEE06D">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3124A6FF">
      <w:pPr>
        <w:pStyle w:val="2"/>
        <w:numPr>
          <w:numId w:val="0"/>
        </w:numPr>
        <w:bidi w:val="0"/>
        <w:spacing w:before="0" w:after="120" w:line="240" w:lineRule="auto"/>
        <w:ind w:left="360" w:hanging="360"/>
        <w:jc w:val="right"/>
        <w:rPr>
          <w:rFonts w:hint="default"/>
          <w:b/>
          <w:color w:val="000000"/>
          <w:sz w:val="28"/>
          <w:lang w:val="en-IN"/>
        </w:rPr>
      </w:pPr>
      <w:r>
        <w:rPr>
          <w:rFonts w:hint="default"/>
          <w:b/>
          <w:color w:val="000000"/>
          <w:sz w:val="28"/>
          <w:lang w:val="en-IN"/>
        </w:rPr>
        <w:t>هندسة المشروع</w:t>
      </w:r>
    </w:p>
    <w:p w14:paraId="5FD2F330">
      <w:pPr>
        <w:rPr>
          <w:rFonts w:hint="default"/>
          <w:lang w:val="en-IN"/>
        </w:rPr>
      </w:pPr>
    </w:p>
    <w:p w14:paraId="1BF47FA8">
      <w:pPr>
        <w:bidi w:val="0"/>
        <w:spacing w:after="120" w:line="240" w:lineRule="auto"/>
        <w:jc w:val="right"/>
        <w:rPr>
          <w:rFonts w:hint="default"/>
          <w:b w:val="0"/>
          <w:color w:val="000000"/>
          <w:sz w:val="22"/>
          <w:lang w:val="en-IN"/>
        </w:rPr>
      </w:pPr>
      <w:r>
        <w:rPr>
          <w:rFonts w:hint="default"/>
          <w:b w:val="0"/>
          <w:color w:val="000000"/>
          <w:sz w:val="22"/>
          <w:lang w:val="en-IN"/>
        </w:rPr>
        <w:t>المشروع يتكون من عدة مكونات رئيسية تشمل منصة التواصل مع المستفيدين, ونظام إدارة البيانات, وقاعدة بيانات مركزية تدعم تبادل المعلومات بشكل فعال.</w:t>
      </w:r>
    </w:p>
    <w:p w14:paraId="49EB532C">
      <w:pPr>
        <w:bidi w:val="0"/>
        <w:spacing w:after="120" w:line="240" w:lineRule="auto"/>
        <w:jc w:val="right"/>
        <w:rPr>
          <w:rFonts w:hint="default"/>
          <w:b w:val="0"/>
          <w:color w:val="000000"/>
          <w:sz w:val="22"/>
          <w:lang w:val="en-IN"/>
        </w:rPr>
      </w:pPr>
    </w:p>
    <w:p w14:paraId="6FF27FDD">
      <w:pPr>
        <w:pStyle w:val="5"/>
        <w:bidi w:val="0"/>
        <w:spacing w:after="120" w:line="240" w:lineRule="auto"/>
        <w:jc w:val="right"/>
        <w:rPr>
          <w:rFonts w:hint="default"/>
          <w:b w:val="0"/>
          <w:color w:val="000000"/>
          <w:sz w:val="22"/>
          <w:lang w:val="en-IN"/>
        </w:rPr>
      </w:pPr>
      <w:r>
        <w:rPr>
          <w:rFonts w:hint="default"/>
          <w:b w:val="0"/>
          <w:color w:val="000000"/>
          <w:sz w:val="22"/>
          <w:lang w:val="en-IN"/>
        </w:rPr>
        <w:t>منصة تفاعلية للمستفيدين</w:t>
      </w:r>
    </w:p>
    <w:p w14:paraId="343D70F0">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5F4FFE65">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نظام إدارة الدفاع</w:t>
      </w:r>
    </w:p>
    <w:p w14:paraId="49F80155">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0A65B8FE">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قاعدة بيانات مركزية</w:t>
      </w:r>
    </w:p>
    <w:p w14:paraId="798CDA71">
      <w:pPr>
        <w:pStyle w:val="5"/>
        <w:numPr>
          <w:numId w:val="0"/>
        </w:numPr>
        <w:tabs>
          <w:tab w:val="clear" w:pos="360"/>
        </w:tabs>
        <w:bidi w:val="0"/>
        <w:spacing w:after="120" w:line="240" w:lineRule="auto"/>
        <w:ind w:left="360" w:hanging="360"/>
        <w:jc w:val="right"/>
        <w:rPr>
          <w:rFonts w:hint="default"/>
          <w:b w:val="0"/>
          <w:color w:val="000000"/>
          <w:sz w:val="22"/>
          <w:lang w:val="en-IN"/>
        </w:rPr>
      </w:pP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EFB39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482EE64">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المكون</w:t>
            </w:r>
          </w:p>
        </w:tc>
        <w:tc>
          <w:tcPr>
            <w:tcW w:w="2500" w:type="pct"/>
          </w:tcPr>
          <w:p w14:paraId="366FD068">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الوظيفة</w:t>
            </w:r>
          </w:p>
        </w:tc>
      </w:tr>
      <w:tr w14:paraId="2ABDE2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0897CA0">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منصة تفاعلية</w:t>
            </w:r>
          </w:p>
        </w:tc>
        <w:tc>
          <w:tcPr>
            <w:tcW w:w="2500" w:type="pct"/>
          </w:tcPr>
          <w:p w14:paraId="70AD077F">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تسهل التواصل وتحسين التجارب</w:t>
            </w:r>
          </w:p>
        </w:tc>
      </w:tr>
      <w:tr w14:paraId="1ACEB7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4606E7D">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نظام إدارة البيانات</w:t>
            </w:r>
          </w:p>
        </w:tc>
        <w:tc>
          <w:tcPr>
            <w:tcW w:w="2500" w:type="pct"/>
          </w:tcPr>
          <w:p w14:paraId="704CC651">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يتحكم في تدفق البيانات ويعزز التكامل</w:t>
            </w:r>
          </w:p>
        </w:tc>
      </w:tr>
      <w:tr w14:paraId="695BA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D2FEA26">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قاعدة بيانات مركزية</w:t>
            </w:r>
          </w:p>
        </w:tc>
        <w:tc>
          <w:tcPr>
            <w:tcW w:w="2500" w:type="pct"/>
          </w:tcPr>
          <w:p w14:paraId="10F6C641">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تجمع البيانات وتعزز من سرعة الاستجابة</w:t>
            </w:r>
          </w:p>
        </w:tc>
      </w:tr>
    </w:tbl>
    <w:p w14:paraId="34591E4F">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2E633D82">
      <w:pPr>
        <w:pStyle w:val="2"/>
        <w:numPr>
          <w:numId w:val="0"/>
        </w:numPr>
        <w:bidi w:val="0"/>
        <w:spacing w:before="0" w:after="120" w:line="240" w:lineRule="auto"/>
        <w:ind w:left="360" w:hanging="360"/>
        <w:jc w:val="right"/>
        <w:rPr>
          <w:rFonts w:hint="default"/>
          <w:b/>
          <w:color w:val="000000"/>
          <w:sz w:val="28"/>
          <w:lang w:val="en-IN"/>
        </w:rPr>
      </w:pPr>
      <w:r>
        <w:rPr>
          <w:rFonts w:hint="default"/>
          <w:b/>
          <w:color w:val="000000"/>
          <w:sz w:val="28"/>
          <w:lang w:val="en-IN"/>
        </w:rPr>
        <w:t>الخبرة ذات الصلة والأدلة المرجعية</w:t>
      </w:r>
    </w:p>
    <w:p w14:paraId="59AE9C5D">
      <w:pPr>
        <w:rPr>
          <w:rFonts w:hint="default"/>
          <w:lang w:val="en-IN"/>
        </w:rPr>
      </w:pPr>
    </w:p>
    <w:p w14:paraId="7192B340">
      <w:pPr>
        <w:bidi w:val="0"/>
        <w:spacing w:after="120" w:line="240" w:lineRule="auto"/>
        <w:jc w:val="right"/>
        <w:rPr>
          <w:rFonts w:hint="default"/>
          <w:b w:val="0"/>
          <w:color w:val="000000"/>
          <w:sz w:val="22"/>
          <w:lang w:val="en-IN"/>
        </w:rPr>
      </w:pPr>
      <w:r>
        <w:rPr>
          <w:rFonts w:hint="default"/>
          <w:b w:val="0"/>
          <w:color w:val="000000"/>
          <w:sz w:val="22"/>
          <w:lang w:val="en-IN"/>
        </w:rPr>
        <w:t>تمتلك شركة تحفيز الاستشارات خبرة موسعة في المشاريع المشابهة, بما في ذلك تنفيذ استراتيجيات التنمية لمعظم الجهات الحكومية والخاصة. خدماتنا كانت موجهة نحو تحقيق أثر اجتماعي واقتصادي ملموس.</w:t>
      </w:r>
    </w:p>
    <w:p w14:paraId="48114C66">
      <w:pPr>
        <w:bidi w:val="0"/>
        <w:spacing w:after="120" w:line="240" w:lineRule="auto"/>
        <w:jc w:val="right"/>
        <w:rPr>
          <w:rFonts w:hint="default"/>
          <w:b w:val="0"/>
          <w:color w:val="000000"/>
          <w:sz w:val="22"/>
          <w:lang w:val="en-IN"/>
        </w:rPr>
      </w:pPr>
    </w:p>
    <w:p w14:paraId="1C121799">
      <w:pPr>
        <w:pStyle w:val="2"/>
        <w:bidi w:val="0"/>
        <w:spacing w:before="0" w:after="120" w:line="240" w:lineRule="auto"/>
        <w:jc w:val="right"/>
        <w:rPr>
          <w:rFonts w:hint="default"/>
          <w:b/>
          <w:color w:val="000000"/>
          <w:sz w:val="28"/>
          <w:lang w:val="en-IN"/>
        </w:rPr>
      </w:pPr>
      <w:r>
        <w:rPr>
          <w:rFonts w:hint="default"/>
          <w:b/>
          <w:color w:val="000000"/>
          <w:sz w:val="28"/>
          <w:lang w:val="en-IN"/>
        </w:rPr>
        <w:t>فريق العمل والأدوار</w:t>
      </w:r>
    </w:p>
    <w:p w14:paraId="1C74221E">
      <w:pPr>
        <w:rPr>
          <w:rFonts w:hint="default"/>
          <w:lang w:val="en-IN"/>
        </w:rPr>
      </w:pPr>
    </w:p>
    <w:p w14:paraId="402D4B55">
      <w:pPr>
        <w:bidi w:val="0"/>
        <w:spacing w:after="120" w:line="240" w:lineRule="auto"/>
        <w:jc w:val="right"/>
        <w:rPr>
          <w:rFonts w:hint="default"/>
          <w:b w:val="0"/>
          <w:color w:val="000000"/>
          <w:sz w:val="22"/>
          <w:lang w:val="en-IN"/>
        </w:rPr>
      </w:pPr>
      <w:r>
        <w:rPr>
          <w:rFonts w:hint="default"/>
          <w:b w:val="0"/>
          <w:color w:val="000000"/>
          <w:sz w:val="22"/>
          <w:lang w:val="en-IN"/>
        </w:rPr>
        <w:t>يتكون فريق العمل من مجموعة من الخبراء المختصين في مجالات الاستثمار الاجتماعي, التنمية الاقتصادية, وتحليل البيانات. هذا التنوع يضمن تقديم حلول شاملة وفعالة.</w:t>
      </w:r>
    </w:p>
    <w:p w14:paraId="3D9BBE8A">
      <w:pPr>
        <w:bidi w:val="0"/>
        <w:spacing w:after="120" w:line="240" w:lineRule="auto"/>
        <w:jc w:val="right"/>
        <w:rPr>
          <w:rFonts w:hint="default"/>
          <w:b w:val="0"/>
          <w:color w:val="000000"/>
          <w:sz w:val="22"/>
          <w:lang w:val="en-IN"/>
        </w:rPr>
      </w:pP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62BE77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AE6D3F2">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اسم الفريق</w:t>
            </w:r>
          </w:p>
        </w:tc>
        <w:tc>
          <w:tcPr>
            <w:tcW w:w="2500" w:type="pct"/>
          </w:tcPr>
          <w:p w14:paraId="32D4BB30">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الدور</w:t>
            </w:r>
          </w:p>
        </w:tc>
      </w:tr>
      <w:tr w14:paraId="1B7F1A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E79416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مروان الفالح</w:t>
            </w:r>
          </w:p>
        </w:tc>
        <w:tc>
          <w:tcPr>
            <w:tcW w:w="2500" w:type="pct"/>
          </w:tcPr>
          <w:p w14:paraId="1D99936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مدير المشروع</w:t>
            </w:r>
          </w:p>
        </w:tc>
      </w:tr>
      <w:tr w14:paraId="5616F1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448313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عائشة السعيد</w:t>
            </w:r>
          </w:p>
        </w:tc>
        <w:tc>
          <w:tcPr>
            <w:tcW w:w="2500" w:type="pct"/>
          </w:tcPr>
          <w:p w14:paraId="491EFB2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خبيرة التنمية الاجتماعية</w:t>
            </w:r>
          </w:p>
        </w:tc>
      </w:tr>
      <w:tr w14:paraId="03094E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BD7C2E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سليم الحربي</w:t>
            </w:r>
          </w:p>
        </w:tc>
        <w:tc>
          <w:tcPr>
            <w:tcW w:w="2500" w:type="pct"/>
          </w:tcPr>
          <w:p w14:paraId="6B8953E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محلل البيانات</w:t>
            </w:r>
          </w:p>
        </w:tc>
      </w:tr>
    </w:tbl>
    <w:p w14:paraId="2069EB6B">
      <w:pPr>
        <w:bidi w:val="0"/>
        <w:spacing w:after="120" w:line="240" w:lineRule="auto"/>
        <w:jc w:val="right"/>
        <w:rPr>
          <w:rFonts w:hint="default"/>
          <w:b w:val="0"/>
          <w:color w:val="000000"/>
          <w:sz w:val="22"/>
          <w:lang w:val="en-IN"/>
        </w:rPr>
      </w:pPr>
    </w:p>
    <w:p w14:paraId="7EDD4C7E">
      <w:pPr>
        <w:pStyle w:val="2"/>
        <w:bidi w:val="0"/>
        <w:spacing w:before="0" w:after="120" w:line="240" w:lineRule="auto"/>
        <w:jc w:val="right"/>
        <w:rPr>
          <w:rFonts w:hint="default"/>
          <w:b/>
          <w:color w:val="000000"/>
          <w:sz w:val="28"/>
          <w:lang w:val="en-IN"/>
        </w:rPr>
      </w:pPr>
      <w:r>
        <w:rPr>
          <w:rFonts w:hint="default"/>
          <w:b/>
          <w:color w:val="000000"/>
          <w:sz w:val="28"/>
          <w:lang w:val="en-IN"/>
        </w:rPr>
        <w:t>خطة العمل والجدول الزمني والمعالم</w:t>
      </w:r>
    </w:p>
    <w:p w14:paraId="620E7538">
      <w:pPr>
        <w:rPr>
          <w:rFonts w:hint="default"/>
          <w:lang w:val="en-IN"/>
        </w:rPr>
      </w:pPr>
    </w:p>
    <w:p w14:paraId="28EEDD82">
      <w:pPr>
        <w:bidi w:val="0"/>
        <w:spacing w:after="120" w:line="240" w:lineRule="auto"/>
        <w:jc w:val="right"/>
        <w:rPr>
          <w:rFonts w:hint="default"/>
          <w:b w:val="0"/>
          <w:color w:val="000000"/>
          <w:sz w:val="22"/>
          <w:lang w:val="en-IN"/>
        </w:rPr>
      </w:pPr>
      <w:r>
        <w:rPr>
          <w:rFonts w:hint="default"/>
          <w:b w:val="0"/>
          <w:color w:val="000000"/>
          <w:sz w:val="22"/>
          <w:lang w:val="en-IN"/>
        </w:rPr>
        <w:t>تشمل خطة العمل مراحل واضحة ومرنة مع جدولة زمنية دقيقة. كل مرحلة لها معالم محددة تضمن تحقيق الأهداف المحددة في الأوقات المتفق عليها.</w:t>
      </w:r>
    </w:p>
    <w:p w14:paraId="3C31456E">
      <w:pPr>
        <w:bidi w:val="0"/>
        <w:spacing w:after="120" w:line="240" w:lineRule="auto"/>
        <w:jc w:val="right"/>
        <w:rPr>
          <w:rFonts w:hint="default"/>
          <w:b w:val="0"/>
          <w:color w:val="000000"/>
          <w:sz w:val="22"/>
          <w:lang w:val="en-IN"/>
        </w:rPr>
      </w:pPr>
    </w:p>
    <w:p w14:paraId="19A99070">
      <w:pPr>
        <w:pStyle w:val="5"/>
        <w:bidi w:val="0"/>
        <w:spacing w:after="120" w:line="240" w:lineRule="auto"/>
        <w:jc w:val="right"/>
        <w:rPr>
          <w:rFonts w:hint="default"/>
          <w:b w:val="0"/>
          <w:color w:val="000000"/>
          <w:sz w:val="22"/>
          <w:lang w:val="en-IN"/>
        </w:rPr>
      </w:pPr>
      <w:r>
        <w:rPr>
          <w:rFonts w:hint="default"/>
          <w:b w:val="0"/>
          <w:color w:val="000000"/>
          <w:sz w:val="22"/>
          <w:lang w:val="en-IN"/>
        </w:rPr>
        <w:t>تحديد المعالم الرئيسية</w:t>
      </w:r>
    </w:p>
    <w:p w14:paraId="4C408F3D">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134483CF">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تقييم الأداء بشكل دوري</w:t>
      </w:r>
    </w:p>
    <w:p w14:paraId="74C6CA5C">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72A9806A">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تعديل الخطط حسب الحاجة</w:t>
      </w:r>
    </w:p>
    <w:p w14:paraId="35B6E5E5">
      <w:pPr>
        <w:pStyle w:val="5"/>
        <w:numPr>
          <w:numId w:val="0"/>
        </w:numPr>
        <w:tabs>
          <w:tab w:val="clear" w:pos="360"/>
        </w:tabs>
        <w:bidi w:val="0"/>
        <w:spacing w:after="120" w:line="240" w:lineRule="auto"/>
        <w:ind w:left="360" w:hanging="360"/>
        <w:jc w:val="right"/>
        <w:rPr>
          <w:rFonts w:hint="default"/>
          <w:b w:val="0"/>
          <w:color w:val="000000"/>
          <w:sz w:val="22"/>
          <w:lang w:val="en-IN"/>
        </w:rPr>
      </w:pPr>
    </w:p>
    <w:tbl>
      <w:tblPr>
        <w:tblStyle w:val="6"/>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F0C07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0BB872E">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المعلم</w:t>
            </w:r>
          </w:p>
        </w:tc>
        <w:tc>
          <w:tcPr>
            <w:tcW w:w="1667" w:type="pct"/>
          </w:tcPr>
          <w:p w14:paraId="3C48E02D">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التاريخ المتوقع</w:t>
            </w:r>
          </w:p>
        </w:tc>
        <w:tc>
          <w:tcPr>
            <w:tcW w:w="1667" w:type="pct"/>
          </w:tcPr>
          <w:p w14:paraId="3F7C0076">
            <w:pPr>
              <w:pStyle w:val="5"/>
              <w:numPr>
                <w:numId w:val="0"/>
              </w:numPr>
              <w:tabs>
                <w:tab w:val="clear" w:pos="360"/>
              </w:tabs>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الوصف</w:t>
            </w:r>
          </w:p>
        </w:tc>
      </w:tr>
      <w:tr w14:paraId="4F7BA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2C73F63">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الانتهاء من الفحص</w:t>
            </w:r>
          </w:p>
        </w:tc>
        <w:tc>
          <w:tcPr>
            <w:tcW w:w="1667" w:type="pct"/>
          </w:tcPr>
          <w:p w14:paraId="05B713E8">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30/05/2024</w:t>
            </w:r>
          </w:p>
        </w:tc>
        <w:tc>
          <w:tcPr>
            <w:tcW w:w="1667" w:type="pct"/>
          </w:tcPr>
          <w:p w14:paraId="0CCCB63E">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إتمام مرحلة جمع البيانات</w:t>
            </w:r>
          </w:p>
        </w:tc>
      </w:tr>
      <w:tr w14:paraId="23122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796AF38">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تسليم الاستراتيجية</w:t>
            </w:r>
          </w:p>
        </w:tc>
        <w:tc>
          <w:tcPr>
            <w:tcW w:w="1667" w:type="pct"/>
          </w:tcPr>
          <w:p w14:paraId="0622E5E1">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30/07/2024</w:t>
            </w:r>
          </w:p>
        </w:tc>
        <w:tc>
          <w:tcPr>
            <w:tcW w:w="1667" w:type="pct"/>
          </w:tcPr>
          <w:p w14:paraId="03F525E6">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تقديم الاستراتيجية التفصيلية</w:t>
            </w:r>
          </w:p>
        </w:tc>
      </w:tr>
      <w:tr w14:paraId="2DB7B6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E19C229">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بدء التنفيذ</w:t>
            </w:r>
          </w:p>
        </w:tc>
        <w:tc>
          <w:tcPr>
            <w:tcW w:w="1667" w:type="pct"/>
          </w:tcPr>
          <w:p w14:paraId="0820D40A">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01/09/2024</w:t>
            </w:r>
          </w:p>
        </w:tc>
        <w:tc>
          <w:tcPr>
            <w:tcW w:w="1667" w:type="pct"/>
          </w:tcPr>
          <w:p w14:paraId="49DB345E">
            <w:pPr>
              <w:pStyle w:val="5"/>
              <w:numPr>
                <w:numId w:val="0"/>
              </w:numPr>
              <w:tabs>
                <w:tab w:val="clear" w:pos="360"/>
              </w:tabs>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البداية الفعلية للعمليات</w:t>
            </w:r>
          </w:p>
        </w:tc>
      </w:tr>
    </w:tbl>
    <w:p w14:paraId="5AA309A1">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5AB7965D">
      <w:pPr>
        <w:pStyle w:val="2"/>
        <w:numPr>
          <w:numId w:val="0"/>
        </w:numPr>
        <w:bidi w:val="0"/>
        <w:spacing w:before="0" w:after="120" w:line="240" w:lineRule="auto"/>
        <w:ind w:left="360" w:hanging="360"/>
        <w:jc w:val="right"/>
        <w:rPr>
          <w:rFonts w:hint="default"/>
          <w:b/>
          <w:color w:val="000000"/>
          <w:sz w:val="28"/>
          <w:lang w:val="en-IN"/>
        </w:rPr>
      </w:pPr>
      <w:r>
        <w:rPr>
          <w:rFonts w:hint="default"/>
          <w:b/>
          <w:color w:val="000000"/>
          <w:sz w:val="28"/>
          <w:lang w:val="en-IN"/>
        </w:rPr>
        <w:t>ضمان الجودة وإدارة المخاطر</w:t>
      </w:r>
    </w:p>
    <w:p w14:paraId="4052120E">
      <w:pPr>
        <w:rPr>
          <w:rFonts w:hint="default"/>
          <w:lang w:val="en-IN"/>
        </w:rPr>
      </w:pPr>
    </w:p>
    <w:p w14:paraId="3E6FFC47">
      <w:pPr>
        <w:bidi w:val="0"/>
        <w:spacing w:after="120" w:line="240" w:lineRule="auto"/>
        <w:jc w:val="right"/>
        <w:rPr>
          <w:rFonts w:hint="default"/>
          <w:b w:val="0"/>
          <w:color w:val="000000"/>
          <w:sz w:val="22"/>
          <w:lang w:val="en-IN"/>
        </w:rPr>
      </w:pPr>
      <w:r>
        <w:rPr>
          <w:rFonts w:hint="default"/>
          <w:b w:val="0"/>
          <w:color w:val="000000"/>
          <w:sz w:val="22"/>
          <w:lang w:val="en-IN"/>
        </w:rPr>
        <w:t>نقدم إطار عمل شامل لضمان الجودة في جميع مراحل المشروع. يتضمن ذلك مراجعات دورية وتقييمات للأداء وإدارة المخاطر المحتملة بشكل فعّال.</w:t>
      </w:r>
    </w:p>
    <w:p w14:paraId="2F95FFFC">
      <w:pPr>
        <w:bidi w:val="0"/>
        <w:spacing w:after="120" w:line="240" w:lineRule="auto"/>
        <w:jc w:val="right"/>
        <w:rPr>
          <w:rFonts w:hint="default"/>
          <w:b w:val="0"/>
          <w:color w:val="000000"/>
          <w:sz w:val="22"/>
          <w:lang w:val="en-IN"/>
        </w:rPr>
      </w:pPr>
    </w:p>
    <w:p w14:paraId="620A0456">
      <w:pPr>
        <w:pStyle w:val="5"/>
        <w:bidi w:val="0"/>
        <w:spacing w:after="120" w:line="240" w:lineRule="auto"/>
        <w:jc w:val="right"/>
        <w:rPr>
          <w:rFonts w:hint="default"/>
          <w:b w:val="0"/>
          <w:color w:val="000000"/>
          <w:sz w:val="22"/>
          <w:lang w:val="en-IN"/>
        </w:rPr>
      </w:pPr>
      <w:r>
        <w:rPr>
          <w:rFonts w:hint="default"/>
          <w:b w:val="0"/>
          <w:color w:val="000000"/>
          <w:sz w:val="22"/>
          <w:lang w:val="en-IN"/>
        </w:rPr>
        <w:t>التقييم المستمر للعملية</w:t>
      </w:r>
    </w:p>
    <w:p w14:paraId="3F5CD807">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680E625F">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مراجعات الأداء الدورية</w:t>
      </w:r>
    </w:p>
    <w:p w14:paraId="73511CFC">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2DAF5B2B">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استراتيجيات للحد من المخاطر</w:t>
      </w:r>
    </w:p>
    <w:p w14:paraId="748DE9FA">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6CEEACEA">
      <w:pPr>
        <w:pStyle w:val="2"/>
        <w:numPr>
          <w:numId w:val="0"/>
        </w:numPr>
        <w:bidi w:val="0"/>
        <w:spacing w:before="0" w:after="120" w:line="240" w:lineRule="auto"/>
        <w:ind w:left="360" w:hanging="360"/>
        <w:jc w:val="right"/>
        <w:rPr>
          <w:rFonts w:hint="default"/>
          <w:b/>
          <w:color w:val="000000"/>
          <w:sz w:val="28"/>
          <w:lang w:val="en-IN"/>
        </w:rPr>
      </w:pPr>
      <w:r>
        <w:rPr>
          <w:rFonts w:hint="default"/>
          <w:b/>
          <w:color w:val="000000"/>
          <w:sz w:val="28"/>
          <w:lang w:val="en-IN"/>
        </w:rPr>
        <w:t>مؤشرات الأداء ومستويات الخدمة</w:t>
      </w:r>
    </w:p>
    <w:p w14:paraId="0269FE9A">
      <w:pPr>
        <w:rPr>
          <w:rFonts w:hint="default"/>
          <w:lang w:val="en-IN"/>
        </w:rPr>
      </w:pPr>
    </w:p>
    <w:p w14:paraId="60B70DFD">
      <w:pPr>
        <w:bidi w:val="0"/>
        <w:spacing w:after="120" w:line="240" w:lineRule="auto"/>
        <w:jc w:val="right"/>
        <w:rPr>
          <w:rFonts w:hint="default"/>
          <w:b w:val="0"/>
          <w:color w:val="000000"/>
          <w:sz w:val="22"/>
          <w:lang w:val="en-IN"/>
        </w:rPr>
      </w:pPr>
      <w:r>
        <w:rPr>
          <w:rFonts w:hint="default"/>
          <w:b w:val="0"/>
          <w:color w:val="000000"/>
          <w:sz w:val="22"/>
          <w:lang w:val="en-IN"/>
        </w:rPr>
        <w:t>تتضمن مؤشرات الأداء مجموعة من المعايير القابلة للقياس التي تساعد على تقييم نجاح المشروع. تشمل هذه المؤشرات مدى رضا المستفيدين, تحسين النتائج الاجتماعية, وزيادة في القيمة الاقتصادية.</w:t>
      </w:r>
    </w:p>
    <w:p w14:paraId="1A87B34D">
      <w:pPr>
        <w:bidi w:val="0"/>
        <w:spacing w:after="120" w:line="240" w:lineRule="auto"/>
        <w:jc w:val="right"/>
        <w:rPr>
          <w:rFonts w:hint="default"/>
          <w:b w:val="0"/>
          <w:color w:val="000000"/>
          <w:sz w:val="22"/>
          <w:lang w:val="en-IN"/>
        </w:rPr>
      </w:pPr>
    </w:p>
    <w:p w14:paraId="6F45781A">
      <w:pPr>
        <w:pStyle w:val="5"/>
        <w:bidi w:val="0"/>
        <w:spacing w:after="120" w:line="240" w:lineRule="auto"/>
        <w:jc w:val="right"/>
        <w:rPr>
          <w:rFonts w:hint="default"/>
          <w:b w:val="0"/>
          <w:color w:val="000000"/>
          <w:sz w:val="22"/>
          <w:lang w:val="en-IN"/>
        </w:rPr>
      </w:pPr>
      <w:r>
        <w:rPr>
          <w:rFonts w:hint="default"/>
          <w:b w:val="0"/>
          <w:color w:val="000000"/>
          <w:sz w:val="22"/>
          <w:lang w:val="en-IN"/>
        </w:rPr>
        <w:t>نسبة رضا المستفيدين</w:t>
      </w:r>
    </w:p>
    <w:p w14:paraId="3E0B98D3">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403EDBE2">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زيادة في المساهمات الاقتصادية</w:t>
      </w:r>
    </w:p>
    <w:p w14:paraId="7C1BEB0B">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49F80B49">
      <w:pPr>
        <w:pStyle w:val="5"/>
        <w:numPr>
          <w:numId w:val="0"/>
        </w:numPr>
        <w:tabs>
          <w:tab w:val="clear" w:pos="360"/>
        </w:tabs>
        <w:bidi w:val="0"/>
        <w:spacing w:after="120" w:line="240" w:lineRule="auto"/>
        <w:ind w:left="360" w:hanging="360"/>
        <w:jc w:val="right"/>
        <w:rPr>
          <w:rFonts w:hint="default"/>
          <w:b w:val="0"/>
          <w:color w:val="000000"/>
          <w:sz w:val="22"/>
          <w:lang w:val="en-IN"/>
        </w:rPr>
      </w:pPr>
      <w:r>
        <w:rPr>
          <w:rFonts w:hint="default"/>
          <w:b w:val="0"/>
          <w:color w:val="000000"/>
          <w:sz w:val="22"/>
          <w:lang w:val="en-IN"/>
        </w:rPr>
        <w:t>معدل تحسين الخدمات المقدمة</w:t>
      </w:r>
    </w:p>
    <w:p w14:paraId="7E8AD9CB">
      <w:pPr>
        <w:pStyle w:val="5"/>
        <w:numPr>
          <w:numId w:val="0"/>
        </w:numPr>
        <w:tabs>
          <w:tab w:val="clear" w:pos="360"/>
        </w:tabs>
        <w:bidi w:val="0"/>
        <w:spacing w:after="120" w:line="240" w:lineRule="auto"/>
        <w:ind w:left="360" w:hanging="360"/>
        <w:jc w:val="right"/>
        <w:rPr>
          <w:rFonts w:hint="default"/>
          <w:b w:val="0"/>
          <w:color w:val="000000"/>
          <w:sz w:val="22"/>
          <w:lang w:val="en-IN"/>
        </w:rPr>
      </w:pPr>
    </w:p>
    <w:p w14:paraId="2A664D37">
      <w:pPr>
        <w:pStyle w:val="2"/>
        <w:numPr>
          <w:numId w:val="0"/>
        </w:numPr>
        <w:bidi w:val="0"/>
        <w:spacing w:before="0" w:after="120" w:line="240" w:lineRule="auto"/>
        <w:ind w:left="360" w:hanging="360"/>
        <w:jc w:val="right"/>
        <w:rPr>
          <w:rFonts w:hint="default"/>
          <w:b/>
          <w:color w:val="000000"/>
          <w:sz w:val="28"/>
          <w:lang w:val="en-IN"/>
        </w:rPr>
      </w:pPr>
      <w:r>
        <w:rPr>
          <w:rFonts w:hint="default"/>
          <w:b/>
          <w:color w:val="000000"/>
          <w:sz w:val="28"/>
          <w:lang w:val="en-IN"/>
        </w:rPr>
        <w:t>الخصوصية والأمن وحقوق الملكية الفكرية</w:t>
      </w:r>
    </w:p>
    <w:p w14:paraId="71737B84">
      <w:pPr>
        <w:rPr>
          <w:rFonts w:hint="default"/>
          <w:lang w:val="en-IN"/>
        </w:rPr>
      </w:pPr>
    </w:p>
    <w:p w14:paraId="540F69D1">
      <w:pPr>
        <w:bidi w:val="0"/>
        <w:spacing w:after="120" w:line="240" w:lineRule="auto"/>
        <w:jc w:val="right"/>
        <w:rPr>
          <w:rFonts w:hint="default"/>
          <w:b w:val="0"/>
          <w:color w:val="000000"/>
          <w:sz w:val="22"/>
          <w:lang w:val="en-IN"/>
        </w:rPr>
      </w:pPr>
      <w:r>
        <w:rPr>
          <w:rFonts w:hint="default"/>
          <w:b w:val="0"/>
          <w:color w:val="000000"/>
          <w:sz w:val="22"/>
          <w:lang w:val="en-IN"/>
        </w:rPr>
        <w:t>نتعهد بالامتثال لجميع متطلبات الخصوصية والأمن المتعلقة بالمعلومات الشخصية. كما نضمن حماية حقوق الملكية الفكرية لكافة المواد المقدمة خلال تنفيذ المشروع.</w:t>
      </w:r>
    </w:p>
    <w:p w14:paraId="11675096">
      <w:pPr>
        <w:bidi w:val="0"/>
        <w:spacing w:after="120" w:line="240" w:lineRule="auto"/>
        <w:jc w:val="right"/>
        <w:rPr>
          <w:rFonts w:hint="default"/>
          <w:b w:val="0"/>
          <w:color w:val="000000"/>
          <w:sz w:val="22"/>
          <w:lang w:val="en-IN"/>
        </w:rPr>
      </w:pPr>
    </w:p>
    <w:p w14:paraId="395F6A18">
      <w:pPr>
        <w:pStyle w:val="2"/>
        <w:bidi w:val="0"/>
        <w:spacing w:before="0" w:after="120" w:line="240" w:lineRule="auto"/>
        <w:jc w:val="right"/>
        <w:rPr>
          <w:rFonts w:hint="default"/>
          <w:b/>
          <w:color w:val="000000"/>
          <w:sz w:val="28"/>
          <w:lang w:val="en-IN"/>
        </w:rPr>
      </w:pPr>
      <w:r>
        <w:rPr>
          <w:rFonts w:hint="default"/>
          <w:b/>
          <w:color w:val="000000"/>
          <w:sz w:val="28"/>
          <w:lang w:val="en-IN"/>
        </w:rPr>
        <w:t>الامتثال لمتطلبات كراسة الشروط</w:t>
      </w:r>
    </w:p>
    <w:p w14:paraId="715AB956">
      <w:pPr>
        <w:rPr>
          <w:rFonts w:hint="default"/>
          <w:lang w:val="en-IN"/>
        </w:rPr>
      </w:pPr>
    </w:p>
    <w:p w14:paraId="189AE4D5">
      <w:pPr>
        <w:bidi w:val="0"/>
        <w:spacing w:after="120" w:line="240" w:lineRule="auto"/>
        <w:jc w:val="right"/>
        <w:rPr>
          <w:rFonts w:hint="default"/>
          <w:b w:val="0"/>
          <w:color w:val="000000"/>
          <w:sz w:val="22"/>
          <w:lang w:val="en-IN"/>
        </w:rPr>
      </w:pPr>
      <w:r>
        <w:rPr>
          <w:rFonts w:hint="default"/>
          <w:b w:val="0"/>
          <w:color w:val="000000"/>
          <w:sz w:val="22"/>
          <w:lang w:val="en-IN"/>
        </w:rPr>
        <w:t>نلتزم باتباع جميع المتطلبات والشروط المحددة في كراسة الشروط, بدءًا من تقديم العروض وصولًا إلى تنفيذ المشروع. هذا يتضمن التقييم الشامل للامتثال مع أي متطلبات قانونية أو تنظيمية.</w:t>
      </w:r>
    </w:p>
    <w:p w14:paraId="0D10192A">
      <w:pPr>
        <w:bidi w:val="0"/>
        <w:spacing w:after="120" w:line="240" w:lineRule="auto"/>
        <w:jc w:val="right"/>
        <w:rPr>
          <w:rFonts w:hint="default"/>
          <w:b w:val="0"/>
          <w:color w:val="000000"/>
          <w:sz w:val="22"/>
          <w:lang w:val="en-IN"/>
        </w:rPr>
      </w:pPr>
    </w:p>
    <w:p w14:paraId="61BF50EE">
      <w:pPr>
        <w:pStyle w:val="2"/>
        <w:bidi w:val="0"/>
        <w:spacing w:before="0" w:after="120" w:line="240" w:lineRule="auto"/>
        <w:jc w:val="right"/>
        <w:rPr>
          <w:rFonts w:hint="default"/>
          <w:b/>
          <w:color w:val="000000"/>
          <w:sz w:val="28"/>
          <w:lang w:val="en-IN"/>
        </w:rPr>
      </w:pPr>
      <w:r>
        <w:rPr>
          <w:rFonts w:hint="default"/>
          <w:b/>
          <w:color w:val="000000"/>
          <w:sz w:val="28"/>
          <w:lang w:val="en-IN"/>
        </w:rPr>
        <w:t>ملخص المخرجات</w:t>
      </w:r>
    </w:p>
    <w:p w14:paraId="0BED1A46">
      <w:pPr>
        <w:rPr>
          <w:rFonts w:hint="default"/>
          <w:lang w:val="en-IN"/>
        </w:rPr>
      </w:pPr>
    </w:p>
    <w:p w14:paraId="5DECD796">
      <w:pPr>
        <w:bidi w:val="0"/>
        <w:spacing w:after="120" w:line="240" w:lineRule="auto"/>
        <w:jc w:val="right"/>
        <w:rPr>
          <w:rFonts w:hint="default"/>
          <w:b w:val="0"/>
          <w:color w:val="000000"/>
          <w:sz w:val="22"/>
          <w:lang w:val="en-IN"/>
        </w:rPr>
      </w:pPr>
      <w:r>
        <w:rPr>
          <w:rFonts w:hint="default"/>
          <w:b w:val="0"/>
          <w:color w:val="000000"/>
          <w:sz w:val="22"/>
          <w:lang w:val="en-IN"/>
        </w:rPr>
        <w:t>ستؤدي جهودنا إلى تحقيق نتائج مستدامة تشمل استراتيجيات واضحة تستند إلى البيانات وتحليل دقيق. هذه المخرجات ستعزز من التجربة العامة للمستفيدين.</w:t>
      </w:r>
    </w:p>
    <w:p w14:paraId="1951B7FD">
      <w:pPr>
        <w:bidi w:val="0"/>
        <w:spacing w:after="120" w:line="240" w:lineRule="auto"/>
        <w:jc w:val="right"/>
        <w:rPr>
          <w:rFonts w:hint="default"/>
          <w:b w:val="0"/>
          <w:color w:val="000000"/>
          <w:sz w:val="22"/>
          <w:lang w:val="en-IN"/>
        </w:rPr>
      </w:pPr>
    </w:p>
    <w:p w14:paraId="64F59F4E">
      <w:pPr>
        <w:pStyle w:val="2"/>
        <w:bidi w:val="0"/>
        <w:spacing w:before="0" w:after="120" w:line="240" w:lineRule="auto"/>
        <w:jc w:val="right"/>
        <w:rPr>
          <w:rFonts w:hint="default"/>
          <w:b/>
          <w:color w:val="000000"/>
          <w:sz w:val="28"/>
          <w:lang w:val="en-IN"/>
        </w:rPr>
      </w:pPr>
      <w:r>
        <w:rPr>
          <w:rFonts w:hint="default"/>
          <w:b/>
          <w:color w:val="000000"/>
          <w:sz w:val="28"/>
          <w:lang w:val="en-IN"/>
        </w:rPr>
        <w:t>الافتراضات</w:t>
      </w:r>
    </w:p>
    <w:p w14:paraId="3D92A77B">
      <w:pPr>
        <w:rPr>
          <w:rFonts w:hint="default"/>
          <w:lang w:val="en-IN"/>
        </w:rPr>
      </w:pPr>
    </w:p>
    <w:p w14:paraId="280B9A68">
      <w:pPr>
        <w:bidi w:val="0"/>
        <w:spacing w:after="120" w:line="240" w:lineRule="auto"/>
        <w:jc w:val="right"/>
        <w:rPr>
          <w:rFonts w:hint="default"/>
          <w:b w:val="0"/>
          <w:color w:val="000000"/>
          <w:sz w:val="22"/>
          <w:lang w:val="en-IN"/>
        </w:rPr>
      </w:pPr>
      <w:r>
        <w:rPr>
          <w:rFonts w:hint="default"/>
          <w:b w:val="0"/>
          <w:color w:val="000000"/>
          <w:sz w:val="22"/>
          <w:lang w:val="en-IN"/>
        </w:rPr>
        <w:t>تشمل الافتراضات الأساسية التي بنيت عليها الخطة الفرضيات المتعلقة بمشاركة أصحاب المصلحة, المتطلبات التنظيمية, وتوافر الموارد. نضمن مراجعة مستمرة لهذه الافتراضات.</w:t>
      </w:r>
    </w:p>
    <w:p w14:paraId="021BA47A">
      <w:pPr>
        <w:bidi w:val="0"/>
        <w:spacing w:after="120" w:line="240" w:lineRule="auto"/>
        <w:jc w:val="right"/>
        <w:rPr>
          <w:rFonts w:hint="default"/>
          <w:b w:val="0"/>
          <w:color w:val="000000"/>
          <w:sz w:val="22"/>
          <w:lang w:val="en-IN"/>
        </w:rPr>
      </w:pPr>
    </w:p>
    <w:p w14:paraId="798ABED2">
      <w:pPr>
        <w:pStyle w:val="2"/>
        <w:bidi w:val="0"/>
        <w:spacing w:before="0" w:after="120" w:line="240" w:lineRule="auto"/>
        <w:jc w:val="right"/>
        <w:rPr>
          <w:rFonts w:hint="default"/>
          <w:b/>
          <w:color w:val="000000"/>
          <w:sz w:val="28"/>
          <w:lang w:val="en-IN"/>
        </w:rPr>
      </w:pPr>
      <w:r>
        <w:rPr>
          <w:rFonts w:hint="default"/>
          <w:b/>
          <w:color w:val="000000"/>
          <w:sz w:val="28"/>
          <w:lang w:val="en-IN"/>
        </w:rPr>
        <w:t>منهجية التسعير (مختصر)</w:t>
      </w:r>
    </w:p>
    <w:p w14:paraId="16BC12E6">
      <w:pPr>
        <w:rPr>
          <w:rFonts w:hint="default"/>
          <w:lang w:val="en-IN"/>
        </w:rPr>
      </w:pPr>
    </w:p>
    <w:p w14:paraId="06B4ED23">
      <w:pPr>
        <w:bidi w:val="0"/>
        <w:spacing w:after="120" w:line="240" w:lineRule="auto"/>
        <w:jc w:val="right"/>
        <w:rPr>
          <w:rFonts w:hint="default"/>
          <w:b w:val="0"/>
          <w:color w:val="000000"/>
          <w:sz w:val="22"/>
          <w:lang w:val="en-IN"/>
        </w:rPr>
      </w:pPr>
      <w:r>
        <w:rPr>
          <w:rFonts w:hint="default"/>
          <w:b w:val="0"/>
          <w:color w:val="000000"/>
          <w:sz w:val="22"/>
          <w:lang w:val="en-IN"/>
        </w:rPr>
        <w:t>سنعرض منهجية تسعير واضحة تُظهر الشفافية في التكاليف المتعلقة بالمشروع. تتضمن هذه المنهجية عناصر التسعير الرئيسية وتفاصيل التكاليف مباشرة.</w:t>
      </w:r>
    </w:p>
    <w:p w14:paraId="5FC83C7A">
      <w:pPr>
        <w:bidi w:val="0"/>
        <w:spacing w:after="120" w:line="240" w:lineRule="auto"/>
        <w:jc w:val="right"/>
        <w:rPr>
          <w:rFonts w:hint="default"/>
          <w:b w:val="0"/>
          <w:color w:val="000000"/>
          <w:sz w:val="22"/>
          <w:lang w:val="en-IN"/>
        </w:rPr>
      </w:pPr>
    </w:p>
    <w:p w14:paraId="7BFCA303">
      <w:pPr>
        <w:pStyle w:val="2"/>
        <w:bidi w:val="0"/>
        <w:spacing w:before="0" w:after="120" w:line="240" w:lineRule="auto"/>
        <w:jc w:val="right"/>
        <w:rPr>
          <w:rFonts w:hint="default"/>
          <w:b/>
          <w:color w:val="000000"/>
          <w:sz w:val="28"/>
          <w:lang w:val="en-IN"/>
        </w:rPr>
      </w:pPr>
      <w:r>
        <w:rPr>
          <w:rFonts w:hint="default"/>
          <w:b/>
          <w:color w:val="000000"/>
          <w:sz w:val="28"/>
          <w:lang w:val="en-IN"/>
        </w:rPr>
        <w:t>لماذا شركة تحفيز الاستشارات</w:t>
      </w:r>
    </w:p>
    <w:p w14:paraId="14CFB0BA">
      <w:pPr>
        <w:rPr>
          <w:rFonts w:hint="default"/>
          <w:lang w:val="en-IN"/>
        </w:rPr>
      </w:pPr>
    </w:p>
    <w:p w14:paraId="337FE91F">
      <w:pPr>
        <w:bidi w:val="0"/>
        <w:spacing w:after="120" w:line="240" w:lineRule="auto"/>
        <w:jc w:val="right"/>
        <w:rPr>
          <w:rFonts w:hint="default"/>
          <w:b w:val="0"/>
          <w:color w:val="000000"/>
          <w:sz w:val="22"/>
          <w:lang w:val="en-IN"/>
        </w:rPr>
      </w:pPr>
      <w:r>
        <w:rPr>
          <w:rFonts w:hint="default"/>
          <w:b w:val="0"/>
          <w:color w:val="000000"/>
          <w:sz w:val="22"/>
          <w:lang w:val="en-IN"/>
        </w:rPr>
        <w:t>نتميز بخبرتنا العميقة في مجال الاستثمار الاجتماعي وخدمات التنمية المجتمعية. تؤكد سجلاتنا النجاحات السابقة في مشاريع مماثلة قدراتنا على تحقيق أهداف كراسة الشروط بكفاءة.</w:t>
      </w:r>
    </w:p>
    <w:p w14:paraId="08EEF642">
      <w:pPr>
        <w:bidi w:val="0"/>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A5EC6E"/>
    <w:multiLevelType w:val="singleLevel"/>
    <w:tmpl w:val="EDA5EC6E"/>
    <w:lvl w:ilvl="0" w:tentative="0">
      <w:start w:val="1"/>
      <w:numFmt w:val="bullet"/>
      <w:pStyle w:val="5"/>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83C47"/>
    <w:rsid w:val="0BE8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List Bullet"/>
    <w:basedOn w:val="1"/>
    <w:uiPriority w:val="0"/>
    <w:pPr>
      <w:numPr>
        <w:ilvl w:val="0"/>
        <w:numId w:val="1"/>
      </w:numPr>
    </w:p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2025-09-24T15:01:00Z</dcterms:created>
  <dc:creator>vinee</dc:creator>
  <cp:lastModifiedBy>vinee</cp:lastModifiedBy>
  <dcterms:modified xsi:type="dcterms:W3CDTF">2025-09-24T15:01:50Z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17946AF499CB4FA39A35D0414F0474D5_11</vt:lpwstr>
  </property>
</Properties>
</file>