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before="0" w:after="0" w:line="240" w:lineRule="auto"/>
      </w:pPr>
      <w:drawing xmlns:a="http://schemas.openxmlformats.org/drawingml/2006/main">
        <wp:anchor distT="0" distB="0" distL="114300" distR="11430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-647700</wp:posOffset>
          </wp:positionV>
          <wp:extent cx="7560310" cy="72390"/>
          <wp:effectExtent l="0" t="0" r="2540" b="3810"/>
          <wp:wrapNone/>
          <wp:docPr id="1" name="RedBar"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 bwMode="auto">
                  <a:xfrm>
                    <a:off x="0" y="0"/>
                    <a:ext cx="7560310" cy="72390"/>
                  </a:xfrm>
                  <a:prstGeom prst="rect">
                    <a:avLst/>
                  </a:prstGeom>
                  <a:solidFill>
                    <a:srgbClr val="E9272D"/>
                  </a:solidFill>
                  <a:ln>
                    <a:noFill/>
                  </a:ln>
                </wps:spPr>
                <wps:bodyPr rot="0" wrap="square" anchor="t">
                  <a:noAutofit/>
                </wps:bodyPr>
              </wps:wsp>
            </a:graphicData>
          </a:graphic>
        </wp:anchor>
      </w:drawing>
      <w:drawing xmlns:a="http://schemas.openxmlformats.org/drawingml/2006/main"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4852434</wp:posOffset>
          </wp:positionH>
          <wp:positionV relativeFrom="paragraph">
            <wp:posOffset>-482157</wp:posOffset>
          </wp:positionV>
          <wp:extent cx="2433960" cy="635257"/>
          <wp:effectExtent l="0" t="0" r="0" b="0"/>
          <wp:wrapNone/>
          <wp:docPr id="44" name="img44"/>
          <a:graphic>
            <a:graphicData uri="http://schemas.openxmlformats.org/drawingml/2006/picture">
              <pic:pic xmlns:pic="http://schemas.openxmlformats.org/drawingml/2006/picture">
                <pic:nvPicPr>
                  <pic:cNvPr id="0" name="img44"/>
                  <pic:cNvPicPr>
                    <a:picLocks noChangeAspect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2433960" cy="6352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 xmlns:a="http://schemas.openxmlformats.org/drawingml/2006/main"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-106680</wp:posOffset>
          </wp:positionH>
          <wp:positionV relativeFrom="paragraph">
            <wp:posOffset>-106680</wp:posOffset>
          </wp:positionV>
          <wp:extent cx="682625" cy="1567180"/>
          <wp:effectExtent l="0" t="0" r="0" b="0"/>
          <wp:wrapNone/>
          <wp:docPr id="50" name="img50"/>
          <a:graphic>
            <a:graphicData uri="http://schemas.openxmlformats.org/drawingml/2006/picture">
              <pic:pic xmlns:pic="http://schemas.openxmlformats.org/drawingml/2006/picture">
                <pic:nvPicPr>
                  <pic:cNvPr id="0" name="img50"/>
                  <pic:cNvPicPr>
                    <a:picLocks noChangeAspect="1"/>
                  </pic:cNvPicPr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82625" cy="1567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 xml:space="preserve"> </w:t>
      </w:r>
    </w:p>
    <w:p>
      <w:pPr>
        <w:spacing w:before="120" w:after="80" w:line="240" w:lineRule="auto"/>
        <w:pBdr>
          <w:bottom w:val="single" w:sz="6" w:space="1" w:color="231F20"/>
        </w:pBdr>
      </w:pPr>
    </w:p>
    <w:p>
      <w:pPr>
        <w:jc w:val="center"/>
        <w:spacing w:before="80" w:after="40" w:line="240" w:lineRule="auto"/>
      </w:pPr>
      <w:r>
        <w:rPr>
          <w:rFonts w:ascii="Century Gothic" w:hAnsi="Century Gothic" w:eastAsia="Century Gothic" w:cs="Century Gothic"/>
          <w:b w:val="0"/>
          <w:i w:val="0"/>
          <w:sz w:val="28"/>
          <w:u w:val="none"/>
        </w:rPr>
        <w:t>Laila BAROUKH</w:t>
      </w:r>
      <w:r>
        <w:rPr>
          <w:rFonts w:ascii="Century Gothic" w:hAnsi="Century Gothic" w:eastAsia="Century Gothic" w:cs="Century Gothic"/>
          <w:b w:val="0"/>
          <w:i w:val="0"/>
          <w:sz w:val="28"/>
          <w:u w:val="none"/>
        </w:rPr>
        <w:t>– 3 ans d'expérience</w:t>
      </w:r>
    </w:p>
    <w:p>
      <w:pPr>
        <w:jc w:val="center"/>
        <w:spacing w:before="0" w:after="80" w:line="240" w:lineRule="auto"/>
      </w:pPr>
      <w:r>
        <w:rPr>
          <w:rFonts w:ascii="Century Gothic" w:hAnsi="Century Gothic" w:eastAsia="Century Gothic" w:cs="Century Gothic"/>
          <w:b/>
          <w:i w:val="0"/>
          <w:sz w:val="28"/>
          <w:u w:val="none"/>
        </w:rPr>
        <w:t>Doctorante en mathématiques appliquées à la mécanique des fluides</w:t>
      </w:r>
    </w:p>
    <w:p>
      <w:pPr>
        <w:spacing w:before="80" w:after="160" w:line="240" w:lineRule="auto"/>
        <w:pBdr>
          <w:bottom w:val="single" w:sz="6" w:space="1" w:color="231F20"/>
        </w:pBdr>
      </w:pPr>
    </w:p>
    <w:p>
      <w:pPr>
        <w:jc w:val="both"/>
        <w:spacing w:before="0" w:after="16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Très motivée pour participer à des projets concrets et appliquer mes connaissances théoriques.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COMPÉTENCES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Calcul scientifique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Expertise en calcul scientifique appliqué à la résolution de problèmes complexes via méthodes numériques et programmation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Analyse numérique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Méthodes numériques pour EDP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Optimisation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Modélisation de problèmes d'optimisation avec et sans contraintes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Méthodes numériques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Volumes finis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Éléments finis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Différences finies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Programmation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Julia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Python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Matlab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Freefem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OpenFoam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Scilab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CAST3M</w:t>
      </w:r>
    </w:p>
    <w:p>
      <w:pPr>
        <w:jc w:val="both"/>
        <w:spacing w:before="160" w:after="0" w:line="240" w:lineRule="auto"/>
        <w:ind w:left="340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Enseignement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Algèbre linéaire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Méthodes numériques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Optimisation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Cryptographie et sécurité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Logique mathématique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sz w:val="20"/>
          <w:u w:val="none"/>
        </w:rPr>
        <w:t>Théorie des graphes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FORMATION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Thèse en mathématiques appliquée – Université Sorbonne Paris Nord Villetaneuse (2021)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Ingénieur Mathématiques appliquées et calcul scientifique (M.A.C.S) – Université Sorbonne Paris Nord Villetaneuse, France (2023)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Master en Méthodes numériques et statistiques appliquées – Faculté des Sciences Ain Chock Casablanca, Maroc (2018)</w:t>
      </w:r>
    </w:p>
    <w:p>
      <w:pPr>
        <w:pStyle w:val="ListBullet"/>
        <w:jc w:val="both"/>
        <w:spacing w:before="160" w:after="0" w:line="240" w:lineRule="auto"/>
      </w:pPr>
      <w:r>
        <w:rPr>
          <w:rFonts w:ascii="Century Gothic" w:hAnsi="Century Gothic" w:eastAsia="Century Gothic" w:cs="Century Gothic"/>
          <w:b/>
          <w:i w:val="0"/>
          <w:sz w:val="20"/>
          <w:u w:val="none"/>
        </w:rPr>
        <w:t>Licence en Mathématiques et applications – Faculté des Sciences Ain Chock Casablanca, Maroc (2016)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CERTIFICATIONS</w:t>
      </w:r>
    </w:p>
    <w:p>
      <w:pPr>
        <w:pStyle w:val="ListBullet"/>
        <w:jc w:val="lef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TOEIC : 805/990</w:t>
      </w:r>
    </w:p>
    <w:p>
      <w:pPr>
        <w:spacing w:before="200" w:after="0" w:line="240" w:lineRule="auto"/>
        <w:pBdr>
          <w:bottom w:val="single" w:sz="6" w:space="1" w:color="231F20"/>
        </w:pBdr>
      </w:pPr>
    </w:p>
    <w:p>
      <w:pPr>
        <w:jc w:val="center"/>
        <w:spacing w:before="80" w:after="8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BE3B4E"/>
          <w:sz w:val="24"/>
          <w:u w:val="none"/>
        </w:rPr>
        <w:t>EXPÉRIENCES PROFESSIONNELLES</w:t>
      </w:r>
    </w:p>
    <w:p>
      <w:pPr>
        <w:spacing w:before="0" w:after="160" w:line="240" w:lineRule="auto"/>
        <w:pBdr>
          <w:bottom w:val="single" w:sz="6" w:space="1" w:color="231F20"/>
        </w:pBdr>
      </w:pP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0" name="badge100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2024 – Aujourd'hui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IUT de l'Université Sorbonne Paris Nord Villetaneuse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Attachée Temporaire d'Enseignement et de Recherche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Enseignement en BUT informatique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Objectifs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Dispenser des cours et TD en optimisation et aide à la décision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Enseigner la modélisation mathématique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 et TD Optimisation et l'aide à la décision niveau 3ème année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 et TD Modélisations Mathématiques niveau 3ème année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Cours, TD et TP Cryptographie et sécurité niveau 2ème année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 et TD Algèbre linéaire niveau 1ère année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 et TD Logique mathématiques niveau 1ère année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Enseignement universitaire, BUT informatique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1" name="badge101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2023 – 2024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IUT de l'Université Sorbonne Paris Nord Villetaneuse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Enseignant moniteur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Enseignement en BUT informatique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Objectifs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Enseigner l'algèbre linéaire et la logique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 et TD Algèbre linéaire niveau 1ère année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 et TD La logique niveau 1ère année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Enseignement universitaire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2" name="badge102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2022 – 2023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IUT de l'Université Sorbonne Paris Nord Villetaneuse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Enseignant moniteur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Enseignement en BUT informatique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Objectifs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Enseigner l'algèbre linéaire et la théorie des graphes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 et TD Algèbre linéaire niveau 1ère année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TD Théorie des graphes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TP Exploration algorithmique d'un problème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Enseignement universitaire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3" name="badge103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2021 – 2022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Université Sorbonne Paris Nord Villetaneuse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Enseignant moniteur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Enseignement en BUT informatique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Objectifs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Enseigner l'algèbre linéaire et les méthodes numériques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 et TD Algèbre linéaire niveau 1ère année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 et TD Méthodes numériques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TP Exploration algorithmique d'un problème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Enseignement universitaire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4" name="badge104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2020 – 2021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Université Sorbonne Paris Nord Villetaneuse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Tuteur en mathématiques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Soutien scolaire pour réorientation vers les filières scientifiques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Objectifs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Accompagner des élèves en réorientation vers les filières scientifiques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Cours de soutien hebdomadaire à 15 élèves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Enseignement universitaire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5" name="badge105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2021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COMMISSARIAT A L'ENERGIE ATOMIQUE (CEA)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Stage ingénieur chercheur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Stage de fin d'études sur l'échange thermique entre un fluide et une paroi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Objectifs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Calculer l'évolution de la pression et de la température au sein de l'enceinte de confinement d'un réacteur à eau pressurisé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Trouver un nouveau schéma stable pour s'affranchir des contraintes sur le pas de temps et le pas d'espace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Développement d'un schéma numérique stable pour le couplage thermique fluide-paroi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Méthode des volumes finis, simulation numérique</w:t>
      </w:r>
    </w:p>
    <w:p>
      <w:pPr>
        <w:jc w:val="left"/>
        <w:spacing w:before="200" w:after="40" w:line="240" w:lineRule="auto"/>
        <w:ind w:left="1800"/>
      </w:pPr>
      <w:drawing xmlns:a="http://schemas.openxmlformats.org/drawingml/2006/main"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100000</wp:posOffset>
          </wp:positionV>
          <wp:extent cx="1097280" cy="246888"/>
          <wp:effectExtent l="0" t="0" r="1270" b="5715"/>
          <wp:wrapNone/>
          <wp:docPr id="106" name="badge106"/>
          <a:graphic>
            <a:graphicData uri="http://schemas.microsoft.com/office/word/2010/wordprocessingShape">
              <wps:wsp>
                <wps:cNvSpPr>
                  <a:spLocks/>
                </wps:cNvSpPr>
                <wps:spPr>
                  <a:xfrm>
                    <a:off x="0" y="0"/>
                    <a:ext cx="1097280" cy="246888"/>
                  </a:xfrm>
                  <a:prstGeom prst="roundRect">
                    <a:avLst>
                      <a:gd name="adj" fmla="val 16667"/>
                    </a:avLst>
                  </a:prstGeom>
                  <a:solidFill>
                    <a:srgbClr val="C00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</w:pPr>
                      <w:r>
                        <w:rPr>
                          <w:rFonts w:ascii="Century Gothic" w:hAnsi="Century Gothic" w:cs="Century Gothic"/>
                          <w:color w:val="FFFFFF"/>
                          <w:sz w:val="16"/>
                          <w:szCs w:val="16"/>
                        </w:rPr>
                        <w:t xml:space="preserve">2018</w:t>
                      </w:r>
                    </w:p>
                  </w:txbxContent>
                </wps:txbx>
                <wps:bodyPr rot="0" anchor="ctr">
                  <a:noAutofit/>
                </wps:bodyPr>
              </wps:wsp>
            </a:graphicData>
          </a:graphic>
        </wp:anchor>
      </w:drawing>
      <w:r>
        <w:rPr>
          <w:rFonts w:ascii="Century Gothic" w:hAnsi="Century Gothic" w:eastAsia="Century Gothic" w:cs="Century Gothic"/>
          <w:b w:val="0"/>
          <w:i w:val="0"/>
          <w:color w:val="C00000"/>
          <w:sz w:val="20"/>
          <w:u w:val="none"/>
        </w:rPr>
        <w:t>Université Hassan 2 Casablanca</w:t>
      </w:r>
    </w:p>
    <w:p>
      <w:pPr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Stage de fin d'études : Etudiante chercheuse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Contexte &amp; enjeux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Analyse et simulation d'une EDP dérivée de Stokes pour le traitement d'image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Objectifs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Tester l'efficacité de Freefem pour débruiter une image fortement bruitée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Réalisations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Développement d'un programme de débruitage d'image basé sur Freefem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Résultats / impacts</w:t>
      </w:r>
    </w:p>
    <w:p>
      <w:pPr>
        <w:pStyle w:val="ListBullet"/>
        <w:jc w:val="both"/>
        <w:spacing w:before="0" w:after="0" w:line="240" w:lineRule="auto"/>
        <w:ind w:left="2500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Conclusion que Freefem est suffisamment efficace pour le débruitage d'image</w:t>
      </w:r>
    </w:p>
    <w:p>
      <w:pPr>
        <w:jc w:val="both"/>
        <w:spacing w:before="120" w:after="0" w:line="240" w:lineRule="auto"/>
        <w:ind w:left="2124"/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Environnement</w:t>
      </w:r>
    </w:p>
    <w:p>
      <w:pPr>
        <w:jc w:val="both"/>
        <w:spacing w:before="0" w:after="0" w:line="240" w:lineRule="auto"/>
        <w:ind w:left="2124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Méthode des éléments finis, Freefem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PROJETS MARQUANTS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École d’été projet de recherche CEMRACS 2022 - Méthodes de tenseurs pour des problèmes de jeux à champs moyen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Semaines d’Étude Mathématiques Entreprises Palaiseau 2022 - Aide au pilotage du traitement de gros volumes de signaux sismiques</w:t>
      </w:r>
    </w:p>
    <w:p>
      <w:pPr>
        <w:pStyle w:val="ListBullet"/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Semaines d’Étude Mathématiques Entreprises Troyes 2021 - Morphotype du corps humain dans l’industrie du textile</w:t>
      </w:r>
    </w:p>
    <w:p>
      <w:pPr>
        <w:jc w:val="both"/>
        <w:spacing w:before="160" w:after="0" w:line="240" w:lineRule="auto"/>
        <w:ind w:left="426"/>
        <w:pBdr>
          <w:bottom w:val="single" w:sz="12" w:space="1" w:color="auto"/>
        </w:pBdr>
      </w:pPr>
      <w:r>
        <w:rPr>
          <w:rFonts w:ascii="Century Gothic" w:hAnsi="Century Gothic" w:eastAsia="Century Gothic" w:cs="Century Gothic"/>
          <w:b/>
          <w:i w:val="0"/>
          <w:color w:val="111111"/>
          <w:sz w:val="20"/>
          <w:u w:val="none"/>
        </w:rPr>
        <w:t>LANGUES</w:t>
      </w:r>
    </w:p>
    <w:p>
      <w:pPr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Arabe langue maternelle</w:t>
      </w:r>
    </w:p>
    <w:p>
      <w:pPr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Français courant</w:t>
      </w:r>
    </w:p>
    <w:p>
      <w:pPr>
        <w:spacing w:before="0" w:after="0" w:line="240" w:lineRule="auto"/>
      </w:pPr>
      <w:r>
        <w:rPr>
          <w:rFonts w:ascii="Century Gothic" w:hAnsi="Century Gothic" w:eastAsia="Century Gothic" w:cs="Century Gothic"/>
          <w:b w:val="0"/>
          <w:i w:val="0"/>
          <w:color w:val="111111"/>
          <w:sz w:val="20"/>
          <w:u w:val="none"/>
        </w:rPr>
        <w:t>Anglais</w:t>
      </w:r>
    </w:p>
    <w:sectPr w:rsidR="00FC693F" w:rsidRPr="0006063C" w:rsidSect="00034616">
      <w:footerReference w:type="default" r:id="rId11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spacing w:before="0" w:after="0" w:line="240" w:lineRule="auto"/>
      <w:pBdr>
        <w:top w:val="single" w:sz="6" w:space="1" w:color="auto"/>
      </w:pBdr>
      <w:tabs>
        <w:tab w:val="center" w:pos="4536"/>
        <w:tab w:val="right" w:pos="9026"/>
      </w:tabs>
    </w:pPr>
    <w:drawing xmlns:a="http://schemas.openxmlformats.org/drawingml/2006/main">
      <wp:anchor distT="0" distB="0" distL="114300" distR="114300" simplePos="0" relativeHeight="251658240" behindDoc="1" locked="0" layoutInCell="1" allowOverlap="1">
        <wp:simplePos x="0" y="0"/>
        <wp:positionH relativeFrom="page">
          <wp:posOffset>-106680</wp:posOffset>
        </wp:positionH>
        <wp:positionV relativeFrom="paragraph">
          <wp:posOffset>-9500000</wp:posOffset>
        </wp:positionV>
        <wp:extent cx="682625" cy="1567180"/>
        <wp:effectExtent l="0" t="0" r="0" b="0"/>
        <wp:wrapNone/>
        <wp:docPr id="52" name="img52"/>
        <a:graphic>
          <a:graphicData uri="http://schemas.openxmlformats.org/drawingml/2006/picture">
            <pic:pic xmlns:pic="http://schemas.openxmlformats.org/drawingml/2006/picture">
              <pic:nvPicPr>
                <pic:cNvPr id="0" name="img52"/>
                <pic:cNvPicPr>
                  <a:picLocks noChangeAspect="1"/>
                </pic:cNvPicPr>
              </pic:nvPicPr>
              <pic:blipFill>
                <a:blip r:embed="rId2"/>
                <a:stretch>
                  <a:fillRect/>
                </a:stretch>
              </pic:blipFill>
              <pic:spPr>
                <a:xfrm>
                  <a:off x="0" y="0"/>
                  <a:ext cx="682625" cy="1567180"/>
                </a:xfrm>
                <a:prstGeom prst="rect">
                  <a:avLst/>
                </a:prstGeom>
              </pic:spPr>
            </pic:pic>
          </a:graphicData>
        </a:graphic>
      </wp:anchor>
    </w:drawing>
    <w:drawing xmlns:a="http://schemas.openxmlformats.org/drawingml/2006/main">
      <wp:anchor distT="0" distB="0" distL="114300" distR="114300" simplePos="0" relativeHeight="251658240" behindDoc="1" locked="0" layoutInCell="1" allowOverlap="1">
        <wp:simplePos x="0" y="0"/>
        <wp:positionH relativeFrom="page">
          <wp:posOffset>6886900</wp:posOffset>
        </wp:positionH>
        <wp:positionV relativeFrom="paragraph">
          <wp:posOffset>-1200000</wp:posOffset>
        </wp:positionV>
        <wp:extent cx="673100" cy="1567180"/>
        <wp:effectExtent l="0" t="0" r="0" b="0"/>
        <wp:wrapNone/>
        <wp:docPr id="51" name="img51"/>
        <a:graphic>
          <a:graphicData uri="http://schemas.openxmlformats.org/drawingml/2006/picture">
            <pic:pic xmlns:pic="http://schemas.openxmlformats.org/drawingml/2006/picture">
              <pic:nvPicPr>
                <pic:cNvPr id="0" name="img51"/>
                <pic:cNvPicPr>
                  <a:picLocks noChangeAspect="1"/>
                </pic:cNvPicPr>
              </pic:nvPicPr>
              <pic:blipFill>
                <a:blip r:embed="rId1"/>
                <a:stretch>
                  <a:fillRect/>
                </a:stretch>
              </pic:blipFill>
              <pic:spPr>
                <a:xfrm>
                  <a:off x="0" y="0"/>
                  <a:ext cx="673100" cy="1567180"/>
                </a:xfrm>
                <a:prstGeom prst="rect">
                  <a:avLst/>
                </a:prstGeom>
              </pic:spPr>
            </pic:pic>
          </a:graphicData>
        </a:graphic>
      </wp:anchor>
    </w:drawing>
    <w:r>
      <w:rPr>
        <w:rFonts w:ascii="Century Gothic" w:hAnsi="Century Gothic" w:eastAsia="Century Gothic" w:cs="Century Gothic"/>
        <w:b w:val="0"/>
        <w:i w:val="0"/>
        <w:color w:val="606060"/>
        <w:sz w:val="16"/>
        <w:u w:val="none"/>
      </w:rPr>
      <w:t>MALTEM AFRICA</w:t>
    </w:r>
    <w:r>
      <w:rPr>
        <w:sz w:val="16"/>
      </w:rPr>
      <w:tab/>
    </w:r>
    <w:r>
      <w:rPr>
        <w:rFonts w:ascii="Century Gothic" w:hAnsi="Century Gothic" w:eastAsia="Century Gothic" w:cs="Century Gothic"/>
        <w:b w:val="0"/>
        <w:i w:val="0"/>
        <w:color w:val="606060"/>
        <w:sz w:val="16"/>
        <w:u w:val="none"/>
      </w:rPr>
      <w:tab/>
      <w:t xml:space="preserve">Page </w:t>
    </w:r>
    <w:r>
      <w:rPr>
        <w:color w:val="606060"/>
        <w:sz w:val="16"/>
      </w:rPr>
      <w:fldChar w:fldCharType="begin"/>
      <w:instrText> PAGE </w:instrText>
      <w:fldChar w:fldCharType="end"/>
    </w:r>
    <w:r>
      <w:rPr>
        <w:rFonts w:ascii="Century Gothic" w:hAnsi="Century Gothic" w:eastAsia="Century Gothic" w:cs="Century Gothic"/>
        <w:b w:val="0"/>
        <w:i w:val="0"/>
        <w:color w:val="606060"/>
        <w:sz w:val="16"/>
        <w:u w:val="none"/>
      </w:rPr>
      <w:t xml:space="preserve"> sur </w:t>
    </w:r>
    <w:r>
      <w:rPr>
        <w:color w:val="606060"/>
        <w:sz w:val="16"/>
      </w:rPr>
      <w:fldChar w:fldCharType="begin"/>
      <w:instrText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