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0" w:after="160" w:line="240" w:lineRule="auto"/>
      </w:pPr>
      <w:r>
        <w:rPr>
          <w:rFonts w:ascii="Century Gothic" w:hAnsi="Century Gothic" w:eastAsia="Century Gothic" w:cs="Century Gothic"/>
          <w:b w:val="0"/>
          <w:i w:val="0"/>
          <w:sz w:val="20"/>
          <w:u w:val="none"/>
        </w:rPr>
        <w:t xml:space="preserve"> </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600000" cy="190000"/>
          <wp:effectExtent l="0" t="0" r="1270" b="5715"/>
          <wp:wrapNone/>
          <wp:docPr id="100" name="badge100"/>
          <a:graphic>
            <a:graphicData uri="http://schemas.microsoft.com/office/word/2010/wordprocessingShape">
              <wps:wsp>
                <wps:cNvSpPr>
                  <a:spLocks/>
                </wps:cNvSpPr>
                <wps:spPr>
                  <a:xfrm>
                    <a:off x="0" y="0"/>
                    <a:ext cx="1600000" cy="190000"/>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SoGe 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maintenance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600000" cy="190000"/>
          <wp:effectExtent l="0" t="0" r="1270" b="5715"/>
          <wp:wrapNone/>
          <wp:docPr id="101" name="badge101"/>
          <a:graphic>
            <a:graphicData uri="http://schemas.microsoft.com/office/word/2010/wordprocessingShape">
              <wps:wsp>
                <wps:cNvSpPr>
                  <a:spLocks/>
                </wps:cNvSpPr>
                <wps:spPr>
                  <a:xfrm>
                    <a:off x="0" y="0"/>
                    <a:ext cx="1600000" cy="190000"/>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600000" cy="190000"/>
          <wp:effectExtent l="0" t="0" r="1270" b="5715"/>
          <wp:wrapNone/>
          <wp:docPr id="102" name="badge102"/>
          <a:graphic>
            <a:graphicData uri="http://schemas.microsoft.com/office/word/2010/wordprocessingShape">
              <wps:wsp>
                <wps:cNvSpPr>
                  <a:spLocks/>
                </wps:cNvSpPr>
                <wps:spPr>
                  <a:xfrm>
                    <a:off x="0" y="0"/>
                    <a:ext cx="1600000" cy="190000"/>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600000" cy="190000"/>
          <wp:effectExtent l="0" t="0" r="1270" b="5715"/>
          <wp:wrapNone/>
          <wp:docPr id="103" name="badge103"/>
          <a:graphic>
            <a:graphicData uri="http://schemas.microsoft.com/office/word/2010/wordprocessingShape">
              <wps:wsp>
                <wps:cNvSpPr>
                  <a:spLocks/>
                </wps:cNvSpPr>
                <wps:spPr>
                  <a:xfrm>
                    <a:off x="0" y="0"/>
                    <a:ext cx="1600000" cy="190000"/>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Java/JEE, REST, Spring (core, mvc, data, boot), JWT, LogBack, AJAX, JQuery, Javascript, Bootstrap4,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-1431097</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